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69F7D">
      <w:pPr>
        <w:jc w:val="center"/>
      </w:pPr>
      <w:r>
        <w:rPr>
          <w:b/>
        </w:rPr>
        <w:t xml:space="preserve">КОНТРАКТ № </w:t>
      </w:r>
      <w:r>
        <w:t>_______</w:t>
      </w:r>
    </w:p>
    <w:p w14:paraId="7CB75C59">
      <w:pPr>
        <w:jc w:val="center"/>
        <w:rPr>
          <w:b/>
        </w:rPr>
      </w:pPr>
    </w:p>
    <w:p w14:paraId="7461890C">
      <w:pPr>
        <w:jc w:val="both"/>
      </w:pPr>
      <w:r>
        <w:t>г. Санкт- Петербург                                                                                 от «___»_____________г.</w:t>
      </w:r>
    </w:p>
    <w:p w14:paraId="5FECB285">
      <w:pPr>
        <w:jc w:val="both"/>
      </w:pPr>
    </w:p>
    <w:p w14:paraId="389C32FB">
      <w:pPr>
        <w:jc w:val="both"/>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MERGEFIELD Наименование_организации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Государственное бюджетное </w:t>
      </w:r>
      <w:r>
        <w:rPr>
          <w:color w:val="000000" w:themeColor="text1"/>
          <w:lang w:val="ru-RU"/>
          <w14:textFill>
            <w14:solidFill>
              <w14:schemeClr w14:val="tx1"/>
            </w14:solidFill>
          </w14:textFill>
        </w:rPr>
        <w:t>дошкольное</w:t>
      </w:r>
      <w:r>
        <w:rPr>
          <w:rFonts w:hint="default"/>
          <w:color w:val="000000" w:themeColor="text1"/>
          <w:lang w:val="ru-RU"/>
          <w14:textFill>
            <w14:solidFill>
              <w14:schemeClr w14:val="tx1"/>
            </w14:solidFill>
          </w14:textFill>
        </w:rPr>
        <w:t xml:space="preserve"> о</w:t>
      </w:r>
      <w:r>
        <w:rPr>
          <w:color w:val="000000" w:themeColor="text1"/>
          <w14:textFill>
            <w14:solidFill>
              <w14:schemeClr w14:val="tx1"/>
            </w14:solidFill>
          </w14:textFill>
        </w:rPr>
        <w:t xml:space="preserve">образовательное учреждение </w:t>
      </w:r>
      <w:r>
        <w:rPr>
          <w:color w:val="000000" w:themeColor="text1"/>
          <w:lang w:val="ru-RU"/>
          <w14:textFill>
            <w14:solidFill>
              <w14:schemeClr w14:val="tx1"/>
            </w14:solidFill>
          </w14:textFill>
        </w:rPr>
        <w:t>детский</w:t>
      </w:r>
      <w:r>
        <w:rPr>
          <w:rFonts w:hint="default"/>
          <w:color w:val="000000" w:themeColor="text1"/>
          <w:lang w:val="ru-RU"/>
          <w14:textFill>
            <w14:solidFill>
              <w14:schemeClr w14:val="tx1"/>
            </w14:solidFill>
          </w14:textFill>
        </w:rPr>
        <w:t xml:space="preserve"> сад </w:t>
      </w:r>
      <w:r>
        <w:rPr>
          <w:color w:val="000000" w:themeColor="text1"/>
          <w14:textFill>
            <w14:solidFill>
              <w14:schemeClr w14:val="tx1"/>
            </w14:solidFill>
          </w14:textFill>
        </w:rPr>
        <w:t xml:space="preserve">№ </w:t>
      </w:r>
      <w:r>
        <w:rPr>
          <w:rFonts w:hint="default"/>
          <w:color w:val="000000" w:themeColor="text1"/>
          <w:lang w:val="ru-RU"/>
          <w14:textFill>
            <w14:solidFill>
              <w14:schemeClr w14:val="tx1"/>
            </w14:solidFill>
          </w14:textFill>
        </w:rPr>
        <w:t xml:space="preserve">36 </w:t>
      </w:r>
      <w:r>
        <w:rPr>
          <w:color w:val="000000" w:themeColor="text1"/>
          <w14:textFill>
            <w14:solidFill>
              <w14:schemeClr w14:val="tx1"/>
            </w14:solidFill>
          </w14:textFill>
        </w:rPr>
        <w:t>Невского района Санкт-Петербурга Невского района Санкт-Петербурга</w: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именуемое в дальнейшем «Заказчик», в лице </w:t>
      </w:r>
      <w:r>
        <w:rPr>
          <w:color w:val="000000" w:themeColor="text1"/>
          <w:lang w:val="ru-RU"/>
          <w14:textFill>
            <w14:solidFill>
              <w14:schemeClr w14:val="tx1"/>
            </w14:solidFill>
          </w14:textFill>
        </w:rPr>
        <w:t>заведующего</w:t>
      </w:r>
      <w:r>
        <w:rPr>
          <w:rFonts w:hint="default"/>
          <w:color w:val="000000" w:themeColor="text1"/>
          <w:lang w:val="ru-RU"/>
          <w14:textFill>
            <w14:solidFill>
              <w14:schemeClr w14:val="tx1"/>
            </w14:solidFill>
          </w14:textFill>
        </w:rPr>
        <w:t xml:space="preserve"> Чепуриной Т.А.</w:t>
      </w:r>
      <w:r>
        <w:rPr>
          <w:color w:val="000000" w:themeColor="text1"/>
          <w14:textFill>
            <w14:solidFill>
              <w14:schemeClr w14:val="tx1"/>
            </w14:solidFill>
          </w14:textFill>
        </w:rPr>
        <w:t xml:space="preserve">, </w:t>
      </w:r>
      <w:r>
        <w:t xml:space="preserve">действующего на основании </w:t>
      </w:r>
      <w:r>
        <w:rPr>
          <w:lang w:val="ru-RU"/>
        </w:rPr>
        <w:t>Устава</w:t>
      </w:r>
      <w: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w:t>
      </w:r>
      <w:bookmarkStart w:id="1" w:name="_GoBack"/>
      <w:bookmarkEnd w:id="1"/>
      <w:r>
        <w:t>ых нужд» (далее – Закон о контрактной системе) заключили Контракт о нижеследующем:</w:t>
      </w:r>
    </w:p>
    <w:p w14:paraId="38EC0D92">
      <w:pPr>
        <w:jc w:val="both"/>
      </w:pPr>
    </w:p>
    <w:p w14:paraId="24835732">
      <w:pPr>
        <w:jc w:val="center"/>
        <w:rPr>
          <w:b/>
        </w:rPr>
      </w:pPr>
      <w:r>
        <w:rPr>
          <w:b/>
        </w:rPr>
        <w:t>1. Предмет контракта</w:t>
      </w:r>
    </w:p>
    <w:p w14:paraId="7B6F4B88">
      <w:pPr>
        <w:ind w:firstLine="708"/>
        <w:jc w:val="both"/>
      </w:pPr>
      <w:r>
        <w:t xml:space="preserve">1.1. Поставщик обязуется оказать Заказчику Услуги, наименование, количество, общая и единичная стоимость которых установлены в Спецификации (приложение </w:t>
      </w:r>
      <w:r>
        <w:br w:type="textWrapping"/>
      </w:r>
      <w:r>
        <w:t>№ 1 к Контракту), являющейся неотъемлемой частью Контракта, на условиях, установленных настоящим Контрактом, а Заказчик обязуется принять оказанные Услуги надлежащего качества и оплатить их в порядке и на условиях, предусмотренных настоящим Контрактом.</w:t>
      </w:r>
    </w:p>
    <w:p w14:paraId="03720B8E">
      <w:pPr>
        <w:jc w:val="both"/>
      </w:pPr>
    </w:p>
    <w:p w14:paraId="089643BB">
      <w:pPr>
        <w:jc w:val="center"/>
        <w:rPr>
          <w:b/>
        </w:rPr>
      </w:pPr>
      <w:r>
        <w:rPr>
          <w:b/>
        </w:rPr>
        <w:t>2. Цена Контракта и порядок расчетов</w:t>
      </w:r>
    </w:p>
    <w:p w14:paraId="0FB4EB2D">
      <w:pPr>
        <w:ind w:firstLine="708"/>
        <w:jc w:val="both"/>
      </w:pPr>
      <w:r>
        <w:t>2.1. 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5EB416A1">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p>
    <w:p w14:paraId="54327D37">
      <w:pPr>
        <w:ind w:firstLine="708"/>
        <w:jc w:val="both"/>
      </w:pPr>
      <w:r>
        <w:t>2.3. Оплата производится Заказчиком единовременным платежом на расчетный счет Поставщика, указанный в Контракте, по факту оказания Услуг Заказчику в течение 10 (десяти) рабочих дней с даты подписания Заказчиком документа о приемке, при отсутствии у Заказчика претензий по количеству и качеству оказанных Услуг. Датой оплаты является дата списания денежных средств со счета Заказчика.</w:t>
      </w:r>
    </w:p>
    <w:p w14:paraId="48A041B0">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ype="textWrapping"/>
      </w:r>
      <w:r>
        <w:t>и сборах такие налоги, сборы и иные обязательные платежи подлежат уплате в бюджеты бюджетной системы Российской Федерации Заказчиком.</w:t>
      </w:r>
    </w:p>
    <w:p w14:paraId="38E18D4A">
      <w:pPr>
        <w:jc w:val="both"/>
      </w:pPr>
    </w:p>
    <w:p w14:paraId="6B0996FB">
      <w:pPr>
        <w:jc w:val="center"/>
        <w:rPr>
          <w:b/>
        </w:rPr>
      </w:pPr>
      <w:r>
        <w:rPr>
          <w:b/>
        </w:rPr>
        <w:t>3. Порядок оказания Услуг</w:t>
      </w:r>
    </w:p>
    <w:p w14:paraId="666833F2">
      <w:r>
        <w:t xml:space="preserve">             3.1 Требования к качеству Услуг и иные требования содержатся в Техническом задании, являющемся неотъемлемой частью настоящего Контракта (Приложение № 2 к Контракту). </w:t>
      </w:r>
    </w:p>
    <w:p w14:paraId="5B77D3B5">
      <w:pPr>
        <w:ind w:firstLine="708"/>
        <w:jc w:val="both"/>
      </w:pPr>
      <w:r>
        <w:t>3.2. Оказание услуг осуществляется по адресу, указанному в Техническом задании (приложение № 2 к Контракту).</w:t>
      </w:r>
    </w:p>
    <w:p w14:paraId="0CEE3907">
      <w:pPr>
        <w:ind w:firstLine="708"/>
        <w:jc w:val="both"/>
      </w:pPr>
      <w:r>
        <w:t>3.3. В день оказания Услуг Поставщик должен передать Заказчику сопроводительные документы, относящиеся к оказываемым Услугам, указанные в Техническом задании (приложение № 2 к Контракту). В случае отсутствия вышеназванных документов Заказчик вправе отказаться от приемки Услуг. Услуги будут считаться не оказанными.</w:t>
      </w:r>
    </w:p>
    <w:p w14:paraId="431B5343">
      <w:pPr>
        <w:ind w:firstLine="708"/>
        <w:jc w:val="both"/>
      </w:pPr>
      <w:r>
        <w:t xml:space="preserve">3.4. Срок оказания Услуг указывается в Техническом задании (приложение </w:t>
      </w:r>
      <w:r>
        <w:br w:type="textWrapping"/>
      </w:r>
      <w:r>
        <w:t>№ 2 к Контракту).</w:t>
      </w:r>
    </w:p>
    <w:p w14:paraId="2BDE4E1A">
      <w:pPr>
        <w:jc w:val="center"/>
      </w:pPr>
    </w:p>
    <w:p w14:paraId="788635D4">
      <w:pPr>
        <w:jc w:val="center"/>
        <w:rPr>
          <w:b/>
        </w:rPr>
      </w:pPr>
      <w:r>
        <w:rPr>
          <w:b/>
        </w:rPr>
        <w:t>4. Порядок приемки Услуг</w:t>
      </w:r>
    </w:p>
    <w:p w14:paraId="1237CD45">
      <w:pPr>
        <w:ind w:firstLine="708"/>
        <w:jc w:val="both"/>
      </w:pPr>
      <w:r>
        <w:t>4.1. 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w:t>
      </w:r>
      <w:r>
        <w:rPr>
          <w:rFonts w:hint="default"/>
          <w:lang w:val="ru-RU"/>
        </w:rPr>
        <w:t>,3</w:t>
      </w:r>
      <w:r>
        <w:t xml:space="preserve"> к Контракту).</w:t>
      </w:r>
    </w:p>
    <w:p w14:paraId="00A2047E">
      <w:pPr>
        <w:ind w:firstLine="708"/>
        <w:jc w:val="both"/>
      </w:pPr>
      <w:r>
        <w:t>4.2. Срок приемки указан в Техническом задании (приложение № 2 к Контракту).</w:t>
      </w:r>
    </w:p>
    <w:p w14:paraId="5C331E06">
      <w:pPr>
        <w:ind w:firstLine="708"/>
        <w:jc w:val="both"/>
      </w:pPr>
      <w:r>
        <w:t xml:space="preserve">4.3. В случае несоответствия оказанных Услуг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37341E2">
      <w:pPr>
        <w:ind w:firstLine="708"/>
        <w:jc w:val="both"/>
      </w:pPr>
      <w:r>
        <w:t xml:space="preserve">4.4. При выявлении несоответствия оказанных Услуг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49EE3EFC">
      <w:pPr>
        <w:ind w:firstLine="708"/>
        <w:jc w:val="both"/>
      </w:pPr>
      <w:r>
        <w:t>4.5.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FAF7D66">
      <w:pPr>
        <w:ind w:firstLine="708"/>
        <w:jc w:val="both"/>
      </w:pPr>
      <w:r>
        <w:t>4.6. Все расходы, связанные с устранением недостатков, несет Поставщик.</w:t>
      </w:r>
    </w:p>
    <w:p w14:paraId="44F2AA9A">
      <w:pPr>
        <w:jc w:val="both"/>
      </w:pPr>
    </w:p>
    <w:p w14:paraId="1DB32F29">
      <w:pPr>
        <w:jc w:val="center"/>
        <w:rPr>
          <w:b/>
        </w:rPr>
      </w:pPr>
      <w:r>
        <w:rPr>
          <w:b/>
        </w:rPr>
        <w:t>5. Права и обязанности сторон</w:t>
      </w:r>
    </w:p>
    <w:p w14:paraId="4EE5B04F">
      <w:pPr>
        <w:ind w:firstLine="708"/>
        <w:jc w:val="both"/>
      </w:pPr>
      <w:r>
        <w:t>5.1. Заказчик вправе:</w:t>
      </w:r>
    </w:p>
    <w:p w14:paraId="1920491B">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0180BC15">
      <w:pPr>
        <w:ind w:firstLine="708"/>
        <w:jc w:val="both"/>
      </w:pPr>
      <w:r>
        <w:t>5.1.2. В случае досрочного исполнения Поставщиком обязательств по Контракту принять и оплатить Услуги в соответствии с установленным в Контракте порядком.</w:t>
      </w:r>
    </w:p>
    <w:p w14:paraId="3E92CFE1">
      <w:pPr>
        <w:ind w:firstLine="708"/>
        <w:jc w:val="both"/>
      </w:pPr>
      <w:r>
        <w:t>5.1.3. Запрашивать у Поставщика информацию о ходе исполнения обязательств по Контракту.</w:t>
      </w:r>
    </w:p>
    <w:p w14:paraId="61A5D457">
      <w:pPr>
        <w:ind w:firstLine="708"/>
        <w:jc w:val="both"/>
      </w:pPr>
      <w:r>
        <w:t>5.1.4. Осуществлять контроль и надзор за качеством, порядком и сроками оказываемых Услуг, не вмешиваясь при этом в хозяйственную деятельность Поставщика.</w:t>
      </w:r>
    </w:p>
    <w:p w14:paraId="31449376">
      <w:pPr>
        <w:ind w:firstLine="708"/>
        <w:jc w:val="both"/>
      </w:pPr>
      <w:r>
        <w:t>5.1.5. Отказаться от приемки Услуг в случаях, предусмотренных Контрактом.</w:t>
      </w:r>
    </w:p>
    <w:p w14:paraId="09879F03">
      <w:pPr>
        <w:ind w:firstLine="708"/>
        <w:jc w:val="both"/>
      </w:pPr>
      <w:r>
        <w:t>5.1.6. В одностороннем порядке отказаться от исполнения Контракта в соответствии с Законом о контрактной системе.</w:t>
      </w:r>
    </w:p>
    <w:p w14:paraId="2E17D681">
      <w:pPr>
        <w:ind w:firstLine="708"/>
        <w:jc w:val="both"/>
      </w:pPr>
      <w:r>
        <w:t>5.2. Заказчик обязан:</w:t>
      </w:r>
    </w:p>
    <w:p w14:paraId="495AA6EB">
      <w:pPr>
        <w:ind w:firstLine="708"/>
        <w:jc w:val="both"/>
      </w:pPr>
      <w:r>
        <w:t>5.2.1. Своевременно принять оказанные Услуги в соответствии с Контрактом, включая проведение экспертизы оказанных Услуг.</w:t>
      </w:r>
    </w:p>
    <w:p w14:paraId="13582634">
      <w:pPr>
        <w:ind w:firstLine="708"/>
        <w:jc w:val="both"/>
      </w:pPr>
      <w:r>
        <w:t xml:space="preserve">5.2.2. Своевременно оплатить оказанные Услуги надлежащего качества </w:t>
      </w:r>
      <w:r>
        <w:br w:type="textWrapping"/>
      </w:r>
      <w:r>
        <w:t>в соответствии с Контрактом.</w:t>
      </w:r>
    </w:p>
    <w:p w14:paraId="041D074C">
      <w:pPr>
        <w:ind w:firstLine="708"/>
        <w:jc w:val="both"/>
      </w:pPr>
      <w:r>
        <w:t>5.3. Поставщик вправе:</w:t>
      </w:r>
    </w:p>
    <w:p w14:paraId="5176CE8C">
      <w:pPr>
        <w:ind w:firstLine="708"/>
        <w:jc w:val="both"/>
      </w:pPr>
      <w:r>
        <w:t xml:space="preserve">5.3.1. Требовать своевременной приемки и оплаты за оказанные Услуги </w:t>
      </w:r>
      <w:r>
        <w:br w:type="textWrapping"/>
      </w:r>
      <w:r>
        <w:t>в соответствии с условиями Контракта.</w:t>
      </w:r>
    </w:p>
    <w:p w14:paraId="21139CCB">
      <w:pPr>
        <w:ind w:firstLine="708"/>
        <w:jc w:val="both"/>
      </w:pPr>
      <w:r>
        <w:t xml:space="preserve">5.3.2. Запрашивать у Заказчика разъяснения и уточнения относительно Услуг </w:t>
      </w:r>
      <w:r>
        <w:br w:type="textWrapping"/>
      </w:r>
      <w:r>
        <w:t>в рамках Контракта.</w:t>
      </w:r>
    </w:p>
    <w:p w14:paraId="711500DB">
      <w:pPr>
        <w:ind w:firstLine="708"/>
        <w:jc w:val="both"/>
      </w:pPr>
      <w:r>
        <w:t xml:space="preserve">5.3.3. Получать от Заказчика содействие при оказании Услуг в соответствии </w:t>
      </w:r>
      <w:r>
        <w:br w:type="textWrapping"/>
      </w:r>
      <w:r>
        <w:t>с условиями Контракта.</w:t>
      </w:r>
    </w:p>
    <w:p w14:paraId="66AACA1C">
      <w:pPr>
        <w:ind w:firstLine="708"/>
        <w:jc w:val="both"/>
      </w:pPr>
      <w:r>
        <w:t>5.3.4. Досрочно исполнить обязательства по Контракту с согласия Заказчика.</w:t>
      </w:r>
    </w:p>
    <w:p w14:paraId="67A86081">
      <w:pPr>
        <w:ind w:firstLine="708"/>
        <w:jc w:val="both"/>
      </w:pPr>
      <w:r>
        <w:t>5.4. Поставщик обязан:</w:t>
      </w:r>
    </w:p>
    <w:p w14:paraId="5B0F1E0D">
      <w:pPr>
        <w:ind w:firstLine="708"/>
        <w:jc w:val="both"/>
      </w:pPr>
      <w:r>
        <w:t>5.4.1. Своевременно и надлежащим образом исполнять обязательства по оказанию Услуг в соответствии с условиями Контракта.</w:t>
      </w:r>
    </w:p>
    <w:p w14:paraId="6B75E9A0">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9DF09A9">
      <w:pPr>
        <w:ind w:firstLine="708"/>
        <w:jc w:val="both"/>
      </w:pPr>
      <w:r>
        <w:t>5.4.3. Обеспечить устранение недостатков, выявленных при приемке Заказчиком Услуг, за свой счет.</w:t>
      </w:r>
    </w:p>
    <w:p w14:paraId="5FA0E411">
      <w:pPr>
        <w:ind w:firstLine="708"/>
        <w:jc w:val="both"/>
      </w:pPr>
      <w:r>
        <w:t xml:space="preserve">5.4.4. Приостановить оказание Услуг в случае обнаружения не зависящих </w:t>
      </w:r>
      <w:r>
        <w:br w:type="textWrapping"/>
      </w:r>
      <w:r>
        <w:t xml:space="preserve">от Поставщика обстоятельств, которые могут оказать негативное влияние на качество Услуг или создать невозможность оказания Услуг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4293D9EC">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A3E800F">
      <w:pPr>
        <w:ind w:firstLine="708"/>
        <w:jc w:val="both"/>
      </w:pPr>
      <w:r>
        <w:t>5.5. Поставщик гарантирует, что на момент заключения Контракта:</w:t>
      </w:r>
    </w:p>
    <w:p w14:paraId="263A3F54">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календарный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4D100752">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0A6650C">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035E613F">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7D6A5C3">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F8886E5">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90F8492">
      <w:pPr>
        <w:ind w:firstLine="708"/>
        <w:jc w:val="both"/>
      </w:pPr>
      <w:r>
        <w:t xml:space="preserve">5.5.7. </w:t>
      </w:r>
      <w:r>
        <w:rPr>
          <w:rFonts w:eastAsiaTheme="minorHAnsi"/>
          <w:lang w:eastAsia="en-US"/>
        </w:rPr>
        <w:t>Поставщик не является иностранным агентом.</w:t>
      </w:r>
    </w:p>
    <w:p w14:paraId="194B7BC5">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0CE802FF">
      <w:pPr>
        <w:ind w:firstLine="708"/>
        <w:jc w:val="both"/>
      </w:pPr>
    </w:p>
    <w:p w14:paraId="2A51B524">
      <w:pPr>
        <w:jc w:val="center"/>
        <w:rPr>
          <w:b/>
        </w:rPr>
      </w:pPr>
      <w:r>
        <w:rPr>
          <w:b/>
        </w:rPr>
        <w:t>6. Гарантии</w:t>
      </w:r>
    </w:p>
    <w:p w14:paraId="3D03B13B">
      <w:pPr>
        <w:pStyle w:val="196"/>
        <w:keepNext w:val="0"/>
        <w:numPr>
          <w:ilvl w:val="0"/>
          <w:numId w:val="0"/>
        </w:numPr>
        <w:tabs>
          <w:tab w:val="left" w:pos="851"/>
          <w:tab w:val="clear" w:pos="1134"/>
        </w:tabs>
        <w:spacing w:before="0"/>
        <w:ind w:firstLine="709"/>
        <w:outlineLvl w:val="0"/>
        <w:rPr>
          <w:szCs w:val="24"/>
        </w:rPr>
      </w:pPr>
      <w:r>
        <w:t>6.1.</w:t>
      </w:r>
      <w:r>
        <w:rPr>
          <w:szCs w:val="24"/>
        </w:rPr>
        <w:t xml:space="preserve"> Гарантийный срок на оказанные услуги: не менее 12 месяцев с момента подписания Акта сдачи-приемки оказанных услуг.</w:t>
      </w:r>
    </w:p>
    <w:p w14:paraId="198B946B">
      <w:pPr>
        <w:ind w:firstLine="708"/>
        <w:jc w:val="both"/>
        <w:rPr>
          <w:b/>
        </w:rPr>
      </w:pPr>
    </w:p>
    <w:p w14:paraId="42EC513E">
      <w:pPr>
        <w:jc w:val="center"/>
        <w:rPr>
          <w:b/>
        </w:rPr>
      </w:pPr>
      <w:r>
        <w:rPr>
          <w:b/>
        </w:rPr>
        <w:t>7. Ответственность сторон</w:t>
      </w:r>
    </w:p>
    <w:p w14:paraId="6C90E8F7">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8CE18B3">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D8F088A">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26D9AA">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7FB20A6">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9D750F">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14:paraId="52652869">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8BE4BB3">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646CD98E">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D087969">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674C178">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BEDDFF1">
      <w:pPr>
        <w:ind w:firstLine="708"/>
        <w:jc w:val="both"/>
      </w:pPr>
    </w:p>
    <w:p w14:paraId="1815D323">
      <w:pPr>
        <w:jc w:val="center"/>
        <w:rPr>
          <w:b/>
        </w:rPr>
      </w:pPr>
      <w:r>
        <w:rPr>
          <w:b/>
        </w:rPr>
        <w:t>8. Срок действия, порядок изменения и расторжения Контракта.</w:t>
      </w:r>
    </w:p>
    <w:p w14:paraId="5A6FD8D2">
      <w:pPr>
        <w:ind w:firstLine="708"/>
        <w:jc w:val="both"/>
      </w:pPr>
      <w:r>
        <w:t>8.1. Контракт вступает в силу со дня его подписания Сторонами.</w:t>
      </w:r>
    </w:p>
    <w:p w14:paraId="707D7581">
      <w:pPr>
        <w:ind w:firstLine="708"/>
        <w:jc w:val="both"/>
      </w:pPr>
      <w:r>
        <w:t xml:space="preserve">8.2. Контракт действует по </w:t>
      </w:r>
      <w:r>
        <w:rPr>
          <w:color w:val="FF0000"/>
        </w:rPr>
        <w:t>31.12.202</w:t>
      </w:r>
      <w:r>
        <w:rPr>
          <w:rFonts w:hint="default"/>
          <w:color w:val="FF0000"/>
          <w:lang w:val="ru-RU"/>
        </w:rPr>
        <w:t>6</w:t>
      </w:r>
      <w:r>
        <w:rPr>
          <w:color w:val="FF0000"/>
        </w:rPr>
        <w:t>г</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A9282AA">
      <w:pPr>
        <w:ind w:firstLine="708"/>
        <w:jc w:val="both"/>
      </w:pPr>
      <w:r>
        <w:t>8.3. Контракт может быть расторгнут:</w:t>
      </w:r>
    </w:p>
    <w:p w14:paraId="00E081AB">
      <w:pPr>
        <w:jc w:val="both"/>
      </w:pPr>
      <w:r>
        <w:t>- по соглашению сторон;</w:t>
      </w:r>
    </w:p>
    <w:p w14:paraId="4CFFCF1A">
      <w:pPr>
        <w:jc w:val="both"/>
      </w:pPr>
      <w:r>
        <w:t>- по решению суда;</w:t>
      </w:r>
    </w:p>
    <w:p w14:paraId="2F42E928">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7CBA1612">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138C2A3D">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0E162BEB">
      <w:pPr>
        <w:ind w:firstLine="708"/>
        <w:jc w:val="both"/>
      </w:pPr>
      <w:r>
        <w:t>8.6.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14:paraId="26110060">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F8C4E7E">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19A24DC">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D7FC3BD">
      <w:pPr>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F03C5C7">
      <w:pPr>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AB1095">
      <w:pPr>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72542E5">
      <w:pPr>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7763F5D">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E1CF6A0">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7DEDF5B">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F773058">
      <w:pPr>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D2FE0F8">
      <w:pPr>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68A00F9">
      <w:pPr>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EF15237">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992834D">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D73C71C">
      <w:pPr>
        <w:jc w:val="center"/>
        <w:rPr>
          <w:b/>
        </w:rPr>
      </w:pPr>
    </w:p>
    <w:p w14:paraId="1B069784">
      <w:pPr>
        <w:jc w:val="center"/>
        <w:rPr>
          <w:b/>
        </w:rPr>
      </w:pPr>
      <w:r>
        <w:rPr>
          <w:b/>
        </w:rPr>
        <w:t>9. Порядок урегулирования споров</w:t>
      </w:r>
    </w:p>
    <w:p w14:paraId="3861118B">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A17F17">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DFEB77F">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B88ECFA">
      <w:pPr>
        <w:jc w:val="center"/>
        <w:rPr>
          <w:b/>
        </w:rPr>
      </w:pPr>
    </w:p>
    <w:p w14:paraId="479E9D81">
      <w:pPr>
        <w:jc w:val="center"/>
        <w:rPr>
          <w:b/>
        </w:rPr>
      </w:pPr>
      <w:r>
        <w:rPr>
          <w:b/>
        </w:rPr>
        <w:t>10. Прочие условия</w:t>
      </w:r>
    </w:p>
    <w:p w14:paraId="1F139848">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F8ECCAA">
      <w:pPr>
        <w:ind w:firstLine="708"/>
        <w:jc w:val="both"/>
      </w:pPr>
      <w:r>
        <w:t>10.2. Во всем, что не предусмотрено Контрактом, Стороны руководствуются законодательством Российской Федерации.</w:t>
      </w:r>
    </w:p>
    <w:p w14:paraId="7C2ACE45">
      <w:pPr>
        <w:ind w:firstLine="708"/>
        <w:jc w:val="both"/>
      </w:pPr>
    </w:p>
    <w:p w14:paraId="37E8F9A3">
      <w:pPr>
        <w:jc w:val="center"/>
        <w:rPr>
          <w:b/>
        </w:rPr>
      </w:pPr>
      <w:r>
        <w:rPr>
          <w:b/>
        </w:rPr>
        <w:t>11. Приложения</w:t>
      </w:r>
    </w:p>
    <w:p w14:paraId="7F4FB04D">
      <w:pPr>
        <w:ind w:firstLine="708"/>
        <w:jc w:val="both"/>
      </w:pPr>
      <w:r>
        <w:t>11.1 Неотъемлемой частью Контракта являются:</w:t>
      </w:r>
    </w:p>
    <w:p w14:paraId="40609169">
      <w:pPr>
        <w:ind w:left="708" w:firstLine="708"/>
      </w:pPr>
      <w:r>
        <w:t>Приложение № 1 «Спецификация»;</w:t>
      </w:r>
    </w:p>
    <w:p w14:paraId="47055BC2">
      <w:pPr>
        <w:ind w:left="708" w:firstLine="708"/>
      </w:pPr>
      <w:r>
        <w:t>Приложение № 2 «Техническое задание»</w:t>
      </w:r>
    </w:p>
    <w:p w14:paraId="625F1C1B">
      <w:pPr>
        <w:ind w:left="708" w:firstLine="708"/>
        <w:rPr>
          <w:rFonts w:hint="default" w:ascii="Times New Roman" w:hAnsi="Times New Roman" w:cs="Times New Roman"/>
          <w:b/>
          <w:bCs/>
          <w:lang w:val="ru-RU"/>
        </w:rPr>
      </w:pPr>
      <w:r>
        <w:rPr>
          <w:b/>
          <w:bCs/>
          <w:lang w:val="ru-RU"/>
        </w:rPr>
        <w:t>Приложение</w:t>
      </w:r>
      <w:r>
        <w:rPr>
          <w:rFonts w:hint="default"/>
          <w:b/>
          <w:bCs/>
          <w:lang w:val="ru-RU"/>
        </w:rPr>
        <w:t xml:space="preserve"> № 3 «Форма акта № </w:t>
      </w:r>
      <w:r>
        <w:rPr>
          <w:rFonts w:ascii="Times New Roman" w:hAnsi="Times New Roman" w:cs="Times New Roman"/>
          <w:b/>
          <w:bCs/>
        </w:rPr>
        <w:t>0510452</w:t>
      </w:r>
      <w:r>
        <w:rPr>
          <w:rFonts w:hint="default" w:ascii="Times New Roman" w:hAnsi="Times New Roman" w:cs="Times New Roman"/>
          <w:b/>
          <w:bCs/>
          <w:lang w:val="ru-RU"/>
        </w:rPr>
        <w:t>»</w:t>
      </w:r>
    </w:p>
    <w:p w14:paraId="4B8A7AAE">
      <w:pPr>
        <w:ind w:left="708" w:firstLine="708"/>
        <w:rPr>
          <w:rFonts w:hint="default" w:ascii="Times New Roman" w:hAnsi="Times New Roman" w:cs="Times New Roman"/>
          <w:b w:val="0"/>
          <w:bCs/>
          <w:lang w:val="ru-RU"/>
        </w:rPr>
      </w:pPr>
    </w:p>
    <w:p w14:paraId="563A5562">
      <w:pPr>
        <w:ind w:left="708" w:firstLine="708"/>
        <w:rPr>
          <w:b/>
        </w:rPr>
      </w:pPr>
      <w:r>
        <w:rPr>
          <w:b/>
        </w:rPr>
        <w:t>12. Реквизиты и подписи сторон</w:t>
      </w:r>
    </w:p>
    <w:p w14:paraId="55E51D3D">
      <w:pPr>
        <w:jc w:val="center"/>
        <w:rPr>
          <w:b/>
        </w:rPr>
      </w:pPr>
    </w:p>
    <w:tbl>
      <w:tblPr>
        <w:tblStyle w:val="38"/>
        <w:tblW w:w="94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15"/>
        <w:gridCol w:w="4673"/>
      </w:tblGrid>
      <w:tr w14:paraId="2DCCB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noWrap w:val="0"/>
          </w:tcPr>
          <w:p w14:paraId="2E424BC6">
            <w:pPr>
              <w:jc w:val="both"/>
              <w:rPr>
                <w:b/>
              </w:rPr>
            </w:pP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noWrap w:val="0"/>
          </w:tcPr>
          <w:p w14:paraId="2BCD1070">
            <w:pPr>
              <w:jc w:val="both"/>
              <w:rPr>
                <w:b/>
              </w:rPr>
            </w:pPr>
          </w:p>
        </w:tc>
      </w:tr>
    </w:tbl>
    <w:tbl>
      <w:tblPr>
        <w:tblStyle w:val="12"/>
        <w:tblW w:w="9488" w:type="dxa"/>
        <w:tblInd w:w="0" w:type="dxa"/>
        <w:tblLayout w:type="autofit"/>
        <w:tblCellMar>
          <w:top w:w="0" w:type="dxa"/>
          <w:left w:w="108" w:type="dxa"/>
          <w:bottom w:w="0" w:type="dxa"/>
          <w:right w:w="108" w:type="dxa"/>
        </w:tblCellMar>
      </w:tblPr>
      <w:tblGrid>
        <w:gridCol w:w="4815"/>
        <w:gridCol w:w="4673"/>
      </w:tblGrid>
      <w:tr w14:paraId="7739B150">
        <w:tblPrEx>
          <w:tblCellMar>
            <w:top w:w="0" w:type="dxa"/>
            <w:left w:w="108" w:type="dxa"/>
            <w:bottom w:w="0" w:type="dxa"/>
            <w:right w:w="108" w:type="dxa"/>
          </w:tblCellMar>
        </w:tblPrEx>
        <w:trPr>
          <w:trHeight w:val="4424" w:hRule="atLeast"/>
        </w:trPr>
        <w:tc>
          <w:tcPr>
            <w:tcW w:w="4815" w:type="dxa"/>
          </w:tcPr>
          <w:p w14:paraId="2259446C">
            <w:pPr>
              <w:rPr>
                <w:sz w:val="22"/>
                <w:szCs w:val="22"/>
              </w:rPr>
            </w:pPr>
            <w:r>
              <w:rPr>
                <w:b/>
                <w:sz w:val="22"/>
                <w:szCs w:val="22"/>
              </w:rPr>
              <w:t>Заказчик:</w:t>
            </w:r>
            <w:r>
              <w:rPr>
                <w:sz w:val="22"/>
                <w:szCs w:val="22"/>
              </w:rPr>
              <w:t xml:space="preserve"> </w:t>
            </w:r>
          </w:p>
          <w:p w14:paraId="586C84ED">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4673" w:type="dxa"/>
          </w:tcPr>
          <w:p w14:paraId="46FA03CE">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712DF480">
            <w:pPr>
              <w:autoSpaceDE w:val="0"/>
              <w:autoSpaceDN w:val="0"/>
              <w:adjustRightInd w:val="0"/>
              <w:jc w:val="both"/>
              <w:rPr>
                <w:rFonts w:ascii="Courier New" w:hAnsi="Courier New" w:eastAsia="Calibri" w:cs="Courier New"/>
                <w:bCs/>
                <w:sz w:val="22"/>
                <w:szCs w:val="22"/>
                <w:lang w:eastAsia="en-US"/>
              </w:rPr>
            </w:pPr>
          </w:p>
        </w:tc>
      </w:tr>
    </w:tbl>
    <w:p w14:paraId="1A7A4EEF">
      <w:pPr>
        <w:spacing w:after="160" w:line="259" w:lineRule="auto"/>
      </w:pPr>
      <w:r>
        <w:rPr/>
        <w:br w:type="page" w:clear="all"/>
      </w:r>
    </w:p>
    <w:p w14:paraId="09DD4286">
      <w:pPr>
        <w:pageBreakBefore/>
        <w:ind w:right="261"/>
        <w:jc w:val="right"/>
      </w:pPr>
      <w:r>
        <w:t>Приложение № 2 к Контракту</w:t>
      </w:r>
    </w:p>
    <w:p w14:paraId="084DBC9D">
      <w:pPr>
        <w:ind w:right="261"/>
        <w:jc w:val="right"/>
        <w:rPr>
          <w:sz w:val="26"/>
          <w:szCs w:val="26"/>
        </w:rPr>
      </w:pPr>
      <w:r>
        <w:t xml:space="preserve"> </w:t>
      </w:r>
    </w:p>
    <w:p w14:paraId="06B6EA60">
      <w:pPr>
        <w:spacing w:line="340" w:lineRule="exact"/>
        <w:ind w:right="261"/>
        <w:jc w:val="center"/>
        <w:outlineLvl w:val="0"/>
        <w:rPr>
          <w:b/>
          <w:bCs/>
        </w:rPr>
      </w:pPr>
    </w:p>
    <w:p w14:paraId="324A1761">
      <w:pPr>
        <w:autoSpaceDE w:val="0"/>
        <w:autoSpaceDN w:val="0"/>
        <w:adjustRightInd w:val="0"/>
        <w:ind w:right="261"/>
        <w:jc w:val="center"/>
        <w:rPr>
          <w:b/>
          <w:bCs/>
        </w:rPr>
      </w:pPr>
      <w:r>
        <w:rPr>
          <w:b/>
          <w:bCs/>
        </w:rPr>
        <w:t xml:space="preserve">РАСЧЕТ СТОИМОСТИ УСЛУГ </w:t>
      </w:r>
    </w:p>
    <w:p w14:paraId="5F6FA80C">
      <w:pPr>
        <w:autoSpaceDE w:val="0"/>
        <w:autoSpaceDN w:val="0"/>
        <w:adjustRightInd w:val="0"/>
        <w:ind w:right="261"/>
        <w:jc w:val="center"/>
        <w:rPr>
          <w:b/>
          <w:bCs/>
        </w:rPr>
      </w:pPr>
    </w:p>
    <w:tbl>
      <w:tblPr>
        <w:tblStyle w:val="12"/>
        <w:tblW w:w="5090" w:type="pct"/>
        <w:tblInd w:w="0" w:type="dxa"/>
        <w:tblLayout w:type="fixed"/>
        <w:tblCellMar>
          <w:top w:w="0" w:type="dxa"/>
          <w:left w:w="108" w:type="dxa"/>
          <w:bottom w:w="0" w:type="dxa"/>
          <w:right w:w="108" w:type="dxa"/>
        </w:tblCellMar>
      </w:tblPr>
      <w:tblGrid>
        <w:gridCol w:w="563"/>
        <w:gridCol w:w="3347"/>
        <w:gridCol w:w="1351"/>
        <w:gridCol w:w="1577"/>
        <w:gridCol w:w="1715"/>
        <w:gridCol w:w="1928"/>
      </w:tblGrid>
      <w:tr w14:paraId="241C0302">
        <w:tblPrEx>
          <w:tblCellMar>
            <w:top w:w="0" w:type="dxa"/>
            <w:left w:w="108" w:type="dxa"/>
            <w:bottom w:w="0" w:type="dxa"/>
            <w:right w:w="108" w:type="dxa"/>
          </w:tblCellMar>
        </w:tblPrEx>
        <w:trPr>
          <w:trHeight w:val="81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281A1F7D">
            <w:pPr>
              <w:jc w:val="center"/>
              <w:rPr>
                <w:b/>
                <w:sz w:val="22"/>
              </w:rPr>
            </w:pPr>
            <w:r>
              <w:rPr>
                <w:b/>
                <w:sz w:val="22"/>
              </w:rPr>
              <w:t>№ п/п</w:t>
            </w:r>
          </w:p>
        </w:tc>
        <w:tc>
          <w:tcPr>
            <w:tcW w:w="1596" w:type="pct"/>
            <w:tcBorders>
              <w:top w:val="single" w:color="auto" w:sz="4" w:space="0"/>
              <w:left w:val="single" w:color="auto" w:sz="4" w:space="0"/>
              <w:bottom w:val="single" w:color="auto" w:sz="4" w:space="0"/>
              <w:right w:val="single" w:color="auto" w:sz="4" w:space="0"/>
            </w:tcBorders>
            <w:vAlign w:val="center"/>
          </w:tcPr>
          <w:p w14:paraId="0B6388D0">
            <w:pPr>
              <w:jc w:val="center"/>
              <w:rPr>
                <w:b/>
                <w:sz w:val="22"/>
              </w:rPr>
            </w:pPr>
            <w:r>
              <w:rPr>
                <w:b/>
                <w:sz w:val="22"/>
              </w:rPr>
              <w:t>Наименование товара</w:t>
            </w:r>
          </w:p>
        </w:tc>
        <w:tc>
          <w:tcPr>
            <w:tcW w:w="644" w:type="pct"/>
            <w:tcBorders>
              <w:top w:val="single" w:color="auto" w:sz="4" w:space="0"/>
              <w:left w:val="single" w:color="auto" w:sz="4" w:space="0"/>
              <w:bottom w:val="single" w:color="auto" w:sz="4" w:space="0"/>
              <w:right w:val="single" w:color="auto" w:sz="4" w:space="0"/>
            </w:tcBorders>
            <w:vAlign w:val="center"/>
          </w:tcPr>
          <w:p w14:paraId="04845BCC">
            <w:pPr>
              <w:jc w:val="center"/>
              <w:rPr>
                <w:b/>
                <w:sz w:val="22"/>
              </w:rPr>
            </w:pPr>
            <w:r>
              <w:rPr>
                <w:b/>
                <w:sz w:val="22"/>
              </w:rPr>
              <w:t>Ед. измерения</w:t>
            </w:r>
          </w:p>
        </w:tc>
        <w:tc>
          <w:tcPr>
            <w:tcW w:w="752" w:type="pct"/>
            <w:tcBorders>
              <w:top w:val="single" w:color="auto" w:sz="4" w:space="0"/>
              <w:left w:val="single" w:color="auto" w:sz="4" w:space="0"/>
              <w:bottom w:val="single" w:color="auto" w:sz="4" w:space="0"/>
              <w:right w:val="single" w:color="auto" w:sz="4" w:space="0"/>
            </w:tcBorders>
            <w:vAlign w:val="center"/>
          </w:tcPr>
          <w:p w14:paraId="64C2587B">
            <w:pPr>
              <w:jc w:val="center"/>
              <w:rPr>
                <w:b/>
                <w:sz w:val="22"/>
              </w:rPr>
            </w:pPr>
            <w:r>
              <w:rPr>
                <w:b/>
                <w:sz w:val="22"/>
              </w:rPr>
              <w:t>Кол-во</w:t>
            </w:r>
          </w:p>
        </w:tc>
        <w:tc>
          <w:tcPr>
            <w:tcW w:w="818" w:type="pct"/>
            <w:tcBorders>
              <w:top w:val="single" w:color="auto" w:sz="4" w:space="0"/>
              <w:left w:val="single" w:color="auto" w:sz="4" w:space="0"/>
              <w:bottom w:val="single" w:color="auto" w:sz="4" w:space="0"/>
              <w:right w:val="single" w:color="auto" w:sz="4" w:space="0"/>
            </w:tcBorders>
            <w:shd w:val="clear" w:color="auto" w:fill="auto"/>
            <w:vAlign w:val="center"/>
          </w:tcPr>
          <w:p w14:paraId="5B1336F6">
            <w:pPr>
              <w:ind w:left="33" w:leftChars="0" w:right="261" w:rightChars="0"/>
              <w:jc w:val="center"/>
              <w:rPr>
                <w:rFonts w:hint="default" w:ascii="Times New Roman" w:hAnsi="Times New Roman" w:eastAsia="Times New Roman" w:cs="Times New Roman"/>
                <w:b/>
                <w:sz w:val="24"/>
                <w:szCs w:val="24"/>
                <w:lang w:val="ru-RU" w:eastAsia="ru-RU" w:bidi="ar-SA"/>
              </w:rPr>
            </w:pPr>
            <w:r>
              <w:rPr>
                <w:b/>
              </w:rPr>
              <w:t>Цена за ед. услуги</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596F7658">
            <w:pPr>
              <w:ind w:left="33" w:leftChars="0" w:right="261" w:rightChars="0"/>
              <w:jc w:val="center"/>
              <w:rPr>
                <w:rFonts w:hint="default" w:ascii="Times New Roman" w:hAnsi="Times New Roman" w:eastAsia="Times New Roman" w:cs="Times New Roman"/>
                <w:b/>
                <w:sz w:val="24"/>
                <w:szCs w:val="24"/>
                <w:lang w:val="ru-RU" w:eastAsia="ru-RU" w:bidi="ar-SA"/>
              </w:rPr>
            </w:pPr>
            <w:r>
              <w:rPr>
                <w:b/>
              </w:rPr>
              <w:t xml:space="preserve">Общая стоимость услуг, </w:t>
            </w:r>
          </w:p>
        </w:tc>
      </w:tr>
      <w:tr w14:paraId="62DF0E38">
        <w:tblPrEx>
          <w:tblCellMar>
            <w:top w:w="0" w:type="dxa"/>
            <w:left w:w="108" w:type="dxa"/>
            <w:bottom w:w="0" w:type="dxa"/>
            <w:right w:w="108" w:type="dxa"/>
          </w:tblCellMar>
        </w:tblPrEx>
        <w:trPr>
          <w:trHeight w:val="49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61AC32ED">
            <w:pPr>
              <w:pStyle w:val="185"/>
              <w:numPr>
                <w:ilvl w:val="0"/>
                <w:numId w:val="2"/>
              </w:numPr>
              <w:jc w:val="center"/>
              <w:rPr>
                <w:sz w:val="22"/>
              </w:rPr>
            </w:pPr>
          </w:p>
        </w:tc>
        <w:tc>
          <w:tcPr>
            <w:tcW w:w="1596" w:type="pct"/>
            <w:tcBorders>
              <w:top w:val="single" w:color="auto" w:sz="4" w:space="0"/>
              <w:left w:val="single" w:color="auto" w:sz="4" w:space="0"/>
              <w:bottom w:val="single" w:color="auto" w:sz="4" w:space="0"/>
              <w:right w:val="single" w:color="auto" w:sz="4" w:space="0"/>
            </w:tcBorders>
            <w:vAlign w:val="center"/>
          </w:tcPr>
          <w:p w14:paraId="262A87B7">
            <w:pPr>
              <w:jc w:val="center"/>
              <w:rPr>
                <w:sz w:val="22"/>
              </w:rPr>
            </w:pPr>
            <w:r>
              <w:rPr>
                <w:sz w:val="22"/>
              </w:rPr>
              <w:t>Очистка всей кровли от снега, наледи</w:t>
            </w:r>
          </w:p>
        </w:tc>
        <w:tc>
          <w:tcPr>
            <w:tcW w:w="644" w:type="pct"/>
            <w:tcBorders>
              <w:top w:val="single" w:color="auto" w:sz="4" w:space="0"/>
              <w:left w:val="single" w:color="auto" w:sz="4" w:space="0"/>
              <w:bottom w:val="single" w:color="auto" w:sz="4" w:space="0"/>
              <w:right w:val="single" w:color="auto" w:sz="4" w:space="0"/>
            </w:tcBorders>
            <w:vAlign w:val="center"/>
          </w:tcPr>
          <w:p w14:paraId="48A5343F">
            <w:pPr>
              <w:jc w:val="center"/>
              <w:rPr>
                <w:rFonts w:hint="default"/>
                <w:lang w:val="ru-RU"/>
              </w:rPr>
            </w:pPr>
            <w:r>
              <w:rPr>
                <w:lang w:val="ru-RU"/>
              </w:rPr>
              <w:t>Вызов</w:t>
            </w:r>
            <w:r>
              <w:rPr>
                <w:rFonts w:hint="default"/>
                <w:lang w:val="ru-RU"/>
              </w:rPr>
              <w:t xml:space="preserve"> </w:t>
            </w:r>
          </w:p>
        </w:tc>
        <w:tc>
          <w:tcPr>
            <w:tcW w:w="752" w:type="pct"/>
            <w:tcBorders>
              <w:top w:val="single" w:color="auto" w:sz="4" w:space="0"/>
              <w:left w:val="single" w:color="auto" w:sz="4" w:space="0"/>
              <w:bottom w:val="single" w:color="auto" w:sz="4" w:space="0"/>
              <w:right w:val="single" w:color="auto" w:sz="4" w:space="0"/>
            </w:tcBorders>
            <w:vAlign w:val="center"/>
          </w:tcPr>
          <w:p w14:paraId="04D23AA5">
            <w:pPr>
              <w:jc w:val="center"/>
              <w:rPr>
                <w:rFonts w:hint="default"/>
                <w:lang w:val="ru-RU"/>
              </w:rPr>
            </w:pPr>
            <w:r>
              <w:rPr>
                <w:rFonts w:hint="default"/>
                <w:lang w:val="ru-RU"/>
              </w:rPr>
              <w:t>3</w:t>
            </w:r>
          </w:p>
        </w:tc>
        <w:tc>
          <w:tcPr>
            <w:tcW w:w="818" w:type="pct"/>
            <w:tcBorders>
              <w:top w:val="single" w:color="auto" w:sz="4" w:space="0"/>
              <w:left w:val="single" w:color="auto" w:sz="4" w:space="0"/>
              <w:bottom w:val="single" w:color="auto" w:sz="4" w:space="0"/>
              <w:right w:val="single" w:color="auto" w:sz="4" w:space="0"/>
            </w:tcBorders>
            <w:shd w:val="clear" w:color="auto" w:fill="auto"/>
            <w:vAlign w:val="center"/>
          </w:tcPr>
          <w:p w14:paraId="47DC5387">
            <w:pPr>
              <w:jc w:val="center"/>
              <w:rPr>
                <w:sz w:val="22"/>
              </w:rPr>
            </w:pPr>
          </w:p>
        </w:tc>
        <w:tc>
          <w:tcPr>
            <w:tcW w:w="919" w:type="pct"/>
            <w:tcBorders>
              <w:top w:val="single" w:color="auto" w:sz="4" w:space="0"/>
              <w:left w:val="single" w:color="auto" w:sz="4" w:space="0"/>
              <w:bottom w:val="single" w:color="auto" w:sz="4" w:space="0"/>
              <w:right w:val="single" w:color="auto" w:sz="4" w:space="0"/>
            </w:tcBorders>
            <w:vAlign w:val="center"/>
          </w:tcPr>
          <w:p w14:paraId="6A7D4578">
            <w:pPr>
              <w:jc w:val="center"/>
              <w:rPr>
                <w:sz w:val="22"/>
              </w:rPr>
            </w:pPr>
          </w:p>
        </w:tc>
      </w:tr>
      <w:tr w14:paraId="77BF827E">
        <w:tblPrEx>
          <w:tblCellMar>
            <w:top w:w="0" w:type="dxa"/>
            <w:left w:w="108" w:type="dxa"/>
            <w:bottom w:w="0" w:type="dxa"/>
            <w:right w:w="108" w:type="dxa"/>
          </w:tblCellMar>
        </w:tblPrEx>
        <w:trPr>
          <w:trHeight w:val="49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53DAC446">
            <w:pPr>
              <w:pStyle w:val="185"/>
              <w:numPr>
                <w:ilvl w:val="0"/>
                <w:numId w:val="2"/>
              </w:numPr>
              <w:jc w:val="center"/>
              <w:rPr>
                <w:sz w:val="22"/>
              </w:rPr>
            </w:pPr>
          </w:p>
        </w:tc>
        <w:tc>
          <w:tcPr>
            <w:tcW w:w="1596" w:type="pct"/>
            <w:tcBorders>
              <w:top w:val="single" w:color="auto" w:sz="4" w:space="0"/>
              <w:left w:val="single" w:color="auto" w:sz="4" w:space="0"/>
              <w:bottom w:val="single" w:color="auto" w:sz="4" w:space="0"/>
              <w:right w:val="single" w:color="auto" w:sz="4" w:space="0"/>
            </w:tcBorders>
            <w:vAlign w:val="center"/>
          </w:tcPr>
          <w:p w14:paraId="0AA88B6C">
            <w:pPr>
              <w:jc w:val="center"/>
              <w:rPr>
                <w:sz w:val="22"/>
              </w:rPr>
            </w:pPr>
            <w:r>
              <w:rPr>
                <w:sz w:val="22"/>
              </w:rPr>
              <w:t>Очистка наледи и снежно-ледяных образований с краев крыш и у водосточных труб</w:t>
            </w:r>
          </w:p>
        </w:tc>
        <w:tc>
          <w:tcPr>
            <w:tcW w:w="644" w:type="pct"/>
            <w:tcBorders>
              <w:top w:val="single" w:color="auto" w:sz="4" w:space="0"/>
              <w:left w:val="single" w:color="auto" w:sz="4" w:space="0"/>
              <w:bottom w:val="single" w:color="auto" w:sz="4" w:space="0"/>
              <w:right w:val="single" w:color="auto" w:sz="4" w:space="0"/>
            </w:tcBorders>
            <w:vAlign w:val="center"/>
          </w:tcPr>
          <w:p w14:paraId="7EF9677A">
            <w:pPr>
              <w:jc w:val="center"/>
            </w:pPr>
            <w:r>
              <w:t>Кв.м.</w:t>
            </w:r>
          </w:p>
        </w:tc>
        <w:tc>
          <w:tcPr>
            <w:tcW w:w="752" w:type="pct"/>
            <w:tcBorders>
              <w:top w:val="single" w:color="auto" w:sz="4" w:space="0"/>
              <w:left w:val="single" w:color="auto" w:sz="4" w:space="0"/>
              <w:bottom w:val="single" w:color="auto" w:sz="4" w:space="0"/>
              <w:right w:val="single" w:color="auto" w:sz="4" w:space="0"/>
            </w:tcBorders>
            <w:vAlign w:val="center"/>
          </w:tcPr>
          <w:p w14:paraId="4103AAD5">
            <w:pPr>
              <w:jc w:val="center"/>
              <w:rPr>
                <w:rFonts w:hint="default"/>
                <w:lang w:val="ru-RU"/>
              </w:rPr>
            </w:pPr>
            <w:r>
              <w:rPr>
                <w:rFonts w:hint="default"/>
                <w:lang w:val="ru-RU"/>
              </w:rPr>
              <w:t>3</w:t>
            </w:r>
          </w:p>
        </w:tc>
        <w:tc>
          <w:tcPr>
            <w:tcW w:w="818" w:type="pct"/>
            <w:tcBorders>
              <w:top w:val="single" w:color="auto" w:sz="4" w:space="0"/>
              <w:left w:val="single" w:color="auto" w:sz="4" w:space="0"/>
              <w:bottom w:val="single" w:color="auto" w:sz="4" w:space="0"/>
              <w:right w:val="single" w:color="auto" w:sz="4" w:space="0"/>
            </w:tcBorders>
            <w:shd w:val="clear" w:color="auto" w:fill="auto"/>
            <w:vAlign w:val="center"/>
          </w:tcPr>
          <w:p w14:paraId="345B53A4">
            <w:pPr>
              <w:jc w:val="center"/>
              <w:rPr>
                <w:sz w:val="22"/>
              </w:rPr>
            </w:pPr>
          </w:p>
        </w:tc>
        <w:tc>
          <w:tcPr>
            <w:tcW w:w="919" w:type="pct"/>
            <w:tcBorders>
              <w:top w:val="single" w:color="auto" w:sz="4" w:space="0"/>
              <w:left w:val="single" w:color="auto" w:sz="4" w:space="0"/>
              <w:bottom w:val="single" w:color="auto" w:sz="4" w:space="0"/>
              <w:right w:val="single" w:color="auto" w:sz="4" w:space="0"/>
            </w:tcBorders>
            <w:vAlign w:val="center"/>
          </w:tcPr>
          <w:p w14:paraId="2EA47F97">
            <w:pPr>
              <w:jc w:val="center"/>
              <w:rPr>
                <w:sz w:val="22"/>
              </w:rPr>
            </w:pPr>
          </w:p>
        </w:tc>
      </w:tr>
      <w:tr w14:paraId="1981C6CD">
        <w:tblPrEx>
          <w:tblCellMar>
            <w:top w:w="0" w:type="dxa"/>
            <w:left w:w="108" w:type="dxa"/>
            <w:bottom w:w="0" w:type="dxa"/>
            <w:right w:w="108" w:type="dxa"/>
          </w:tblCellMar>
        </w:tblPrEx>
        <w:trPr>
          <w:trHeight w:val="49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3AD808EA">
            <w:pPr>
              <w:pStyle w:val="185"/>
              <w:numPr>
                <w:ilvl w:val="0"/>
                <w:numId w:val="2"/>
              </w:numPr>
              <w:jc w:val="center"/>
              <w:rPr>
                <w:sz w:val="22"/>
              </w:rPr>
            </w:pPr>
          </w:p>
        </w:tc>
        <w:tc>
          <w:tcPr>
            <w:tcW w:w="1596" w:type="pct"/>
            <w:tcBorders>
              <w:top w:val="single" w:color="auto" w:sz="4" w:space="0"/>
              <w:left w:val="single" w:color="auto" w:sz="4" w:space="0"/>
              <w:bottom w:val="single" w:color="auto" w:sz="4" w:space="0"/>
              <w:right w:val="single" w:color="auto" w:sz="4" w:space="0"/>
            </w:tcBorders>
            <w:vAlign w:val="center"/>
          </w:tcPr>
          <w:p w14:paraId="0CDAC0F2">
            <w:pPr>
              <w:jc w:val="center"/>
              <w:rPr>
                <w:sz w:val="22"/>
              </w:rPr>
            </w:pPr>
            <w:r>
              <w:rPr>
                <w:sz w:val="22"/>
              </w:rPr>
              <w:t>Ручная уборка тротуаров, подходных путей от сброшенного снега и наледи</w:t>
            </w:r>
          </w:p>
        </w:tc>
        <w:tc>
          <w:tcPr>
            <w:tcW w:w="644" w:type="pct"/>
            <w:tcBorders>
              <w:top w:val="single" w:color="auto" w:sz="4" w:space="0"/>
              <w:left w:val="single" w:color="auto" w:sz="4" w:space="0"/>
              <w:bottom w:val="single" w:color="auto" w:sz="4" w:space="0"/>
              <w:right w:val="single" w:color="auto" w:sz="4" w:space="0"/>
            </w:tcBorders>
            <w:vAlign w:val="center"/>
          </w:tcPr>
          <w:p w14:paraId="3F28B66B">
            <w:pPr>
              <w:jc w:val="center"/>
            </w:pPr>
            <w:r>
              <w:t>Кв.м.</w:t>
            </w:r>
          </w:p>
        </w:tc>
        <w:tc>
          <w:tcPr>
            <w:tcW w:w="752" w:type="pct"/>
            <w:tcBorders>
              <w:top w:val="single" w:color="auto" w:sz="4" w:space="0"/>
              <w:left w:val="single" w:color="auto" w:sz="4" w:space="0"/>
              <w:bottom w:val="single" w:color="auto" w:sz="4" w:space="0"/>
              <w:right w:val="single" w:color="auto" w:sz="4" w:space="0"/>
            </w:tcBorders>
            <w:vAlign w:val="center"/>
          </w:tcPr>
          <w:p w14:paraId="17EAEAAF">
            <w:pPr>
              <w:jc w:val="center"/>
            </w:pPr>
            <w:r>
              <w:t>3</w:t>
            </w:r>
          </w:p>
        </w:tc>
        <w:tc>
          <w:tcPr>
            <w:tcW w:w="818" w:type="pct"/>
            <w:tcBorders>
              <w:top w:val="single" w:color="auto" w:sz="4" w:space="0"/>
              <w:left w:val="single" w:color="auto" w:sz="4" w:space="0"/>
              <w:bottom w:val="single" w:color="auto" w:sz="4" w:space="0"/>
              <w:right w:val="single" w:color="auto" w:sz="4" w:space="0"/>
            </w:tcBorders>
            <w:shd w:val="clear" w:color="auto" w:fill="auto"/>
            <w:vAlign w:val="center"/>
          </w:tcPr>
          <w:p w14:paraId="0DCADDEC">
            <w:pPr>
              <w:jc w:val="center"/>
              <w:rPr>
                <w:sz w:val="22"/>
              </w:rPr>
            </w:pPr>
          </w:p>
        </w:tc>
        <w:tc>
          <w:tcPr>
            <w:tcW w:w="919" w:type="pct"/>
            <w:tcBorders>
              <w:top w:val="single" w:color="auto" w:sz="4" w:space="0"/>
              <w:left w:val="single" w:color="auto" w:sz="4" w:space="0"/>
              <w:bottom w:val="single" w:color="auto" w:sz="4" w:space="0"/>
              <w:right w:val="single" w:color="auto" w:sz="4" w:space="0"/>
            </w:tcBorders>
            <w:vAlign w:val="center"/>
          </w:tcPr>
          <w:p w14:paraId="3AB0538B">
            <w:pPr>
              <w:jc w:val="center"/>
              <w:rPr>
                <w:sz w:val="22"/>
              </w:rPr>
            </w:pPr>
          </w:p>
        </w:tc>
      </w:tr>
      <w:tr w14:paraId="6155CF6F">
        <w:tblPrEx>
          <w:tblCellMar>
            <w:top w:w="0" w:type="dxa"/>
            <w:left w:w="108" w:type="dxa"/>
            <w:bottom w:w="0" w:type="dxa"/>
            <w:right w:w="108" w:type="dxa"/>
          </w:tblCellMar>
        </w:tblPrEx>
        <w:trPr>
          <w:trHeight w:val="417" w:hRule="atLeast"/>
        </w:trPr>
        <w:tc>
          <w:tcPr>
            <w:tcW w:w="408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2315D53">
            <w:pPr>
              <w:jc w:val="center"/>
              <w:rPr>
                <w:b/>
                <w:sz w:val="22"/>
              </w:rPr>
            </w:pPr>
            <w:r>
              <w:rPr>
                <w:b/>
                <w:sz w:val="22"/>
              </w:rPr>
              <w:t>ИТОГО</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5AD610F8">
            <w:pPr>
              <w:jc w:val="center"/>
              <w:rPr>
                <w:b/>
                <w:sz w:val="22"/>
              </w:rPr>
            </w:pPr>
            <w:r>
              <w:rPr>
                <w:b/>
                <w:sz w:val="22"/>
              </w:rPr>
              <w:t xml:space="preserve">  </w:t>
            </w:r>
          </w:p>
        </w:tc>
      </w:tr>
    </w:tbl>
    <w:p w14:paraId="133F1303">
      <w:pPr>
        <w:autoSpaceDE w:val="0"/>
        <w:autoSpaceDN w:val="0"/>
        <w:adjustRightInd w:val="0"/>
        <w:ind w:right="261"/>
        <w:jc w:val="center"/>
        <w:rPr>
          <w:b/>
          <w:bCs/>
        </w:rPr>
      </w:pPr>
    </w:p>
    <w:p w14:paraId="0FC5BAD5">
      <w:pPr>
        <w:autoSpaceDE w:val="0"/>
        <w:autoSpaceDN w:val="0"/>
        <w:adjustRightInd w:val="0"/>
        <w:ind w:left="-567" w:right="261" w:firstLine="567"/>
        <w:jc w:val="both"/>
        <w:rPr>
          <w:bCs/>
          <w:sz w:val="28"/>
          <w:szCs w:val="28"/>
        </w:rPr>
      </w:pPr>
    </w:p>
    <w:tbl>
      <w:tblPr>
        <w:tblStyle w:val="12"/>
        <w:tblW w:w="4912" w:type="pct"/>
        <w:tblInd w:w="0" w:type="dxa"/>
        <w:tblLayout w:type="autofit"/>
        <w:tblCellMar>
          <w:top w:w="0" w:type="dxa"/>
          <w:left w:w="108" w:type="dxa"/>
          <w:bottom w:w="0" w:type="dxa"/>
          <w:right w:w="108" w:type="dxa"/>
        </w:tblCellMar>
      </w:tblPr>
      <w:tblGrid>
        <w:gridCol w:w="5149"/>
        <w:gridCol w:w="4966"/>
      </w:tblGrid>
      <w:tr w14:paraId="67EEF694">
        <w:tblPrEx>
          <w:tblCellMar>
            <w:top w:w="0" w:type="dxa"/>
            <w:left w:w="108" w:type="dxa"/>
            <w:bottom w:w="0" w:type="dxa"/>
            <w:right w:w="108" w:type="dxa"/>
          </w:tblCellMar>
        </w:tblPrEx>
        <w:trPr>
          <w:trHeight w:val="4424" w:hRule="atLeast"/>
        </w:trPr>
        <w:tc>
          <w:tcPr>
            <w:tcW w:w="2545" w:type="pct"/>
          </w:tcPr>
          <w:p w14:paraId="59976A41">
            <w:pPr>
              <w:rPr>
                <w:sz w:val="22"/>
                <w:szCs w:val="22"/>
              </w:rPr>
            </w:pPr>
            <w:r>
              <w:rPr>
                <w:b/>
                <w:sz w:val="22"/>
                <w:szCs w:val="22"/>
              </w:rPr>
              <w:t>Заказчик:</w:t>
            </w:r>
            <w:r>
              <w:rPr>
                <w:sz w:val="22"/>
                <w:szCs w:val="22"/>
              </w:rPr>
              <w:t xml:space="preserve"> </w:t>
            </w:r>
          </w:p>
          <w:p w14:paraId="20D425BE">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05B8B39B">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22C12D2E">
            <w:pPr>
              <w:autoSpaceDE w:val="0"/>
              <w:autoSpaceDN w:val="0"/>
              <w:adjustRightInd w:val="0"/>
              <w:jc w:val="both"/>
              <w:rPr>
                <w:rFonts w:ascii="Courier New" w:hAnsi="Courier New" w:eastAsia="Calibri" w:cs="Courier New"/>
                <w:bCs/>
                <w:sz w:val="22"/>
                <w:szCs w:val="22"/>
                <w:lang w:eastAsia="en-US"/>
              </w:rPr>
            </w:pPr>
          </w:p>
        </w:tc>
      </w:tr>
    </w:tbl>
    <w:p w14:paraId="7DCD8EC7">
      <w:pPr>
        <w:ind w:right="261"/>
        <w:rPr>
          <w:sz w:val="26"/>
          <w:szCs w:val="26"/>
        </w:rPr>
      </w:pPr>
    </w:p>
    <w:p w14:paraId="51EB7515">
      <w:pPr>
        <w:ind w:right="261"/>
        <w:rPr>
          <w:sz w:val="26"/>
          <w:szCs w:val="26"/>
        </w:rPr>
      </w:pPr>
    </w:p>
    <w:p w14:paraId="50F78C28">
      <w:pPr>
        <w:ind w:right="261"/>
        <w:rPr>
          <w:sz w:val="26"/>
          <w:szCs w:val="26"/>
        </w:rPr>
      </w:pPr>
    </w:p>
    <w:p w14:paraId="43C8B917">
      <w:pPr>
        <w:pStyle w:val="200"/>
        <w:ind w:firstLine="540"/>
        <w:jc w:val="both"/>
        <w:outlineLvl w:val="2"/>
        <w:rPr>
          <w:sz w:val="26"/>
          <w:szCs w:val="26"/>
        </w:rPr>
      </w:pPr>
    </w:p>
    <w:p w14:paraId="7608A7ED">
      <w:pPr>
        <w:spacing w:after="160" w:line="259" w:lineRule="auto"/>
      </w:pPr>
    </w:p>
    <w:p w14:paraId="052249A3">
      <w:pPr>
        <w:spacing w:after="160" w:line="259" w:lineRule="auto"/>
      </w:pPr>
    </w:p>
    <w:p w14:paraId="0FA128B7">
      <w:pPr>
        <w:spacing w:after="160" w:line="259" w:lineRule="auto"/>
      </w:pPr>
    </w:p>
    <w:p w14:paraId="49FDEB29">
      <w:pPr>
        <w:pageBreakBefore/>
        <w:ind w:right="261"/>
        <w:jc w:val="right"/>
      </w:pPr>
      <w:r>
        <w:t>Приложение № 1 к Контракту</w:t>
      </w:r>
    </w:p>
    <w:p w14:paraId="2D336168">
      <w:pPr>
        <w:ind w:right="261"/>
        <w:jc w:val="right"/>
      </w:pPr>
      <w:r>
        <w:t xml:space="preserve"> </w:t>
      </w:r>
    </w:p>
    <w:p w14:paraId="0CF84A36">
      <w:pPr>
        <w:ind w:right="261"/>
        <w:jc w:val="right"/>
      </w:pPr>
    </w:p>
    <w:p w14:paraId="2C43B257">
      <w:pPr>
        <w:ind w:right="261"/>
        <w:jc w:val="center"/>
        <w:outlineLvl w:val="0"/>
        <w:rPr>
          <w:b/>
          <w:bCs/>
        </w:rPr>
      </w:pPr>
      <w:r>
        <w:rPr>
          <w:b/>
          <w:bCs/>
        </w:rPr>
        <w:t>Технические характеристики услуг</w:t>
      </w:r>
    </w:p>
    <w:p w14:paraId="51EB2110">
      <w:pPr>
        <w:wordWrap w:val="0"/>
        <w:ind w:right="261"/>
        <w:jc w:val="right"/>
        <w:rPr>
          <w:rFonts w:hint="default"/>
          <w:sz w:val="18"/>
          <w:szCs w:val="18"/>
          <w:lang w:val="ru-RU"/>
        </w:rPr>
      </w:pPr>
      <w:r>
        <w:rPr>
          <w:sz w:val="18"/>
          <w:szCs w:val="18"/>
          <w:lang w:val="ru-RU"/>
        </w:rPr>
        <w:t>Таблица</w:t>
      </w:r>
      <w:r>
        <w:rPr>
          <w:rFonts w:hint="default"/>
          <w:sz w:val="18"/>
          <w:szCs w:val="18"/>
          <w:lang w:val="ru-RU"/>
        </w:rPr>
        <w:t xml:space="preserve"> 1 </w:t>
      </w:r>
    </w:p>
    <w:tbl>
      <w:tblPr>
        <w:tblStyle w:val="12"/>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7126"/>
        <w:gridCol w:w="992"/>
        <w:gridCol w:w="992"/>
      </w:tblGrid>
      <w:tr w14:paraId="21D1C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9" w:type="dxa"/>
            <w:shd w:val="clear" w:color="auto" w:fill="auto"/>
            <w:vAlign w:val="center"/>
          </w:tcPr>
          <w:p w14:paraId="44604B43">
            <w:pPr>
              <w:ind w:right="34"/>
              <w:jc w:val="center"/>
              <w:rPr>
                <w:b/>
              </w:rPr>
            </w:pPr>
            <w:r>
              <w:rPr>
                <w:b/>
              </w:rPr>
              <w:t>№п/п</w:t>
            </w:r>
          </w:p>
        </w:tc>
        <w:tc>
          <w:tcPr>
            <w:tcW w:w="7126" w:type="dxa"/>
            <w:shd w:val="clear" w:color="auto" w:fill="auto"/>
            <w:vAlign w:val="center"/>
          </w:tcPr>
          <w:p w14:paraId="3D342B1F">
            <w:pPr>
              <w:ind w:right="261"/>
              <w:jc w:val="center"/>
              <w:rPr>
                <w:b/>
              </w:rPr>
            </w:pPr>
            <w:r>
              <w:rPr>
                <w:b/>
              </w:rPr>
              <w:t>Наименование и технические характеристики услуг.</w:t>
            </w:r>
          </w:p>
        </w:tc>
        <w:tc>
          <w:tcPr>
            <w:tcW w:w="992" w:type="dxa"/>
            <w:shd w:val="clear" w:color="auto" w:fill="auto"/>
            <w:vAlign w:val="center"/>
          </w:tcPr>
          <w:p w14:paraId="15671FAD">
            <w:pPr>
              <w:ind w:right="-55"/>
              <w:jc w:val="center"/>
              <w:rPr>
                <w:b/>
              </w:rPr>
            </w:pPr>
            <w:r>
              <w:rPr>
                <w:b/>
              </w:rPr>
              <w:t>Ед. изм.</w:t>
            </w:r>
          </w:p>
        </w:tc>
        <w:tc>
          <w:tcPr>
            <w:tcW w:w="992" w:type="dxa"/>
            <w:shd w:val="clear" w:color="auto" w:fill="auto"/>
            <w:vAlign w:val="center"/>
          </w:tcPr>
          <w:p w14:paraId="1E7715EC">
            <w:pPr>
              <w:ind w:right="-55"/>
              <w:jc w:val="center"/>
              <w:rPr>
                <w:rFonts w:hint="default"/>
                <w:b/>
                <w:lang w:val="ru-RU"/>
              </w:rPr>
            </w:pPr>
            <w:r>
              <w:rPr>
                <w:b/>
                <w:lang w:val="ru-RU"/>
              </w:rPr>
              <w:t>Кол</w:t>
            </w:r>
            <w:r>
              <w:rPr>
                <w:rFonts w:hint="default"/>
                <w:b/>
                <w:lang w:val="ru-RU"/>
              </w:rPr>
              <w:t>-во</w:t>
            </w:r>
          </w:p>
        </w:tc>
      </w:tr>
      <w:tr w14:paraId="68F1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9" w:type="dxa"/>
            <w:shd w:val="clear" w:color="auto" w:fill="auto"/>
            <w:vAlign w:val="bottom"/>
          </w:tcPr>
          <w:p w14:paraId="1D65B65E">
            <w:pPr>
              <w:ind w:right="34"/>
              <w:jc w:val="center"/>
            </w:pPr>
            <w:r>
              <w:t>1</w:t>
            </w:r>
          </w:p>
        </w:tc>
        <w:tc>
          <w:tcPr>
            <w:tcW w:w="7126" w:type="dxa"/>
            <w:shd w:val="clear" w:color="auto" w:fill="auto"/>
            <w:vAlign w:val="center"/>
          </w:tcPr>
          <w:p w14:paraId="621202AC">
            <w:pPr>
              <w:pStyle w:val="188"/>
              <w:tabs>
                <w:tab w:val="left" w:pos="0"/>
              </w:tabs>
              <w:ind w:right="-53"/>
            </w:pPr>
            <w:r>
              <w:t xml:space="preserve">Очистка всей кровли от снега, наледи. </w:t>
            </w:r>
          </w:p>
        </w:tc>
        <w:tc>
          <w:tcPr>
            <w:tcW w:w="992" w:type="dxa"/>
            <w:shd w:val="clear" w:color="auto" w:fill="auto"/>
            <w:vAlign w:val="center"/>
          </w:tcPr>
          <w:p w14:paraId="67FD681C">
            <w:pPr>
              <w:ind w:right="-55"/>
              <w:jc w:val="center"/>
            </w:pPr>
            <w:r>
              <w:t>М.кв.</w:t>
            </w:r>
          </w:p>
        </w:tc>
        <w:tc>
          <w:tcPr>
            <w:tcW w:w="992" w:type="dxa"/>
            <w:shd w:val="clear" w:color="auto" w:fill="auto"/>
            <w:vAlign w:val="center"/>
          </w:tcPr>
          <w:p w14:paraId="6F03BEDA">
            <w:pPr>
              <w:ind w:right="-55"/>
              <w:jc w:val="center"/>
              <w:rPr>
                <w:rFonts w:hint="default"/>
                <w:lang w:val="ru-RU"/>
              </w:rPr>
            </w:pPr>
            <w:r>
              <w:rPr>
                <w:rFonts w:hint="default"/>
                <w:lang w:val="ru-RU"/>
              </w:rPr>
              <w:t>686</w:t>
            </w:r>
          </w:p>
        </w:tc>
      </w:tr>
      <w:tr w14:paraId="7D62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9" w:type="dxa"/>
            <w:shd w:val="clear" w:color="auto" w:fill="auto"/>
            <w:vAlign w:val="bottom"/>
          </w:tcPr>
          <w:p w14:paraId="01F37C9C">
            <w:pPr>
              <w:ind w:right="34"/>
              <w:jc w:val="center"/>
            </w:pPr>
            <w:r>
              <w:t>2</w:t>
            </w:r>
          </w:p>
        </w:tc>
        <w:tc>
          <w:tcPr>
            <w:tcW w:w="7126" w:type="dxa"/>
            <w:shd w:val="clear" w:color="auto" w:fill="auto"/>
            <w:noWrap/>
            <w:vAlign w:val="center"/>
          </w:tcPr>
          <w:p w14:paraId="75001D39">
            <w:pPr>
              <w:pStyle w:val="188"/>
              <w:tabs>
                <w:tab w:val="left" w:pos="0"/>
              </w:tabs>
              <w:ind w:right="-53"/>
            </w:pPr>
            <w:r>
              <w:t xml:space="preserve">Очистка наледи и снежно-ледяных образований с краев крыш и у водосточных труб. </w:t>
            </w:r>
          </w:p>
        </w:tc>
        <w:tc>
          <w:tcPr>
            <w:tcW w:w="992" w:type="dxa"/>
            <w:shd w:val="clear" w:color="auto" w:fill="auto"/>
            <w:vAlign w:val="center"/>
          </w:tcPr>
          <w:p w14:paraId="206E0886">
            <w:pPr>
              <w:ind w:right="-55"/>
              <w:jc w:val="center"/>
            </w:pPr>
            <w:r>
              <w:t>М.</w:t>
            </w:r>
            <w:r>
              <w:rPr>
                <w:lang w:val="ru-RU"/>
              </w:rPr>
              <w:t>пог</w:t>
            </w:r>
            <w:r>
              <w:t>.</w:t>
            </w:r>
          </w:p>
        </w:tc>
        <w:tc>
          <w:tcPr>
            <w:tcW w:w="992" w:type="dxa"/>
            <w:shd w:val="clear" w:color="auto" w:fill="auto"/>
            <w:vAlign w:val="center"/>
          </w:tcPr>
          <w:p w14:paraId="27C6809C">
            <w:pPr>
              <w:ind w:right="-55"/>
              <w:jc w:val="center"/>
              <w:rPr>
                <w:rFonts w:hint="default"/>
                <w:lang w:val="ru-RU"/>
              </w:rPr>
            </w:pPr>
            <w:r>
              <w:rPr>
                <w:rFonts w:hint="default"/>
                <w:lang w:val="ru-RU"/>
              </w:rPr>
              <w:t>210</w:t>
            </w:r>
          </w:p>
        </w:tc>
      </w:tr>
      <w:tr w14:paraId="5C88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9" w:type="dxa"/>
            <w:shd w:val="clear" w:color="auto" w:fill="auto"/>
            <w:vAlign w:val="bottom"/>
          </w:tcPr>
          <w:p w14:paraId="160E04C4">
            <w:pPr>
              <w:ind w:right="34"/>
              <w:jc w:val="center"/>
            </w:pPr>
            <w:r>
              <w:t>3</w:t>
            </w:r>
          </w:p>
        </w:tc>
        <w:tc>
          <w:tcPr>
            <w:tcW w:w="7126" w:type="dxa"/>
            <w:shd w:val="clear" w:color="auto" w:fill="auto"/>
            <w:noWrap/>
            <w:vAlign w:val="center"/>
          </w:tcPr>
          <w:p w14:paraId="32D99D16">
            <w:pPr>
              <w:pStyle w:val="188"/>
              <w:tabs>
                <w:tab w:val="left" w:pos="0"/>
              </w:tabs>
              <w:ind w:right="-53"/>
            </w:pPr>
            <w:r>
              <w:t>Ручная уборка тротуаров, подходных путей от сброшенного снега и наледи.</w:t>
            </w:r>
          </w:p>
        </w:tc>
        <w:tc>
          <w:tcPr>
            <w:tcW w:w="992" w:type="dxa"/>
            <w:shd w:val="clear" w:color="auto" w:fill="auto"/>
            <w:vAlign w:val="center"/>
          </w:tcPr>
          <w:p w14:paraId="616C2337">
            <w:pPr>
              <w:ind w:right="-55"/>
              <w:jc w:val="center"/>
            </w:pPr>
            <w:r>
              <w:t>М.кв.</w:t>
            </w:r>
          </w:p>
        </w:tc>
        <w:tc>
          <w:tcPr>
            <w:tcW w:w="992" w:type="dxa"/>
            <w:shd w:val="clear" w:color="auto" w:fill="auto"/>
            <w:vAlign w:val="center"/>
          </w:tcPr>
          <w:p w14:paraId="6955CC20">
            <w:pPr>
              <w:ind w:right="-55"/>
              <w:jc w:val="center"/>
              <w:rPr>
                <w:rFonts w:hint="default"/>
                <w:lang w:val="ru-RU"/>
              </w:rPr>
            </w:pPr>
            <w:r>
              <w:rPr>
                <w:rFonts w:hint="default"/>
                <w:lang w:val="ru-RU"/>
              </w:rPr>
              <w:t>10</w:t>
            </w:r>
          </w:p>
        </w:tc>
      </w:tr>
    </w:tbl>
    <w:p w14:paraId="583AFE55">
      <w:pPr>
        <w:ind w:right="261"/>
        <w:jc w:val="right"/>
      </w:pPr>
    </w:p>
    <w:p w14:paraId="7F8D0223">
      <w:pPr>
        <w:jc w:val="center"/>
        <w:rPr>
          <w:b/>
          <w:bCs/>
        </w:rPr>
      </w:pPr>
      <w:r>
        <w:rPr>
          <w:b/>
          <w:bCs/>
        </w:rPr>
        <w:t>Общие требования к оказываемым услугам</w:t>
      </w:r>
    </w:p>
    <w:p w14:paraId="5F97FA57">
      <w:pPr>
        <w:ind w:firstLine="567"/>
        <w:jc w:val="both"/>
        <w:rPr>
          <w:bCs/>
          <w:sz w:val="22"/>
          <w:szCs w:val="22"/>
        </w:rPr>
      </w:pPr>
    </w:p>
    <w:p w14:paraId="646BBEBC">
      <w:pPr>
        <w:tabs>
          <w:tab w:val="left" w:pos="0"/>
          <w:tab w:val="left" w:pos="8342"/>
        </w:tabs>
        <w:spacing w:after="60"/>
        <w:ind w:firstLine="709"/>
        <w:jc w:val="both"/>
      </w:pPr>
      <w:bookmarkStart w:id="0" w:name="_Hlk126664151"/>
      <w:r>
        <w:t>1.  Требования к техническим, функциональным, качественным и эксплуатационным характеристикам объекта закупки указаны в таблице 1.</w:t>
      </w:r>
    </w:p>
    <w:p w14:paraId="1481180D">
      <w:pPr>
        <w:tabs>
          <w:tab w:val="left" w:pos="0"/>
          <w:tab w:val="left" w:pos="8342"/>
        </w:tabs>
        <w:spacing w:after="60"/>
        <w:ind w:firstLine="709"/>
        <w:jc w:val="both"/>
        <w:rPr>
          <w:rFonts w:eastAsia="Calibri"/>
        </w:rPr>
      </w:pPr>
      <w:r>
        <w:t>2. Требования к количественным характеристикам (объему) оказываемых услуг: указаны в Приложении № 2.</w:t>
      </w:r>
    </w:p>
    <w:p w14:paraId="378477D3">
      <w:pPr>
        <w:widowControl w:val="0"/>
        <w:suppressAutoHyphens/>
        <w:autoSpaceDE w:val="0"/>
        <w:jc w:val="both"/>
        <w:textAlignment w:val="baseline"/>
        <w:rPr>
          <w:rFonts w:eastAsia="Calibri"/>
        </w:rPr>
      </w:pPr>
      <w:r>
        <w:rPr>
          <w:rFonts w:eastAsia="Calibri"/>
        </w:rPr>
        <w:t xml:space="preserve">            3. Оказание услуг должно производиться в соответствии с действующими государственными и отраслевыми стандартами и иными нормативными документами, обязательными при оказании услуг, соответствующих предмету электронного аукциона.</w:t>
      </w:r>
    </w:p>
    <w:p w14:paraId="6FF5AFF8">
      <w:pPr>
        <w:widowControl w:val="0"/>
        <w:suppressAutoHyphens/>
        <w:autoSpaceDE w:val="0"/>
        <w:jc w:val="both"/>
        <w:textAlignment w:val="baseline"/>
        <w:rPr>
          <w:rFonts w:eastAsia="Calibri"/>
        </w:rPr>
      </w:pPr>
      <w:r>
        <w:rPr>
          <w:rFonts w:eastAsia="Calibri"/>
        </w:rPr>
        <w:t xml:space="preserve">            4. Заказчик обязан обеспечить беспрепятственный доступ персонала Исполнителя, для оказания услуг по Контракту, в помещения и на территорию объекта в часы работы Заказчика, но не позднее, чем на следующий рабочий день после заявки Заказчика.</w:t>
      </w:r>
    </w:p>
    <w:p w14:paraId="3F6CA086">
      <w:pPr>
        <w:widowControl w:val="0"/>
        <w:suppressAutoHyphens/>
        <w:autoSpaceDE w:val="0"/>
        <w:jc w:val="both"/>
        <w:textAlignment w:val="baseline"/>
        <w:rPr>
          <w:rFonts w:eastAsia="Calibri"/>
        </w:rPr>
      </w:pPr>
      <w:r>
        <w:rPr>
          <w:rFonts w:eastAsia="Calibri"/>
        </w:rPr>
        <w:t xml:space="preserve">            5. Заказчик обязан обеспечить отсутствие автотранспорта в радиусе сброса снега/наледи с кровли во время уборки Исполнителем.</w:t>
      </w:r>
    </w:p>
    <w:p w14:paraId="45571004">
      <w:pPr>
        <w:widowControl w:val="0"/>
        <w:suppressAutoHyphens/>
        <w:autoSpaceDE w:val="0"/>
        <w:jc w:val="both"/>
        <w:textAlignment w:val="baseline"/>
        <w:rPr>
          <w:rFonts w:eastAsia="Calibri"/>
        </w:rPr>
      </w:pPr>
      <w:r>
        <w:rPr>
          <w:rFonts w:eastAsia="Calibri"/>
        </w:rPr>
        <w:t xml:space="preserve">            6. Услуги на высоте должны быть оказаны персоналом, имеющим соответствующую квалификацию по данному виду работ и соответствующий допуск на выполнение работ в соответствии с Правилами по охране труда при работе на высоте, утвержденных приказом Министерства труда и социальной защиты Российской Федерации от 16.11.2020 г. № 782н.</w:t>
      </w:r>
    </w:p>
    <w:p w14:paraId="380E5367">
      <w:pPr>
        <w:widowControl w:val="0"/>
        <w:suppressAutoHyphens/>
        <w:autoSpaceDE w:val="0"/>
        <w:jc w:val="both"/>
        <w:textAlignment w:val="baseline"/>
        <w:rPr>
          <w:rFonts w:eastAsia="Calibri"/>
        </w:rPr>
      </w:pPr>
      <w:r>
        <w:rPr>
          <w:rFonts w:eastAsia="Calibri"/>
        </w:rPr>
        <w:t xml:space="preserve">            7. Специалисты должны быть обеспечены средствами индивидуальной защиты, экипированы спецодеждой, оснащены необходимым  сертифицированным инструментом, оборудованием и принадлежностями.</w:t>
      </w:r>
    </w:p>
    <w:p w14:paraId="18A26A1E">
      <w:pPr>
        <w:widowControl w:val="0"/>
        <w:suppressAutoHyphens/>
        <w:autoSpaceDE w:val="0"/>
        <w:jc w:val="both"/>
        <w:textAlignment w:val="baseline"/>
        <w:rPr>
          <w:rFonts w:eastAsia="Calibri"/>
        </w:rPr>
      </w:pPr>
      <w:r>
        <w:rPr>
          <w:rFonts w:eastAsia="Calibri"/>
        </w:rPr>
        <w:t xml:space="preserve">            8. Необходимое ограждение участков работ осуществляется силами Исполнителя с использованием необходимого количества дежурных из числа своих работников. </w:t>
      </w:r>
    </w:p>
    <w:p w14:paraId="29CDB041">
      <w:pPr>
        <w:widowControl w:val="0"/>
        <w:suppressAutoHyphens/>
        <w:autoSpaceDE w:val="0"/>
        <w:jc w:val="both"/>
        <w:textAlignment w:val="baseline"/>
        <w:rPr>
          <w:rFonts w:eastAsia="Calibri"/>
        </w:rPr>
      </w:pPr>
      <w:r>
        <w:rPr>
          <w:rFonts w:eastAsia="Calibri"/>
        </w:rPr>
        <w:t xml:space="preserve">            9. В месте очистки кровли от снега наледи и сосулек, в том числе кровельного свеса и карнизов от висящей наледи и сосулек, должны выставляться ограждения под наблюдением представителя Исполнителя, находящегося непосредственно в районе оказания услуг, чтобы не причинить вред пешеходам.</w:t>
      </w:r>
    </w:p>
    <w:p w14:paraId="52EF7FA9">
      <w:pPr>
        <w:widowControl w:val="0"/>
        <w:suppressAutoHyphens/>
        <w:autoSpaceDE w:val="0"/>
        <w:jc w:val="both"/>
        <w:textAlignment w:val="baseline"/>
        <w:rPr>
          <w:rFonts w:eastAsia="Calibri"/>
        </w:rPr>
      </w:pPr>
      <w:r>
        <w:rPr>
          <w:rFonts w:eastAsia="Calibri"/>
        </w:rPr>
        <w:t xml:space="preserve">            10. Перед началом оказания услуг по очистке крыш, предоставить работнику наряд-допуск на оказание услуг, в котором должны быть указаны время, начало и окончание услуг, состав бригады или лиц, оказывающих услуги, ответственных лиц при оказании этих услуг, а также указанное место и способы крепления страховочной веревки.</w:t>
      </w:r>
    </w:p>
    <w:p w14:paraId="49014C43">
      <w:pPr>
        <w:widowControl w:val="0"/>
        <w:suppressAutoHyphens/>
        <w:autoSpaceDE w:val="0"/>
        <w:jc w:val="both"/>
        <w:textAlignment w:val="baseline"/>
        <w:rPr>
          <w:rFonts w:eastAsia="Calibri"/>
        </w:rPr>
      </w:pPr>
      <w:r>
        <w:rPr>
          <w:rFonts w:eastAsia="Calibri"/>
        </w:rPr>
        <w:t xml:space="preserve">           11. Оказание услуг включает в себя:</w:t>
      </w:r>
    </w:p>
    <w:p w14:paraId="51D78652">
      <w:r>
        <w:t>- Уборка снега с площади кровли;</w:t>
      </w:r>
    </w:p>
    <w:p w14:paraId="5448EBC7">
      <w:r>
        <w:t>- Уборка снега и наледи по периметру кровли вдоль карнизного свеса. Ширина очищаемой полосы 1,5 м;</w:t>
      </w:r>
    </w:p>
    <w:p w14:paraId="0C8A1207">
      <w:r>
        <w:t>- Удаление сосулек по периметру;</w:t>
      </w:r>
    </w:p>
    <w:p w14:paraId="27E25D21">
      <w:r>
        <w:t>- Удаление снега и наледи на настенных выступах, доступных только с помощью свесов;</w:t>
      </w:r>
    </w:p>
    <w:p w14:paraId="321B7283">
      <w:r>
        <w:t>- Организация сигнальных постов на тротуарах в местах сброса снега и наледи;</w:t>
      </w:r>
    </w:p>
    <w:p w14:paraId="6204D5EB">
      <w:pPr>
        <w:widowControl w:val="0"/>
        <w:suppressAutoHyphens/>
        <w:autoSpaceDE w:val="0"/>
        <w:textAlignment w:val="baseline"/>
        <w:rPr>
          <w:rFonts w:eastAsia="Calibri"/>
        </w:rPr>
      </w:pPr>
      <w:r>
        <w:rPr>
          <w:rFonts w:eastAsia="Calibri"/>
        </w:rPr>
        <w:t>12. При сбрасывании снега с крыши Исполнитель обязуется обеспечить сохранность кровельного покрытия, ограждения, выступающих элементов здания, окон, электрических, телефонных проводов, элементов благоустройства.  В случае их повреждения при оказании услуг, Исполнитель за свой счет производит ремонт поврежденных элементов.</w:t>
      </w:r>
    </w:p>
    <w:p w14:paraId="6E8F7967">
      <w:pPr>
        <w:autoSpaceDE w:val="0"/>
        <w:autoSpaceDN w:val="0"/>
        <w:adjustRightInd w:val="0"/>
        <w:jc w:val="both"/>
        <w:rPr>
          <w:rFonts w:eastAsia="Calibri"/>
        </w:rPr>
      </w:pPr>
      <w:r>
        <w:rPr>
          <w:rFonts w:eastAsia="Calibri"/>
        </w:rPr>
        <w:t xml:space="preserve">           13.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 (СНиП, СаНПиН и пр.) и других руководящих документов.</w:t>
      </w:r>
    </w:p>
    <w:p w14:paraId="113146E0">
      <w:pPr>
        <w:autoSpaceDE w:val="0"/>
        <w:autoSpaceDN w:val="0"/>
        <w:adjustRightInd w:val="0"/>
        <w:jc w:val="both"/>
        <w:rPr>
          <w:rFonts w:eastAsia="Calibri"/>
        </w:rPr>
      </w:pPr>
      <w:r>
        <w:rPr>
          <w:rFonts w:eastAsia="Calibri"/>
        </w:rPr>
        <w:t xml:space="preserve">           14. Оказываемые услуги должны соответствовать требованиям действующего законодательства РФ.</w:t>
      </w:r>
    </w:p>
    <w:p w14:paraId="2A78CCED">
      <w:pPr>
        <w:autoSpaceDE w:val="0"/>
        <w:autoSpaceDN w:val="0"/>
        <w:adjustRightInd w:val="0"/>
        <w:jc w:val="both"/>
        <w:rPr>
          <w:rFonts w:eastAsia="Calibri"/>
        </w:rPr>
      </w:pPr>
      <w:r>
        <w:rPr>
          <w:rFonts w:eastAsia="Calibri"/>
        </w:rPr>
        <w:t xml:space="preserve">           15. Услуги должны оказываться с соблюдением норм безопасности работ для жизни, здоровья, имущества Заказчика и окружающей среды, а также должна быть обеспечена безопасность процесса оказания услуги.</w:t>
      </w:r>
    </w:p>
    <w:p w14:paraId="775A79DC">
      <w:pPr>
        <w:autoSpaceDE w:val="0"/>
        <w:autoSpaceDN w:val="0"/>
        <w:adjustRightInd w:val="0"/>
        <w:jc w:val="both"/>
        <w:rPr>
          <w:rFonts w:eastAsia="Calibri"/>
        </w:rPr>
      </w:pPr>
      <w:r>
        <w:rPr>
          <w:rFonts w:eastAsia="Calibri"/>
          <w:lang w:eastAsia="en-US"/>
        </w:rPr>
        <w:t xml:space="preserve">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w:t>
      </w:r>
    </w:p>
    <w:p w14:paraId="6501DDFD">
      <w:pPr>
        <w:autoSpaceDE w:val="0"/>
        <w:autoSpaceDN w:val="0"/>
        <w:adjustRightInd w:val="0"/>
        <w:jc w:val="both"/>
        <w:rPr>
          <w:rFonts w:eastAsia="Calibri"/>
        </w:rPr>
      </w:pPr>
      <w:r>
        <w:rPr>
          <w:rFonts w:eastAsia="Calibri"/>
        </w:rPr>
        <w:t xml:space="preserve">           16. Все применяемые при оказании услуг материалы и оборудование должны быть сертифицированы в соответствии с требованиями законодательства РФ.</w:t>
      </w:r>
    </w:p>
    <w:p w14:paraId="13AE1080">
      <w:pPr>
        <w:autoSpaceDE w:val="0"/>
        <w:autoSpaceDN w:val="0"/>
        <w:adjustRightInd w:val="0"/>
        <w:jc w:val="both"/>
        <w:rPr>
          <w:rFonts w:eastAsia="Calibri"/>
        </w:rPr>
      </w:pPr>
      <w:r>
        <w:rPr>
          <w:rFonts w:eastAsia="Calibri"/>
        </w:rPr>
        <w:t xml:space="preserve">           17. Исполнитель не имеет права самостоятельно изменить виды и объем услуг.</w:t>
      </w:r>
    </w:p>
    <w:p w14:paraId="17BBACF5">
      <w:pPr>
        <w:ind w:firstLine="567"/>
        <w:jc w:val="both"/>
        <w:rPr>
          <w:rFonts w:eastAsia="Calibri"/>
          <w:sz w:val="22"/>
          <w:szCs w:val="22"/>
          <w:lang w:eastAsia="en-US"/>
        </w:rPr>
      </w:pPr>
    </w:p>
    <w:p w14:paraId="15E6FE29">
      <w:pPr>
        <w:jc w:val="center"/>
        <w:rPr>
          <w:b/>
          <w:bCs/>
          <w:sz w:val="22"/>
          <w:szCs w:val="22"/>
        </w:rPr>
      </w:pPr>
      <w:r>
        <w:rPr>
          <w:b/>
          <w:bCs/>
          <w:sz w:val="22"/>
          <w:szCs w:val="22"/>
        </w:rPr>
        <w:t xml:space="preserve">Требования к гарантии качества услуг, а также требования к гарантийному сроку </w:t>
      </w:r>
    </w:p>
    <w:p w14:paraId="59B1257D">
      <w:pPr>
        <w:jc w:val="center"/>
        <w:rPr>
          <w:b/>
          <w:bCs/>
          <w:sz w:val="22"/>
          <w:szCs w:val="22"/>
        </w:rPr>
      </w:pPr>
      <w:r>
        <w:rPr>
          <w:b/>
          <w:bCs/>
          <w:sz w:val="22"/>
          <w:szCs w:val="22"/>
        </w:rPr>
        <w:t>и (или) объему предоставления гарантий их качества</w:t>
      </w:r>
    </w:p>
    <w:p w14:paraId="7BF807E5">
      <w:pPr>
        <w:ind w:firstLine="567"/>
        <w:jc w:val="center"/>
        <w:rPr>
          <w:b/>
          <w:bCs/>
          <w:sz w:val="22"/>
          <w:szCs w:val="22"/>
        </w:rPr>
      </w:pPr>
    </w:p>
    <w:p w14:paraId="7553D413">
      <w:pPr>
        <w:ind w:firstLine="567"/>
        <w:jc w:val="both"/>
        <w:rPr>
          <w:color w:val="000000"/>
          <w:sz w:val="22"/>
          <w:szCs w:val="22"/>
        </w:rPr>
      </w:pPr>
      <w:r>
        <w:rPr>
          <w:color w:val="000000"/>
          <w:sz w:val="22"/>
          <w:szCs w:val="22"/>
        </w:rPr>
        <w:t>1. Гарантии качества распространяются на все услуги, оказанные Исполнителем по Контракту.</w:t>
      </w:r>
    </w:p>
    <w:p w14:paraId="2BFBCEB8">
      <w:pPr>
        <w:ind w:firstLine="567"/>
        <w:jc w:val="both"/>
        <w:rPr>
          <w:color w:val="000000"/>
          <w:sz w:val="22"/>
          <w:szCs w:val="22"/>
        </w:rPr>
      </w:pPr>
      <w:r>
        <w:rPr>
          <w:color w:val="000000"/>
          <w:sz w:val="22"/>
          <w:szCs w:val="22"/>
        </w:rPr>
        <w:t>2. Гарантийный срок на оказываемые услуги – в течение срока оказания услуг по Контракту.</w:t>
      </w:r>
    </w:p>
    <w:p w14:paraId="76363F62">
      <w:pPr>
        <w:ind w:firstLine="567"/>
        <w:jc w:val="both"/>
        <w:rPr>
          <w:color w:val="000000"/>
          <w:sz w:val="22"/>
          <w:szCs w:val="22"/>
        </w:rPr>
      </w:pPr>
      <w:r>
        <w:rPr>
          <w:color w:val="000000"/>
          <w:sz w:val="22"/>
          <w:szCs w:val="22"/>
        </w:rPr>
        <w:t>3. Если в течение гарантийного срока к Заказчику компетентными контролирующими органами будут предъявлены предписания (акты или др.), требования устранения замечаний к результату исполненных по контракту обязательств, Исполнитель обязан безвозмездно устранить данные замечания в срок, указанный в предписании (акте или др.), при условии надлежащего письменного оповещения Заказчиком Исполнителя, и передать Заказчику результат с устраненными замечаниями по Акту устранения замечаний.</w:t>
      </w:r>
    </w:p>
    <w:p w14:paraId="1A2A8AF0">
      <w:pPr>
        <w:ind w:firstLine="567"/>
        <w:jc w:val="both"/>
        <w:rPr>
          <w:color w:val="000000"/>
          <w:sz w:val="22"/>
          <w:szCs w:val="22"/>
        </w:rPr>
      </w:pPr>
      <w:r>
        <w:rPr>
          <w:color w:val="000000"/>
          <w:sz w:val="22"/>
          <w:szCs w:val="22"/>
        </w:rPr>
        <w:t>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6D20E83C">
      <w:pPr>
        <w:ind w:firstLine="567"/>
        <w:jc w:val="both"/>
        <w:rPr>
          <w:color w:val="000000"/>
          <w:sz w:val="22"/>
          <w:szCs w:val="22"/>
        </w:rPr>
      </w:pPr>
      <w:r>
        <w:rPr>
          <w:color w:val="000000"/>
          <w:sz w:val="22"/>
          <w:szCs w:val="22"/>
        </w:rPr>
        <w:t xml:space="preserve">- безвозмездного устранения недостатков в разумный срок; </w:t>
      </w:r>
    </w:p>
    <w:p w14:paraId="227A37D7">
      <w:pPr>
        <w:ind w:firstLine="567"/>
        <w:jc w:val="both"/>
        <w:rPr>
          <w:color w:val="000000"/>
          <w:sz w:val="22"/>
          <w:szCs w:val="22"/>
        </w:rPr>
      </w:pPr>
      <w:r>
        <w:rPr>
          <w:color w:val="000000"/>
          <w:sz w:val="22"/>
          <w:szCs w:val="22"/>
        </w:rPr>
        <w:t>- возмещения своих расходов на устранение недостатков, если Заказчик за свой счет устранил обнаруженные недостатки.</w:t>
      </w:r>
    </w:p>
    <w:p w14:paraId="45BCF844">
      <w:pPr>
        <w:ind w:firstLine="567"/>
        <w:jc w:val="both"/>
        <w:rPr>
          <w:color w:val="000000"/>
          <w:sz w:val="22"/>
          <w:szCs w:val="22"/>
        </w:rPr>
      </w:pPr>
      <w:r>
        <w:rPr>
          <w:color w:val="000000"/>
          <w:sz w:val="22"/>
          <w:szCs w:val="22"/>
        </w:rPr>
        <w:t>5. Устранение недостатков, в течение гарантийного срока осуществляется за счет средств Исполнителя.</w:t>
      </w:r>
    </w:p>
    <w:p w14:paraId="7D8D1547">
      <w:pPr>
        <w:ind w:firstLine="567"/>
        <w:jc w:val="both"/>
        <w:rPr>
          <w:color w:val="000000"/>
          <w:sz w:val="22"/>
          <w:szCs w:val="22"/>
        </w:rPr>
      </w:pPr>
      <w:r>
        <w:rPr>
          <w:color w:val="000000"/>
          <w:sz w:val="22"/>
          <w:szCs w:val="22"/>
        </w:rPr>
        <w:t>6. Течение гарантийного срока прерывается на время, со дня письменного уведомления Исполнителя об обнаружении недостатков до дня устранения их Исполнителем.</w:t>
      </w:r>
    </w:p>
    <w:bookmarkEnd w:id="0"/>
    <w:p w14:paraId="2876370F">
      <w:pPr>
        <w:spacing w:after="200" w:line="276" w:lineRule="auto"/>
        <w:rPr>
          <w:rFonts w:eastAsia="Calibri"/>
          <w:bCs/>
          <w:sz w:val="22"/>
          <w:szCs w:val="22"/>
          <w:lang w:eastAsia="en-US"/>
        </w:rPr>
        <w:sectPr>
          <w:pgSz w:w="12240" w:h="15840"/>
          <w:pgMar w:top="1440" w:right="1080" w:bottom="1440" w:left="1080" w:header="720" w:footer="720" w:gutter="0"/>
          <w:cols w:space="720" w:num="1"/>
        </w:sectPr>
      </w:pPr>
      <w:r>
        <w:rPr>
          <w:rFonts w:eastAsia="Calibri"/>
          <w:bCs/>
          <w:sz w:val="22"/>
          <w:szCs w:val="22"/>
          <w:lang w:eastAsia="en-US"/>
        </w:rPr>
        <w:br w:type="page"/>
      </w:r>
    </w:p>
    <w:p w14:paraId="41BBEC4C">
      <w:pPr>
        <w:autoSpaceDE w:val="0"/>
        <w:autoSpaceDN w:val="0"/>
        <w:adjustRightInd w:val="0"/>
        <w:jc w:val="right"/>
        <w:rPr>
          <w:rFonts w:eastAsia="Calibri"/>
          <w:sz w:val="22"/>
          <w:szCs w:val="22"/>
        </w:rPr>
      </w:pPr>
      <w:r>
        <w:rPr>
          <w:rFonts w:eastAsia="Calibri"/>
          <w:sz w:val="22"/>
          <w:szCs w:val="22"/>
        </w:rPr>
        <w:t>Таблица 1</w:t>
      </w:r>
    </w:p>
    <w:p w14:paraId="6164F0C1">
      <w:pPr>
        <w:autoSpaceDE w:val="0"/>
        <w:autoSpaceDN w:val="0"/>
        <w:adjustRightInd w:val="0"/>
        <w:jc w:val="right"/>
        <w:rPr>
          <w:rFonts w:eastAsia="Calibri"/>
          <w:sz w:val="22"/>
          <w:szCs w:val="22"/>
        </w:rPr>
      </w:pPr>
    </w:p>
    <w:tbl>
      <w:tblPr>
        <w:tblStyle w:val="12"/>
        <w:tblpPr w:leftFromText="180" w:rightFromText="180" w:vertAnchor="text" w:horzAnchor="page" w:tblpX="1243" w:tblpY="266"/>
        <w:tblOverlap w:val="never"/>
        <w:tblW w:w="10203" w:type="dxa"/>
        <w:tblInd w:w="0" w:type="dxa"/>
        <w:tblLayout w:type="fixed"/>
        <w:tblCellMar>
          <w:top w:w="0" w:type="dxa"/>
          <w:left w:w="0" w:type="dxa"/>
          <w:bottom w:w="0" w:type="dxa"/>
          <w:right w:w="0" w:type="dxa"/>
        </w:tblCellMar>
      </w:tblPr>
      <w:tblGrid>
        <w:gridCol w:w="1978"/>
        <w:gridCol w:w="1664"/>
        <w:gridCol w:w="4998"/>
        <w:gridCol w:w="1563"/>
      </w:tblGrid>
      <w:tr w14:paraId="0789F397">
        <w:tblPrEx>
          <w:tblCellMar>
            <w:top w:w="0" w:type="dxa"/>
            <w:left w:w="0" w:type="dxa"/>
            <w:bottom w:w="0" w:type="dxa"/>
            <w:right w:w="0" w:type="dxa"/>
          </w:tblCellMar>
        </w:tblPrEx>
        <w:tc>
          <w:tcPr>
            <w:tcW w:w="1978" w:type="dxa"/>
            <w:tcBorders>
              <w:top w:val="single" w:color="000000" w:sz="6" w:space="0"/>
              <w:left w:val="single" w:color="000000" w:sz="6" w:space="0"/>
              <w:bottom w:val="single" w:color="000000" w:sz="6" w:space="0"/>
              <w:right w:val="single" w:color="000000" w:sz="6" w:space="0"/>
            </w:tcBorders>
          </w:tcPr>
          <w:p w14:paraId="732283A6">
            <w:pPr>
              <w:jc w:val="center"/>
              <w:rPr>
                <w:sz w:val="22"/>
              </w:rPr>
            </w:pPr>
            <w:r>
              <w:rPr>
                <w:sz w:val="22"/>
              </w:rPr>
              <w:t xml:space="preserve">Наименование услуги </w:t>
            </w:r>
          </w:p>
        </w:tc>
        <w:tc>
          <w:tcPr>
            <w:tcW w:w="1664" w:type="dxa"/>
            <w:tcBorders>
              <w:top w:val="single" w:color="000000" w:sz="6" w:space="0"/>
              <w:left w:val="single" w:color="000000" w:sz="6" w:space="0"/>
              <w:bottom w:val="single" w:color="000000" w:sz="6" w:space="0"/>
              <w:right w:val="single" w:color="000000" w:sz="6" w:space="0"/>
            </w:tcBorders>
          </w:tcPr>
          <w:p w14:paraId="340112D6">
            <w:pPr>
              <w:jc w:val="center"/>
              <w:rPr>
                <w:sz w:val="22"/>
              </w:rPr>
            </w:pPr>
            <w:r>
              <w:rPr>
                <w:sz w:val="22"/>
              </w:rPr>
              <w:t xml:space="preserve">Наименование характеристики </w:t>
            </w:r>
          </w:p>
        </w:tc>
        <w:tc>
          <w:tcPr>
            <w:tcW w:w="4998" w:type="dxa"/>
            <w:tcBorders>
              <w:top w:val="single" w:color="000000" w:sz="6" w:space="0"/>
              <w:left w:val="single" w:color="000000" w:sz="6" w:space="0"/>
              <w:bottom w:val="single" w:color="000000" w:sz="6" w:space="0"/>
              <w:right w:val="single" w:color="000000" w:sz="6" w:space="0"/>
            </w:tcBorders>
          </w:tcPr>
          <w:p w14:paraId="283C7D00">
            <w:pPr>
              <w:jc w:val="center"/>
              <w:rPr>
                <w:sz w:val="22"/>
              </w:rPr>
            </w:pPr>
            <w:r>
              <w:rPr>
                <w:sz w:val="22"/>
              </w:rPr>
              <w:t xml:space="preserve">Значение характеристики </w:t>
            </w:r>
          </w:p>
        </w:tc>
        <w:tc>
          <w:tcPr>
            <w:tcW w:w="1563" w:type="dxa"/>
            <w:tcBorders>
              <w:top w:val="single" w:color="000000" w:sz="6" w:space="0"/>
              <w:left w:val="single" w:color="000000" w:sz="6" w:space="0"/>
              <w:bottom w:val="single" w:color="000000" w:sz="6" w:space="0"/>
              <w:right w:val="single" w:color="000000" w:sz="6" w:space="0"/>
            </w:tcBorders>
          </w:tcPr>
          <w:p w14:paraId="5881D309">
            <w:pPr>
              <w:jc w:val="center"/>
              <w:rPr>
                <w:sz w:val="22"/>
              </w:rPr>
            </w:pPr>
            <w:r>
              <w:rPr>
                <w:sz w:val="22"/>
              </w:rPr>
              <w:t xml:space="preserve">Единица измерения </w:t>
            </w:r>
          </w:p>
        </w:tc>
      </w:tr>
      <w:tr w14:paraId="52975C39">
        <w:tblPrEx>
          <w:tblCellMar>
            <w:top w:w="0" w:type="dxa"/>
            <w:left w:w="0" w:type="dxa"/>
            <w:bottom w:w="0" w:type="dxa"/>
            <w:right w:w="0" w:type="dxa"/>
          </w:tblCellMar>
        </w:tblPrEx>
        <w:tc>
          <w:tcPr>
            <w:tcW w:w="1978" w:type="dxa"/>
            <w:vMerge w:val="restart"/>
            <w:tcBorders>
              <w:top w:val="single" w:color="000000" w:sz="6" w:space="0"/>
              <w:left w:val="single" w:color="000000" w:sz="6" w:space="0"/>
              <w:bottom w:val="single" w:color="auto" w:sz="4" w:space="0"/>
              <w:right w:val="single" w:color="000000" w:sz="6" w:space="0"/>
            </w:tcBorders>
          </w:tcPr>
          <w:p w14:paraId="525289DF">
            <w:pPr>
              <w:ind w:left="115"/>
              <w:rPr>
                <w:sz w:val="22"/>
              </w:rPr>
            </w:pPr>
            <w:r>
              <w:rPr>
                <w:sz w:val="22"/>
              </w:rPr>
              <w:t xml:space="preserve">Оказание услуг по очистке кровли от снега и наледи </w:t>
            </w:r>
          </w:p>
        </w:tc>
        <w:tc>
          <w:tcPr>
            <w:tcW w:w="1664" w:type="dxa"/>
            <w:tcBorders>
              <w:top w:val="single" w:color="000000" w:sz="6" w:space="0"/>
              <w:left w:val="single" w:color="000000" w:sz="6" w:space="0"/>
              <w:bottom w:val="single" w:color="000000" w:sz="6" w:space="0"/>
              <w:right w:val="single" w:color="000000" w:sz="6" w:space="0"/>
            </w:tcBorders>
          </w:tcPr>
          <w:p w14:paraId="24B2E317">
            <w:pPr>
              <w:jc w:val="center"/>
              <w:rPr>
                <w:sz w:val="22"/>
              </w:rPr>
            </w:pPr>
            <w:r>
              <w:rPr>
                <w:sz w:val="22"/>
              </w:rPr>
              <w:t>Состав услуг</w:t>
            </w:r>
          </w:p>
        </w:tc>
        <w:tc>
          <w:tcPr>
            <w:tcW w:w="4998" w:type="dxa"/>
            <w:tcBorders>
              <w:top w:val="single" w:color="000000" w:sz="6" w:space="0"/>
              <w:left w:val="single" w:color="000000" w:sz="6" w:space="0"/>
              <w:bottom w:val="single" w:color="000000" w:sz="6" w:space="0"/>
              <w:right w:val="single" w:color="000000" w:sz="6" w:space="0"/>
            </w:tcBorders>
          </w:tcPr>
          <w:p w14:paraId="7DBEAD03">
            <w:r>
              <w:t>- Уборка снега с площади кровли;</w:t>
            </w:r>
          </w:p>
          <w:p w14:paraId="17004D1F">
            <w:r>
              <w:t>- Уборка снега и наледи по периметру кровли вдоль карнизного свеса. Ширина очищаемой полосы 1,5 м;</w:t>
            </w:r>
          </w:p>
          <w:p w14:paraId="019B49A6">
            <w:r>
              <w:t>- Удаление сосулек по периметру;</w:t>
            </w:r>
          </w:p>
          <w:p w14:paraId="3D651F4D">
            <w:r>
              <w:t>- Удаление снега и наледи на настенных выступах, доступных только с помощью свесов;</w:t>
            </w:r>
          </w:p>
          <w:p w14:paraId="6B6E9713">
            <w:r>
              <w:t>- Организация сигнальных постов на тротуарах в местах сброса снега и наледи;</w:t>
            </w:r>
          </w:p>
        </w:tc>
        <w:tc>
          <w:tcPr>
            <w:tcW w:w="1563" w:type="dxa"/>
            <w:tcBorders>
              <w:top w:val="single" w:color="000000" w:sz="6" w:space="0"/>
              <w:left w:val="single" w:color="000000" w:sz="6" w:space="0"/>
              <w:bottom w:val="single" w:color="auto" w:sz="4" w:space="0"/>
              <w:right w:val="single" w:color="000000" w:sz="6" w:space="0"/>
            </w:tcBorders>
          </w:tcPr>
          <w:p w14:paraId="7202056F">
            <w:pPr>
              <w:jc w:val="center"/>
              <w:rPr>
                <w:sz w:val="22"/>
              </w:rPr>
            </w:pPr>
            <w:r>
              <w:rPr>
                <w:sz w:val="22"/>
              </w:rPr>
              <w:t>м</w:t>
            </w:r>
            <w:r>
              <w:rPr>
                <w:sz w:val="22"/>
                <w:vertAlign w:val="superscript"/>
              </w:rPr>
              <w:t>2</w:t>
            </w:r>
          </w:p>
        </w:tc>
      </w:tr>
      <w:tr w14:paraId="12D82934">
        <w:tblPrEx>
          <w:tblCellMar>
            <w:top w:w="0" w:type="dxa"/>
            <w:left w:w="0" w:type="dxa"/>
            <w:bottom w:w="0" w:type="dxa"/>
            <w:right w:w="0" w:type="dxa"/>
          </w:tblCellMar>
        </w:tblPrEx>
        <w:tc>
          <w:tcPr>
            <w:tcW w:w="1978" w:type="dxa"/>
            <w:vMerge w:val="continue"/>
            <w:tcBorders>
              <w:top w:val="single" w:color="000000" w:sz="6" w:space="0"/>
              <w:left w:val="single" w:color="000000" w:sz="6" w:space="0"/>
              <w:bottom w:val="single" w:color="auto" w:sz="4" w:space="0"/>
              <w:right w:val="single" w:color="000000" w:sz="6" w:space="0"/>
            </w:tcBorders>
          </w:tcPr>
          <w:p w14:paraId="13B9DBF0">
            <w:pPr>
              <w:ind w:left="115"/>
              <w:rPr>
                <w:sz w:val="22"/>
              </w:rPr>
            </w:pPr>
          </w:p>
        </w:tc>
        <w:tc>
          <w:tcPr>
            <w:tcW w:w="1664" w:type="dxa"/>
            <w:tcBorders>
              <w:top w:val="single" w:color="000000" w:sz="6" w:space="0"/>
              <w:left w:val="single" w:color="000000" w:sz="6" w:space="0"/>
              <w:bottom w:val="single" w:color="000000" w:sz="6" w:space="0"/>
              <w:right w:val="single" w:color="000000" w:sz="6" w:space="0"/>
            </w:tcBorders>
          </w:tcPr>
          <w:p w14:paraId="4FF3862D">
            <w:pPr>
              <w:jc w:val="center"/>
              <w:rPr>
                <w:sz w:val="22"/>
              </w:rPr>
            </w:pPr>
            <w:r>
              <w:rPr>
                <w:sz w:val="22"/>
              </w:rPr>
              <w:t>Функциональное назначение</w:t>
            </w:r>
          </w:p>
        </w:tc>
        <w:tc>
          <w:tcPr>
            <w:tcW w:w="4998" w:type="dxa"/>
            <w:tcBorders>
              <w:top w:val="single" w:color="000000" w:sz="6" w:space="0"/>
              <w:left w:val="single" w:color="000000" w:sz="6" w:space="0"/>
              <w:bottom w:val="single" w:color="000000" w:sz="6" w:space="0"/>
              <w:right w:val="single" w:color="000000" w:sz="6" w:space="0"/>
            </w:tcBorders>
          </w:tcPr>
          <w:p w14:paraId="4C6F4D28">
            <w:pPr>
              <w:rPr>
                <w:sz w:val="22"/>
              </w:rPr>
            </w:pPr>
            <w:r>
              <w:rPr>
                <w:sz w:val="22"/>
              </w:rPr>
              <w:t>- Обеспечение безопасности людей;</w:t>
            </w:r>
          </w:p>
          <w:p w14:paraId="64EFC515">
            <w:pPr>
              <w:rPr>
                <w:sz w:val="22"/>
              </w:rPr>
            </w:pPr>
            <w:r>
              <w:rPr>
                <w:sz w:val="22"/>
              </w:rPr>
              <w:t xml:space="preserve">- Сохранение кровельного покрытия. </w:t>
            </w:r>
          </w:p>
        </w:tc>
        <w:tc>
          <w:tcPr>
            <w:tcW w:w="1563" w:type="dxa"/>
            <w:tcBorders>
              <w:top w:val="single" w:color="000000" w:sz="6" w:space="0"/>
              <w:left w:val="single" w:color="000000" w:sz="6" w:space="0"/>
              <w:bottom w:val="single" w:color="000000" w:sz="6" w:space="0"/>
              <w:right w:val="single" w:color="000000" w:sz="6" w:space="0"/>
            </w:tcBorders>
          </w:tcPr>
          <w:p w14:paraId="5D689064">
            <w:pPr>
              <w:jc w:val="center"/>
              <w:rPr>
                <w:sz w:val="22"/>
              </w:rPr>
            </w:pPr>
          </w:p>
        </w:tc>
      </w:tr>
    </w:tbl>
    <w:p w14:paraId="464F6ECB">
      <w:pPr>
        <w:ind w:right="261"/>
        <w:jc w:val="right"/>
      </w:pPr>
    </w:p>
    <w:p w14:paraId="6A3BD765">
      <w:pPr>
        <w:ind w:right="261"/>
        <w:jc w:val="center"/>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7DD7C46C">
        <w:tblPrEx>
          <w:tblCellMar>
            <w:top w:w="0" w:type="dxa"/>
            <w:left w:w="108" w:type="dxa"/>
            <w:bottom w:w="0" w:type="dxa"/>
            <w:right w:w="108" w:type="dxa"/>
          </w:tblCellMar>
        </w:tblPrEx>
        <w:trPr>
          <w:trHeight w:val="4424" w:hRule="atLeast"/>
        </w:trPr>
        <w:tc>
          <w:tcPr>
            <w:tcW w:w="2545" w:type="pct"/>
          </w:tcPr>
          <w:p w14:paraId="071388D2">
            <w:pPr>
              <w:rPr>
                <w:sz w:val="22"/>
                <w:szCs w:val="22"/>
              </w:rPr>
            </w:pPr>
            <w:r>
              <w:rPr>
                <w:b/>
                <w:sz w:val="22"/>
                <w:szCs w:val="22"/>
              </w:rPr>
              <w:t>Заказчик:</w:t>
            </w:r>
            <w:r>
              <w:rPr>
                <w:sz w:val="22"/>
                <w:szCs w:val="22"/>
              </w:rPr>
              <w:t xml:space="preserve"> </w:t>
            </w:r>
          </w:p>
          <w:p w14:paraId="13749365">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7A473885">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3885BE06">
            <w:pPr>
              <w:autoSpaceDE w:val="0"/>
              <w:autoSpaceDN w:val="0"/>
              <w:adjustRightInd w:val="0"/>
              <w:jc w:val="both"/>
              <w:rPr>
                <w:rFonts w:ascii="Courier New" w:hAnsi="Courier New" w:eastAsia="Calibri" w:cs="Courier New"/>
                <w:bCs/>
                <w:sz w:val="22"/>
                <w:szCs w:val="22"/>
                <w:lang w:eastAsia="en-US"/>
              </w:rPr>
            </w:pPr>
          </w:p>
        </w:tc>
      </w:tr>
    </w:tbl>
    <w:p w14:paraId="7AF4B902">
      <w:pPr>
        <w:jc w:val="both"/>
      </w:pPr>
    </w:p>
    <w:p w14:paraId="379C6E70">
      <w:pPr>
        <w:jc w:val="both"/>
      </w:pPr>
    </w:p>
    <w:p w14:paraId="45E8B98F">
      <w:pPr>
        <w:jc w:val="both"/>
      </w:pPr>
    </w:p>
    <w:p w14:paraId="35420AB3">
      <w:pPr>
        <w:jc w:val="both"/>
      </w:pPr>
    </w:p>
    <w:p w14:paraId="3B7C77C8">
      <w:pPr>
        <w:jc w:val="both"/>
      </w:pPr>
    </w:p>
    <w:p w14:paraId="2BB6A453">
      <w:pPr>
        <w:jc w:val="both"/>
      </w:pPr>
    </w:p>
    <w:p w14:paraId="64DB813D">
      <w:pPr>
        <w:jc w:val="both"/>
      </w:pPr>
    </w:p>
    <w:p w14:paraId="0F2ACA6D">
      <w:pPr>
        <w:jc w:val="both"/>
      </w:pPr>
    </w:p>
    <w:p w14:paraId="3C91872F">
      <w:pPr>
        <w:jc w:val="both"/>
      </w:pPr>
    </w:p>
    <w:p w14:paraId="600EC996">
      <w:pPr>
        <w:jc w:val="both"/>
      </w:pPr>
    </w:p>
    <w:p w14:paraId="7CA1754E">
      <w:pPr>
        <w:jc w:val="both"/>
      </w:pPr>
    </w:p>
    <w:p w14:paraId="46AE63E1">
      <w:pPr>
        <w:jc w:val="both"/>
      </w:pPr>
    </w:p>
    <w:p w14:paraId="64D5F6AB">
      <w:pPr>
        <w:jc w:val="both"/>
      </w:pPr>
    </w:p>
    <w:p w14:paraId="6FCFBA4E">
      <w:pPr>
        <w:jc w:val="both"/>
      </w:pPr>
    </w:p>
    <w:p w14:paraId="114745D4">
      <w:pPr>
        <w:jc w:val="both"/>
      </w:pPr>
    </w:p>
    <w:p w14:paraId="7735ABDA">
      <w:pPr>
        <w:jc w:val="both"/>
      </w:pPr>
    </w:p>
    <w:p w14:paraId="7EEE4F93">
      <w:pPr>
        <w:jc w:val="both"/>
      </w:pPr>
    </w:p>
    <w:p w14:paraId="4982E242">
      <w:pPr>
        <w:jc w:val="both"/>
      </w:pPr>
    </w:p>
    <w:p w14:paraId="631A1553">
      <w:pPr>
        <w:jc w:val="both"/>
      </w:pPr>
    </w:p>
    <w:p w14:paraId="4606F222">
      <w:pPr>
        <w:wordWrap w:val="0"/>
        <w:jc w:val="right"/>
        <w:rPr>
          <w:rFonts w:ascii="Times New Roman" w:hAnsi="Times New Roman" w:eastAsia="Times New Roman" w:cs="Times New Roman"/>
          <w:sz w:val="22"/>
          <w:szCs w:val="22"/>
          <w:lang w:bidi="ar-SA"/>
        </w:rPr>
      </w:pPr>
      <w:r>
        <w:rPr>
          <w:rFonts w:ascii="Times New Roman" w:hAnsi="Times New Roman" w:cs="Times New Roman"/>
          <w:sz w:val="22"/>
          <w:szCs w:val="22"/>
        </w:rPr>
        <w:t xml:space="preserve">Приложение № </w:t>
      </w:r>
      <w:r>
        <w:rPr>
          <w:rFonts w:hint="default" w:ascii="Times New Roman" w:hAnsi="Times New Roman" w:cs="Times New Roman"/>
          <w:sz w:val="22"/>
          <w:szCs w:val="22"/>
          <w:lang w:val="ru-RU"/>
        </w:rPr>
        <w:t xml:space="preserve">3 </w:t>
      </w:r>
      <w:r>
        <w:rPr>
          <w:rFonts w:ascii="Times New Roman" w:hAnsi="Times New Roman" w:eastAsia="Times New Roman" w:cs="Times New Roman"/>
          <w:sz w:val="22"/>
          <w:szCs w:val="22"/>
        </w:rPr>
        <w:t xml:space="preserve">к Контракту </w:t>
      </w:r>
    </w:p>
    <w:p w14:paraId="40E03873">
      <w:pPr>
        <w:autoSpaceDE w:val="0"/>
        <w:autoSpaceDN w:val="0"/>
        <w:jc w:val="center"/>
        <w:rPr>
          <w:rFonts w:ascii="Times New Roman" w:hAnsi="Times New Roman" w:eastAsia="Times New Roman" w:cs="Times New Roman"/>
          <w:sz w:val="22"/>
          <w:szCs w:val="22"/>
        </w:rPr>
      </w:pPr>
    </w:p>
    <w:p w14:paraId="5D7BADD8">
      <w:pPr>
        <w:tabs>
          <w:tab w:val="left" w:pos="276"/>
        </w:tabs>
        <w:rPr>
          <w:rFonts w:ascii="Times New Roman" w:hAnsi="Times New Roman" w:eastAsia="Times New Roman" w:cs="Times New Roman"/>
          <w:sz w:val="22"/>
          <w:szCs w:val="22"/>
        </w:rPr>
      </w:pPr>
    </w:p>
    <w:p w14:paraId="7D251653">
      <w:pPr>
        <w:jc w:val="center"/>
        <w:rPr>
          <w:b/>
        </w:rPr>
      </w:pPr>
    </w:p>
    <w:p w14:paraId="7E3D1A3A">
      <w:pPr>
        <w:jc w:val="center"/>
        <w:rPr>
          <w:b/>
        </w:rPr>
      </w:pPr>
    </w:p>
    <w:p w14:paraId="49340053">
      <w:pPr>
        <w:jc w:val="center"/>
        <w:rPr>
          <w:rFonts w:ascii="Times New Roman" w:hAnsi="Times New Roman" w:cs="Times New Roman"/>
          <w:b/>
        </w:rPr>
      </w:pPr>
      <w:r>
        <w:rPr>
          <w:rFonts w:ascii="Times New Roman" w:hAnsi="Times New Roman" w:cs="Times New Roman"/>
          <w:b/>
        </w:rPr>
        <w:t>Форма акта № 0510452</w:t>
      </w:r>
    </w:p>
    <w:p w14:paraId="386A5F97">
      <w:pPr>
        <w:jc w:val="both"/>
      </w:pPr>
    </w:p>
    <w:p w14:paraId="69EFE29D">
      <w:pPr>
        <w:ind w:firstLine="3842" w:firstLineChars="1600"/>
        <w:jc w:val="both"/>
      </w:pPr>
      <w:r>
        <w:rPr>
          <w:b/>
        </w:rPr>
        <w:object>
          <v:shape id="_x0000_i1025" o:spt="75" type="#_x0000_t75" style="height:39.35pt;width:61.1pt;" o:ole="t" filled="f" o:preferrelative="t" stroked="f" coordsize="21600,21600">
            <v:path/>
            <v:fill on="f" alignshape="1" focussize="0,0"/>
            <v:stroke on="f"/>
            <v:imagedata r:id="rId7" o:title=""/>
            <o:lock v:ext="edit" aspectratio="t"/>
            <w10:wrap type="none"/>
            <w10:anchorlock/>
          </v:shape>
          <o:OLEObject Type="Embed" ProgID="Acrobat.Document.DC" ShapeID="_x0000_i1025" DrawAspect="Icon" ObjectID="_1468075725" r:id="rId6">
            <o:LockedField>false</o:LockedField>
          </o:OLEObject>
        </w:object>
      </w:r>
    </w:p>
    <w:p w14:paraId="7FF44FA5">
      <w:pPr>
        <w:jc w:val="both"/>
      </w:pPr>
    </w:p>
    <w:p w14:paraId="2C654A4B">
      <w:pPr>
        <w:jc w:val="both"/>
      </w:pPr>
    </w:p>
    <w:p w14:paraId="25A77E57">
      <w:pPr>
        <w:jc w:val="both"/>
      </w:pPr>
    </w:p>
    <w:p w14:paraId="50EC6D60">
      <w:pPr>
        <w:jc w:val="both"/>
      </w:pPr>
    </w:p>
    <w:p w14:paraId="5A14945B">
      <w:pPr>
        <w:jc w:val="both"/>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1545F914">
        <w:tblPrEx>
          <w:tblCellMar>
            <w:top w:w="0" w:type="dxa"/>
            <w:left w:w="108" w:type="dxa"/>
            <w:bottom w:w="0" w:type="dxa"/>
            <w:right w:w="108" w:type="dxa"/>
          </w:tblCellMar>
        </w:tblPrEx>
        <w:trPr>
          <w:trHeight w:val="4424" w:hRule="atLeast"/>
        </w:trPr>
        <w:tc>
          <w:tcPr>
            <w:tcW w:w="2545" w:type="pct"/>
          </w:tcPr>
          <w:p w14:paraId="2A47AA29">
            <w:pPr>
              <w:rPr>
                <w:sz w:val="22"/>
                <w:szCs w:val="22"/>
              </w:rPr>
            </w:pPr>
            <w:r>
              <w:rPr>
                <w:b/>
                <w:sz w:val="22"/>
                <w:szCs w:val="22"/>
              </w:rPr>
              <w:t>Заказчик:</w:t>
            </w:r>
            <w:r>
              <w:rPr>
                <w:sz w:val="22"/>
                <w:szCs w:val="22"/>
              </w:rPr>
              <w:t xml:space="preserve"> </w:t>
            </w:r>
          </w:p>
          <w:p w14:paraId="65DD810C">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5707054A">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76C1BEC4">
            <w:pPr>
              <w:autoSpaceDE w:val="0"/>
              <w:autoSpaceDN w:val="0"/>
              <w:adjustRightInd w:val="0"/>
              <w:jc w:val="both"/>
              <w:rPr>
                <w:rFonts w:ascii="Courier New" w:hAnsi="Courier New" w:eastAsia="Calibri" w:cs="Courier New"/>
                <w:bCs/>
                <w:sz w:val="22"/>
                <w:szCs w:val="22"/>
                <w:lang w:eastAsia="en-US"/>
              </w:rPr>
            </w:pPr>
          </w:p>
        </w:tc>
      </w:tr>
    </w:tbl>
    <w:p w14:paraId="221D4ACD">
      <w:pPr>
        <w:jc w:val="both"/>
      </w:pPr>
    </w:p>
    <w:p w14:paraId="395065DD">
      <w:pPr>
        <w:jc w:val="both"/>
      </w:pPr>
    </w:p>
    <w:sectPr>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E037D"/>
    <w:multiLevelType w:val="multilevel"/>
    <w:tmpl w:val="0FFE037D"/>
    <w:lvl w:ilvl="0" w:tentative="0">
      <w:start w:val="1"/>
      <w:numFmt w:val="decimal"/>
      <w:lvlText w:val="%1."/>
      <w:lvlJc w:val="left"/>
      <w:pPr>
        <w:ind w:left="360" w:hanging="360"/>
      </w:pPr>
    </w:lvl>
    <w:lvl w:ilvl="1" w:tentative="0">
      <w:start w:val="1"/>
      <w:numFmt w:val="decimal"/>
      <w:pStyle w:val="196"/>
      <w:lvlText w:val="%2."/>
      <w:lvlJc w:val="left"/>
      <w:pPr>
        <w:ind w:left="792" w:hanging="432"/>
      </w:pPr>
      <w:rPr>
        <w:rFonts w:ascii="Times New Roman" w:hAnsi="Times New Roman" w:eastAsia="Times New Roman" w:cs="Times New Roman"/>
        <w:b w:val="0"/>
        <w:i w:val="0"/>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
    <w:nsid w:val="74037198"/>
    <w:multiLevelType w:val="multilevel"/>
    <w:tmpl w:val="74037198"/>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630F2"/>
    <w:rsid w:val="3FF57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before="0" w:beforeAutospacing="0" w:after="0" w:afterAutospacing="0" w:line="240" w:lineRule="auto"/>
    </w:pPr>
    <w:rPr>
      <w:rFonts w:hint="default" w:ascii="Times New Roman" w:hAnsi="Times New Roman" w:eastAsia="Times New Roman" w:cs="Times New Roman"/>
      <w:sz w:val="24"/>
      <w:szCs w:val="24"/>
      <w:lang w:val="ru-RU" w:eastAsia="ru-RU" w:bidi="ar-SA"/>
    </w:rPr>
  </w:style>
  <w:style w:type="paragraph" w:styleId="2">
    <w:name w:val="heading 1"/>
    <w:basedOn w:val="1"/>
    <w:next w:val="1"/>
    <w:link w:val="190"/>
    <w:qFormat/>
    <w:uiPriority w:val="9"/>
    <w:pPr>
      <w:keepNext/>
      <w:keepLines/>
      <w:spacing w:before="480"/>
      <w:outlineLvl w:val="0"/>
    </w:pPr>
    <w:rPr>
      <w:rFonts w:asciiTheme="majorHAnsi" w:hAnsiTheme="majorHAnsi" w:eastAsiaTheme="majorEastAsia" w:cstheme="majorBidi"/>
      <w:b/>
      <w:bCs/>
      <w:color w:val="2E75B6" w:themeColor="accent1" w:themeShade="BF"/>
      <w:sz w:val="28"/>
      <w:szCs w:val="28"/>
    </w:rPr>
  </w:style>
  <w:style w:type="paragraph" w:styleId="3">
    <w:name w:val="heading 2"/>
    <w:basedOn w:val="1"/>
    <w:next w:val="1"/>
    <w:link w:val="198"/>
    <w:semiHidden/>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basedOn w:val="11"/>
    <w:unhideWhenUsed/>
    <w:qFormat/>
    <w:uiPriority w:val="99"/>
    <w:rPr>
      <w:vertAlign w:val="superscript"/>
    </w:rPr>
  </w:style>
  <w:style w:type="character" w:styleId="14">
    <w:name w:val="endnote reference"/>
    <w:basedOn w:val="11"/>
    <w:semiHidden/>
    <w:unhideWhenUsed/>
    <w:uiPriority w:val="99"/>
    <w:rPr>
      <w:vertAlign w:val="superscript"/>
    </w:rPr>
  </w:style>
  <w:style w:type="character" w:styleId="15">
    <w:name w:val="Hyperlink"/>
    <w:unhideWhenUsed/>
    <w:qFormat/>
    <w:uiPriority w:val="99"/>
    <w:rPr>
      <w:color w:val="0563C1" w:themeColor="hyperlink"/>
      <w:u w:val="single"/>
      <w14:textFill>
        <w14:solidFill>
          <w14:schemeClr w14:val="hlink"/>
        </w14:solidFill>
      </w14:textFill>
    </w:rPr>
  </w:style>
  <w:style w:type="character" w:styleId="16">
    <w:name w:val="page number"/>
    <w:qFormat/>
    <w:uiPriority w:val="0"/>
    <w:rPr>
      <w:rFonts w:cs="Times New Roman"/>
    </w:rPr>
  </w:style>
  <w:style w:type="character" w:styleId="17">
    <w:name w:val="Strong"/>
    <w:qFormat/>
    <w:uiPriority w:val="22"/>
    <w:rPr>
      <w:rFonts w:cs="Times New Roman"/>
      <w:b/>
      <w:bCs/>
    </w:rPr>
  </w:style>
  <w:style w:type="paragraph" w:styleId="18">
    <w:name w:val="Balloon Text"/>
    <w:basedOn w:val="1"/>
    <w:link w:val="199"/>
    <w:semiHidden/>
    <w:unhideWhenUsed/>
    <w:qFormat/>
    <w:uiPriority w:val="99"/>
    <w:rPr>
      <w:rFonts w:ascii="Segoe UI" w:hAnsi="Segoe UI" w:cs="Segoe UI"/>
      <w:sz w:val="18"/>
      <w:szCs w:val="18"/>
    </w:rPr>
  </w:style>
  <w:style w:type="paragraph" w:styleId="19">
    <w:name w:val="Body Text 2"/>
    <w:basedOn w:val="1"/>
    <w:link w:val="189"/>
    <w:qFormat/>
    <w:uiPriority w:val="0"/>
  </w:style>
  <w:style w:type="paragraph" w:styleId="20">
    <w:name w:val="endnote text"/>
    <w:basedOn w:val="1"/>
    <w:link w:val="183"/>
    <w:semiHidden/>
    <w:unhideWhenUsed/>
    <w:qFormat/>
    <w:uiPriority w:val="99"/>
    <w:pPr>
      <w:spacing w:after="0" w:line="240" w:lineRule="auto"/>
    </w:pPr>
    <w:rPr>
      <w:sz w:val="20"/>
    </w:rPr>
  </w:style>
  <w:style w:type="paragraph" w:styleId="21">
    <w:name w:val="caption"/>
    <w:basedOn w:val="1"/>
    <w:next w:val="1"/>
    <w:link w:val="56"/>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22">
    <w:name w:val="footnote text"/>
    <w:basedOn w:val="1"/>
    <w:link w:val="182"/>
    <w:semiHidden/>
    <w:unhideWhenUsed/>
    <w:qFormat/>
    <w:uiPriority w:val="99"/>
    <w:pPr>
      <w:spacing w:after="40" w:line="240" w:lineRule="auto"/>
    </w:pPr>
    <w:rPr>
      <w:sz w:val="18"/>
    </w:rPr>
  </w:style>
  <w:style w:type="paragraph" w:styleId="23">
    <w:name w:val="toc 8"/>
    <w:basedOn w:val="1"/>
    <w:next w:val="1"/>
    <w:unhideWhenUsed/>
    <w:qFormat/>
    <w:uiPriority w:val="39"/>
    <w:pPr>
      <w:spacing w:after="57"/>
      <w:ind w:left="1984" w:right="0" w:firstLine="0"/>
    </w:pPr>
  </w:style>
  <w:style w:type="paragraph" w:styleId="24">
    <w:name w:val="header"/>
    <w:basedOn w:val="1"/>
    <w:link w:val="186"/>
    <w:unhideWhenUsed/>
    <w:qFormat/>
    <w:uiPriority w:val="99"/>
    <w:pPr>
      <w:tabs>
        <w:tab w:val="center" w:pos="4677"/>
        <w:tab w:val="right" w:pos="9355"/>
      </w:tabs>
    </w:pPr>
  </w:style>
  <w:style w:type="paragraph" w:styleId="25">
    <w:name w:val="toc 9"/>
    <w:basedOn w:val="1"/>
    <w:next w:val="1"/>
    <w:unhideWhenUsed/>
    <w:qFormat/>
    <w:uiPriority w:val="39"/>
    <w:pPr>
      <w:spacing w:after="57"/>
      <w:ind w:left="2268" w:right="0" w:firstLine="0"/>
    </w:pPr>
  </w:style>
  <w:style w:type="paragraph" w:styleId="26">
    <w:name w:val="toc 7"/>
    <w:basedOn w:val="1"/>
    <w:next w:val="1"/>
    <w:unhideWhenUsed/>
    <w:qFormat/>
    <w:uiPriority w:val="39"/>
    <w:pPr>
      <w:spacing w:after="57"/>
      <w:ind w:left="1701" w:right="0" w:firstLine="0"/>
    </w:pPr>
  </w:style>
  <w:style w:type="paragraph" w:styleId="27">
    <w:name w:val="toc 1"/>
    <w:basedOn w:val="1"/>
    <w:next w:val="1"/>
    <w:unhideWhenUsed/>
    <w:qFormat/>
    <w:uiPriority w:val="39"/>
    <w:pPr>
      <w:spacing w:after="57"/>
      <w:ind w:left="0" w:right="0" w:firstLine="0"/>
    </w:p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3"/>
    <w:basedOn w:val="1"/>
    <w:next w:val="1"/>
    <w:unhideWhenUsed/>
    <w:uiPriority w:val="39"/>
    <w:pPr>
      <w:spacing w:after="57"/>
      <w:ind w:left="567" w:right="0" w:firstLine="0"/>
    </w:pPr>
  </w:style>
  <w:style w:type="paragraph" w:styleId="31">
    <w:name w:val="toc 2"/>
    <w:basedOn w:val="1"/>
    <w:next w:val="1"/>
    <w:unhideWhenUsed/>
    <w:qFormat/>
    <w:uiPriority w:val="39"/>
    <w:pPr>
      <w:spacing w:after="57"/>
      <w:ind w:left="283" w:right="0" w:firstLine="0"/>
    </w:pPr>
  </w:style>
  <w:style w:type="paragraph" w:styleId="32">
    <w:name w:val="toc 4"/>
    <w:basedOn w:val="1"/>
    <w:next w:val="1"/>
    <w:unhideWhenUsed/>
    <w:qFormat/>
    <w:uiPriority w:val="39"/>
    <w:pPr>
      <w:spacing w:after="57"/>
      <w:ind w:left="850" w:right="0" w:firstLine="0"/>
    </w:pPr>
  </w:style>
  <w:style w:type="paragraph" w:styleId="33">
    <w:name w:val="toc 5"/>
    <w:basedOn w:val="1"/>
    <w:next w:val="1"/>
    <w:unhideWhenUsed/>
    <w:qFormat/>
    <w:uiPriority w:val="39"/>
    <w:pPr>
      <w:spacing w:after="57"/>
      <w:ind w:left="1134" w:right="0" w:firstLine="0"/>
    </w:pPr>
  </w:style>
  <w:style w:type="paragraph" w:styleId="34">
    <w:name w:val="Title"/>
    <w:basedOn w:val="1"/>
    <w:next w:val="1"/>
    <w:link w:val="48"/>
    <w:qFormat/>
    <w:uiPriority w:val="10"/>
    <w:pPr>
      <w:spacing w:before="300" w:after="200"/>
      <w:contextualSpacing/>
    </w:pPr>
    <w:rPr>
      <w:sz w:val="48"/>
      <w:szCs w:val="48"/>
    </w:rPr>
  </w:style>
  <w:style w:type="paragraph" w:styleId="35">
    <w:name w:val="footer"/>
    <w:basedOn w:val="1"/>
    <w:link w:val="187"/>
    <w:unhideWhenUsed/>
    <w:qFormat/>
    <w:uiPriority w:val="99"/>
    <w:pPr>
      <w:tabs>
        <w:tab w:val="center" w:pos="4677"/>
        <w:tab w:val="right" w:pos="9355"/>
      </w:tabs>
    </w:pPr>
  </w:style>
  <w:style w:type="paragraph" w:styleId="36">
    <w:name w:val="Normal (Web)"/>
    <w:basedOn w:val="1"/>
    <w:link w:val="194"/>
    <w:qFormat/>
    <w:uiPriority w:val="99"/>
    <w:pPr>
      <w:spacing w:before="100" w:beforeAutospacing="1" w:after="100" w:afterAutospacing="1"/>
    </w:pPr>
  </w:style>
  <w:style w:type="paragraph" w:styleId="37">
    <w:name w:val="Subtitle"/>
    <w:basedOn w:val="1"/>
    <w:next w:val="1"/>
    <w:link w:val="49"/>
    <w:qFormat/>
    <w:uiPriority w:val="11"/>
    <w:pPr>
      <w:spacing w:before="200" w:after="200"/>
    </w:pPr>
    <w:rPr>
      <w:sz w:val="24"/>
      <w:szCs w:val="24"/>
    </w:rPr>
  </w:style>
  <w:style w:type="table" w:styleId="38">
    <w:name w:val="Table Grid"/>
    <w:basedOn w:val="12"/>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
    <w:name w:val="Heading 1 Char"/>
    <w:basedOn w:val="11"/>
    <w:uiPriority w:val="9"/>
    <w:rPr>
      <w:rFonts w:ascii="Arial" w:hAnsi="Arial" w:eastAsia="Arial" w:cs="Arial"/>
      <w:sz w:val="40"/>
      <w:szCs w:val="40"/>
    </w:rPr>
  </w:style>
  <w:style w:type="character" w:customStyle="1" w:styleId="40">
    <w:name w:val="Heading 2 Char"/>
    <w:basedOn w:val="11"/>
    <w:qFormat/>
    <w:uiPriority w:val="9"/>
    <w:rPr>
      <w:rFonts w:ascii="Arial" w:hAnsi="Arial" w:eastAsia="Arial" w:cs="Arial"/>
      <w:sz w:val="34"/>
    </w:rPr>
  </w:style>
  <w:style w:type="character" w:customStyle="1" w:styleId="41">
    <w:name w:val="Heading 3 Char"/>
    <w:basedOn w:val="11"/>
    <w:link w:val="4"/>
    <w:uiPriority w:val="9"/>
    <w:rPr>
      <w:rFonts w:ascii="Arial" w:hAnsi="Arial" w:eastAsia="Arial" w:cs="Arial"/>
      <w:sz w:val="30"/>
      <w:szCs w:val="30"/>
    </w:rPr>
  </w:style>
  <w:style w:type="character" w:customStyle="1" w:styleId="42">
    <w:name w:val="Heading 4 Char"/>
    <w:basedOn w:val="11"/>
    <w:link w:val="5"/>
    <w:uiPriority w:val="9"/>
    <w:rPr>
      <w:rFonts w:ascii="Arial" w:hAnsi="Arial" w:eastAsia="Arial" w:cs="Arial"/>
      <w:b/>
      <w:bCs/>
      <w:sz w:val="26"/>
      <w:szCs w:val="26"/>
    </w:rPr>
  </w:style>
  <w:style w:type="character" w:customStyle="1" w:styleId="43">
    <w:name w:val="Heading 5 Char"/>
    <w:basedOn w:val="11"/>
    <w:link w:val="6"/>
    <w:qFormat/>
    <w:uiPriority w:val="9"/>
    <w:rPr>
      <w:rFonts w:ascii="Arial" w:hAnsi="Arial" w:eastAsia="Arial" w:cs="Arial"/>
      <w:b/>
      <w:bCs/>
      <w:sz w:val="24"/>
      <w:szCs w:val="24"/>
    </w:rPr>
  </w:style>
  <w:style w:type="character" w:customStyle="1" w:styleId="44">
    <w:name w:val="Heading 6 Char"/>
    <w:basedOn w:val="11"/>
    <w:link w:val="7"/>
    <w:qFormat/>
    <w:uiPriority w:val="9"/>
    <w:rPr>
      <w:rFonts w:ascii="Arial" w:hAnsi="Arial" w:eastAsia="Arial" w:cs="Arial"/>
      <w:b/>
      <w:bCs/>
      <w:sz w:val="22"/>
      <w:szCs w:val="22"/>
    </w:rPr>
  </w:style>
  <w:style w:type="character" w:customStyle="1" w:styleId="45">
    <w:name w:val="Heading 7 Char"/>
    <w:basedOn w:val="11"/>
    <w:link w:val="8"/>
    <w:uiPriority w:val="9"/>
    <w:rPr>
      <w:rFonts w:ascii="Arial" w:hAnsi="Arial" w:eastAsia="Arial" w:cs="Arial"/>
      <w:b/>
      <w:bCs/>
      <w:i/>
      <w:iCs/>
      <w:sz w:val="22"/>
      <w:szCs w:val="22"/>
    </w:rPr>
  </w:style>
  <w:style w:type="character" w:customStyle="1" w:styleId="46">
    <w:name w:val="Heading 8 Char"/>
    <w:basedOn w:val="11"/>
    <w:link w:val="9"/>
    <w:uiPriority w:val="9"/>
    <w:rPr>
      <w:rFonts w:ascii="Arial" w:hAnsi="Arial" w:eastAsia="Arial" w:cs="Arial"/>
      <w:i/>
      <w:iCs/>
      <w:sz w:val="22"/>
      <w:szCs w:val="22"/>
    </w:rPr>
  </w:style>
  <w:style w:type="character" w:customStyle="1" w:styleId="47">
    <w:name w:val="Heading 9 Char"/>
    <w:basedOn w:val="11"/>
    <w:link w:val="10"/>
    <w:uiPriority w:val="9"/>
    <w:rPr>
      <w:rFonts w:ascii="Arial" w:hAnsi="Arial" w:eastAsia="Arial" w:cs="Arial"/>
      <w:i/>
      <w:iCs/>
      <w:sz w:val="21"/>
      <w:szCs w:val="21"/>
    </w:rPr>
  </w:style>
  <w:style w:type="character" w:customStyle="1" w:styleId="48">
    <w:name w:val="Title Char"/>
    <w:basedOn w:val="11"/>
    <w:link w:val="34"/>
    <w:qFormat/>
    <w:uiPriority w:val="10"/>
    <w:rPr>
      <w:sz w:val="48"/>
      <w:szCs w:val="48"/>
    </w:rPr>
  </w:style>
  <w:style w:type="character" w:customStyle="1" w:styleId="49">
    <w:name w:val="Subtitle Char"/>
    <w:basedOn w:val="11"/>
    <w:link w:val="37"/>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uiPriority w:val="30"/>
    <w:rPr>
      <w:i/>
    </w:rPr>
  </w:style>
  <w:style w:type="character" w:customStyle="1" w:styleId="54">
    <w:name w:val="Header Char"/>
    <w:basedOn w:val="11"/>
    <w:qFormat/>
    <w:uiPriority w:val="99"/>
  </w:style>
  <w:style w:type="character" w:customStyle="1" w:styleId="55">
    <w:name w:val="Footer Char"/>
    <w:basedOn w:val="11"/>
    <w:qFormat/>
    <w:uiPriority w:val="99"/>
  </w:style>
  <w:style w:type="character" w:customStyle="1" w:styleId="56">
    <w:name w:val="Caption Char"/>
    <w:basedOn w:val="11"/>
    <w:link w:val="21"/>
    <w:uiPriority w:val="35"/>
    <w:rPr>
      <w:b/>
      <w:bCs/>
      <w:color w:val="5B9BD5" w:themeColor="accent1"/>
      <w:sz w:val="18"/>
      <w:szCs w:val="18"/>
      <w14:textFill>
        <w14:solidFill>
          <w14:schemeClr w14:val="accent1"/>
        </w14:solidFill>
      </w14:textFill>
    </w:rPr>
  </w:style>
  <w:style w:type="table" w:customStyle="1" w:styleId="57">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1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12"/>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1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basedOn w:val="1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5">
    <w:name w:val="Grid Table 1 Light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6">
    <w:name w:val="Grid Table 1 Light - Accent 3"/>
    <w:basedOn w:val="1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7">
    <w:name w:val="Grid Table 1 Light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8">
    <w:name w:val="Grid Table 1 Light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9">
    <w:name w:val="Grid Table 1 Light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0">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2">
    <w:name w:val="Grid Table 2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3">
    <w:name w:val="Grid Table 2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4">
    <w:name w:val="Grid Table 2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5">
    <w:name w:val="Grid Table 2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6">
    <w:name w:val="Grid Table 2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7">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3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3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3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3 - Accent 5"/>
    <w:basedOn w:val="1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3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basedOn w:val="1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6">
    <w:name w:val="Grid Table 4 - Accent 2"/>
    <w:basedOn w:val="12"/>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4 - Accent 3"/>
    <w:basedOn w:val="1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4 - Accent 4"/>
    <w:basedOn w:val="1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4 - Accent 5"/>
    <w:basedOn w:val="1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4 - Accent 6"/>
    <w:basedOn w:val="1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5 Dark"/>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3">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4">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5">
    <w:name w:val="Grid Table 5 Dark- Accent 4"/>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6">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7">
    <w:name w:val="Grid Table 5 Dark - Accent 6"/>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8">
    <w:name w:val="Grid Table 6 Colorful"/>
    <w:basedOn w:val="1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basedOn w:val="1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basedOn w:val="1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basedOn w:val="1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4">
    <w:name w:val="Grid Table 6 Colorful - Accent 6"/>
    <w:basedOn w:val="1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5">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basedOn w:val="1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basedOn w:val="1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basedOn w:val="1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basedOn w:val="1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basedOn w:val="1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7 Colorful - Accent 6"/>
    <w:basedOn w:val="1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2">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basedOn w:val="1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4">
    <w:name w:val="List Table 1 Light - Accent 2"/>
    <w:basedOn w:val="1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5">
    <w:name w:val="List Table 1 Light - Accent 3"/>
    <w:basedOn w:val="1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6">
    <w:name w:val="List Table 1 Light - Accent 4"/>
    <w:basedOn w:val="1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7">
    <w:name w:val="List Table 1 Light - Accent 5"/>
    <w:basedOn w:val="1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8">
    <w:name w:val="List Table 1 Light - Accent 6"/>
    <w:basedOn w:val="1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9">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basedOn w:val="1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1">
    <w:name w:val="List Table 2 - Accent 2"/>
    <w:basedOn w:val="1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2">
    <w:name w:val="List Table 2 - Accent 3"/>
    <w:basedOn w:val="1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3">
    <w:name w:val="List Table 2 - Accent 4"/>
    <w:basedOn w:val="1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4">
    <w:name w:val="List Table 2 - Accent 5"/>
    <w:basedOn w:val="1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5">
    <w:name w:val="List Table 2 - Accent 6"/>
    <w:basedOn w:val="1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6">
    <w:name w:val="List Table 3"/>
    <w:basedOn w:val="1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basedOn w:val="1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8">
    <w:name w:val="List Table 3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9">
    <w:name w:val="List Table 3 - Accent 3"/>
    <w:basedOn w:val="1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0">
    <w:name w:val="List Table 3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1">
    <w:name w:val="List Table 3 - Accent 5"/>
    <w:basedOn w:val="12"/>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2">
    <w:name w:val="List Table 3 - Accent 6"/>
    <w:basedOn w:val="1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3">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basedOn w:val="1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4 - Accent 2"/>
    <w:basedOn w:val="1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4 - Accent 3"/>
    <w:basedOn w:val="1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4 - Accent 4"/>
    <w:basedOn w:val="1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4 - Accent 5"/>
    <w:basedOn w:val="1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basedOn w:val="1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2">
    <w:name w:val="List Table 5 Dark - Accent 2"/>
    <w:basedOn w:val="1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3">
    <w:name w:val="List Table 5 Dark - Accent 3"/>
    <w:basedOn w:val="1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4">
    <w:name w:val="List Table 5 Dark - Accent 4"/>
    <w:basedOn w:val="1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5">
    <w:name w:val="List Table 5 Dark - Accent 5"/>
    <w:basedOn w:val="1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6">
    <w:name w:val="List Table 5 Dark - Accent 6"/>
    <w:basedOn w:val="1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7">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basedOn w:val="1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9">
    <w:name w:val="List Table 6 Colorful - Accent 2"/>
    <w:basedOn w:val="1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basedOn w:val="1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basedOn w:val="1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basedOn w:val="12"/>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basedOn w:val="1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4">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basedOn w:val="12"/>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7 Colorful - Accent 2"/>
    <w:basedOn w:val="1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basedOn w:val="1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basedOn w:val="1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basedOn w:val="1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basedOn w:val="1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basedOn w:val="12"/>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3">
    <w:name w:val="Lined - Accent 2"/>
    <w:basedOn w:val="1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4">
    <w:name w:val="Lined - Accent 3"/>
    <w:basedOn w:val="1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5">
    <w:name w:val="Lined - Accent 4"/>
    <w:basedOn w:val="1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6">
    <w:name w:val="Lined - Accent 5"/>
    <w:basedOn w:val="12"/>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7">
    <w:name w:val="Lined - Accent 6"/>
    <w:basedOn w:val="1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8">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basedOn w:val="12"/>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Bordered &amp; Lined - Accent 2"/>
    <w:basedOn w:val="1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Bordered &amp; Lined - Accent 3"/>
    <w:basedOn w:val="1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Bordered &amp; Lined - Accent 4"/>
    <w:basedOn w:val="1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Bordered &amp; Lined - Accent 5"/>
    <w:basedOn w:val="12"/>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Bordered &amp; Lined - Accent 6"/>
    <w:basedOn w:val="1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w:basedOn w:val="12"/>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7">
    <w:name w:val="Bordered - Accent 2"/>
    <w:basedOn w:val="1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8">
    <w:name w:val="Bordered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9">
    <w:name w:val="Bordered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0">
    <w:name w:val="Bordered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1">
    <w:name w:val="Bordered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2">
    <w:name w:val="Footnote Text Char"/>
    <w:link w:val="22"/>
    <w:qFormat/>
    <w:uiPriority w:val="99"/>
    <w:rPr>
      <w:sz w:val="18"/>
    </w:rPr>
  </w:style>
  <w:style w:type="character" w:customStyle="1" w:styleId="183">
    <w:name w:val="Endnote Text Char"/>
    <w:link w:val="20"/>
    <w:qFormat/>
    <w:uiPriority w:val="99"/>
    <w:rPr>
      <w:sz w:val="20"/>
    </w:rPr>
  </w:style>
  <w:style w:type="paragraph" w:customStyle="1" w:styleId="184">
    <w:name w:val="TOC Heading"/>
    <w:unhideWhenUsed/>
    <w:qFormat/>
    <w:uiPriority w:val="39"/>
    <w:pPr>
      <w:spacing w:before="0" w:beforeAutospacing="0" w:after="160" w:afterAutospacing="0" w:line="259" w:lineRule="auto"/>
    </w:pPr>
    <w:rPr>
      <w:rFonts w:hint="default" w:asciiTheme="minorHAnsi" w:hAnsiTheme="minorHAnsi" w:eastAsiaTheme="minorHAnsi" w:cstheme="minorBidi"/>
      <w:sz w:val="22"/>
      <w:szCs w:val="22"/>
      <w:lang w:val="ru-RU" w:eastAsia="en-US" w:bidi="ar-SA"/>
    </w:rPr>
  </w:style>
  <w:style w:type="paragraph" w:styleId="185">
    <w:name w:val="List Paragraph"/>
    <w:basedOn w:val="1"/>
    <w:link w:val="19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character" w:customStyle="1" w:styleId="186">
    <w:name w:val="Верхний колонтитул Знак"/>
    <w:basedOn w:val="11"/>
    <w:link w:val="24"/>
    <w:qFormat/>
    <w:uiPriority w:val="99"/>
    <w:rPr>
      <w:rFonts w:ascii="Times New Roman" w:hAnsi="Times New Roman" w:eastAsia="Times New Roman" w:cs="Times New Roman"/>
      <w:sz w:val="24"/>
      <w:szCs w:val="24"/>
      <w:lang w:eastAsia="ru-RU"/>
    </w:rPr>
  </w:style>
  <w:style w:type="character" w:customStyle="1" w:styleId="187">
    <w:name w:val="Нижний колонтитул Знак"/>
    <w:basedOn w:val="11"/>
    <w:link w:val="35"/>
    <w:qFormat/>
    <w:uiPriority w:val="99"/>
    <w:rPr>
      <w:rFonts w:ascii="Times New Roman" w:hAnsi="Times New Roman" w:eastAsia="Times New Roman" w:cs="Times New Roman"/>
      <w:sz w:val="24"/>
      <w:szCs w:val="24"/>
      <w:lang w:eastAsia="ru-RU"/>
    </w:rPr>
  </w:style>
  <w:style w:type="paragraph" w:styleId="188">
    <w:name w:val="No Spacing"/>
    <w:qFormat/>
    <w:uiPriority w:val="1"/>
    <w:pPr>
      <w:spacing w:before="0" w:beforeAutospacing="0" w:after="0" w:afterAutospacing="0" w:line="240" w:lineRule="auto"/>
    </w:pPr>
    <w:rPr>
      <w:rFonts w:hint="default" w:ascii="Times New Roman" w:hAnsi="Times New Roman" w:eastAsia="Times New Roman" w:cs="Times New Roman"/>
      <w:sz w:val="24"/>
      <w:szCs w:val="24"/>
      <w:lang w:val="ru-RU" w:eastAsia="ru-RU" w:bidi="ar-SA"/>
    </w:rPr>
  </w:style>
  <w:style w:type="character" w:customStyle="1" w:styleId="189">
    <w:name w:val="Основной текст 2 Знак"/>
    <w:basedOn w:val="11"/>
    <w:link w:val="19"/>
    <w:qFormat/>
    <w:uiPriority w:val="0"/>
    <w:rPr>
      <w:rFonts w:ascii="Times New Roman" w:hAnsi="Times New Roman" w:eastAsia="Times New Roman" w:cs="Times New Roman"/>
      <w:sz w:val="24"/>
      <w:szCs w:val="24"/>
      <w:lang w:eastAsia="ru-RU"/>
    </w:rPr>
  </w:style>
  <w:style w:type="character" w:customStyle="1" w:styleId="190">
    <w:name w:val="Заголовок 1 Знак"/>
    <w:basedOn w:val="11"/>
    <w:link w:val="2"/>
    <w:qFormat/>
    <w:uiPriority w:val="9"/>
    <w:rPr>
      <w:rFonts w:asciiTheme="majorHAnsi" w:hAnsiTheme="majorHAnsi" w:eastAsiaTheme="majorEastAsia" w:cstheme="majorBidi"/>
      <w:b/>
      <w:bCs/>
      <w:color w:val="2E75B6" w:themeColor="accent1" w:themeShade="BF"/>
      <w:sz w:val="28"/>
      <w:szCs w:val="28"/>
      <w:lang w:eastAsia="ru-RU"/>
    </w:rPr>
  </w:style>
  <w:style w:type="character" w:customStyle="1" w:styleId="191">
    <w:name w:val="Абзац списка Знак"/>
    <w:link w:val="185"/>
    <w:qFormat/>
    <w:uiPriority w:val="34"/>
  </w:style>
  <w:style w:type="paragraph" w:customStyle="1" w:styleId="192">
    <w:name w:val="ConsPlusNormal"/>
    <w:link w:val="193"/>
    <w:qFormat/>
    <w:uiPriority w:val="0"/>
    <w:pPr>
      <w:widowControl w:val="0"/>
      <w:spacing w:before="0" w:beforeAutospacing="0" w:after="0" w:afterAutospacing="0" w:line="240" w:lineRule="auto"/>
    </w:pPr>
    <w:rPr>
      <w:rFonts w:hint="default" w:ascii="Calibri" w:hAnsi="Calibri" w:eastAsia="Times New Roman" w:cs="Calibri"/>
      <w:sz w:val="22"/>
      <w:szCs w:val="20"/>
      <w:lang w:val="ru-RU" w:eastAsia="ru-RU" w:bidi="ar-SA"/>
    </w:rPr>
  </w:style>
  <w:style w:type="character" w:customStyle="1" w:styleId="193">
    <w:name w:val="ConsPlusNormal Знак"/>
    <w:link w:val="192"/>
    <w:qFormat/>
    <w:uiPriority w:val="0"/>
    <w:rPr>
      <w:rFonts w:ascii="Calibri" w:hAnsi="Calibri" w:eastAsia="Times New Roman" w:cs="Calibri"/>
      <w:szCs w:val="20"/>
      <w:lang w:eastAsia="ru-RU"/>
    </w:rPr>
  </w:style>
  <w:style w:type="character" w:customStyle="1" w:styleId="194">
    <w:name w:val="Обычный (веб) Знак"/>
    <w:link w:val="36"/>
    <w:qFormat/>
    <w:uiPriority w:val="99"/>
    <w:rPr>
      <w:rFonts w:ascii="Times New Roman" w:hAnsi="Times New Roman" w:eastAsia="Times New Roman" w:cs="Times New Roman"/>
      <w:sz w:val="24"/>
      <w:szCs w:val="24"/>
      <w:lang w:eastAsia="ru-RU"/>
    </w:rPr>
  </w:style>
  <w:style w:type="character" w:customStyle="1" w:styleId="195">
    <w:name w:val="apple-converted-space"/>
    <w:qFormat/>
    <w:uiPriority w:val="0"/>
  </w:style>
  <w:style w:type="paragraph" w:customStyle="1" w:styleId="196">
    <w:name w:val="Пункты"/>
    <w:basedOn w:val="3"/>
    <w:link w:val="197"/>
    <w:qFormat/>
    <w:uiPriority w:val="0"/>
    <w:pPr>
      <w:keepLines w:val="0"/>
      <w:numPr>
        <w:ilvl w:val="1"/>
        <w:numId w:val="1"/>
      </w:numPr>
      <w:tabs>
        <w:tab w:val="left" w:pos="1134"/>
      </w:tabs>
      <w:spacing w:before="120"/>
      <w:jc w:val="both"/>
    </w:pPr>
    <w:rPr>
      <w:rFonts w:ascii="Times New Roman" w:hAnsi="Times New Roman" w:eastAsia="Times New Roman" w:cs="Times New Roman"/>
      <w:bCs/>
      <w:iCs/>
      <w:color w:val="auto"/>
      <w:sz w:val="24"/>
      <w:szCs w:val="28"/>
    </w:rPr>
  </w:style>
  <w:style w:type="character" w:customStyle="1" w:styleId="197">
    <w:name w:val="Пункты Знак"/>
    <w:link w:val="196"/>
    <w:qFormat/>
    <w:uiPriority w:val="0"/>
    <w:rPr>
      <w:rFonts w:ascii="Times New Roman" w:hAnsi="Times New Roman" w:eastAsia="Times New Roman" w:cs="Times New Roman"/>
      <w:bCs/>
      <w:iCs/>
      <w:sz w:val="24"/>
      <w:szCs w:val="28"/>
      <w:lang w:eastAsia="ru-RU"/>
    </w:rPr>
  </w:style>
  <w:style w:type="character" w:customStyle="1" w:styleId="198">
    <w:name w:val="Заголовок 2 Знак"/>
    <w:basedOn w:val="11"/>
    <w:link w:val="3"/>
    <w:semiHidden/>
    <w:qFormat/>
    <w:uiPriority w:val="9"/>
    <w:rPr>
      <w:rFonts w:asciiTheme="majorHAnsi" w:hAnsiTheme="majorHAnsi" w:eastAsiaTheme="majorEastAsia" w:cstheme="majorBidi"/>
      <w:color w:val="2E75B6" w:themeColor="accent1" w:themeShade="BF"/>
      <w:sz w:val="26"/>
      <w:szCs w:val="26"/>
      <w:lang w:eastAsia="ru-RU"/>
    </w:rPr>
  </w:style>
  <w:style w:type="character" w:customStyle="1" w:styleId="199">
    <w:name w:val="Текст выноски Знак"/>
    <w:basedOn w:val="11"/>
    <w:link w:val="18"/>
    <w:semiHidden/>
    <w:qFormat/>
    <w:uiPriority w:val="99"/>
    <w:rPr>
      <w:rFonts w:ascii="Segoe UI" w:hAnsi="Segoe UI" w:eastAsia="Times New Roman" w:cs="Segoe UI"/>
      <w:sz w:val="18"/>
      <w:szCs w:val="18"/>
      <w:lang w:eastAsia="ru-RU"/>
    </w:rPr>
  </w:style>
  <w:style w:type="paragraph" w:customStyle="1" w:styleId="200">
    <w:name w:val="ConsPlusTitle"/>
    <w:qFormat/>
    <w:uiPriority w:val="0"/>
    <w:pPr>
      <w:widowControl w:val="0"/>
      <w:autoSpaceDE w:val="0"/>
      <w:autoSpaceDN w:val="0"/>
      <w:spacing w:after="0" w:line="240" w:lineRule="auto"/>
    </w:pPr>
    <w:rPr>
      <w:rFonts w:ascii="Calibri" w:hAnsi="Calibri" w:eastAsia="Times New Roman" w:cs="Calibri"/>
      <w:b/>
      <w:sz w:val="22"/>
      <w:szCs w:val="20"/>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1FCEE-8430-4E63-93E4-BD319A62DC19}">
  <ds:schemaRefs/>
</ds:datastoreItem>
</file>

<file path=docProps/app.xml><?xml version="1.0" encoding="utf-8"?>
<Properties xmlns="http://schemas.openxmlformats.org/officeDocument/2006/extended-properties" xmlns:vt="http://schemas.openxmlformats.org/officeDocument/2006/docPropsVTypes">
  <Template>Normal</Template>
  <Pages>13</Pages>
  <TotalTime>2</TotalTime>
  <ScaleCrop>false</ScaleCrop>
  <LinksUpToDate>false</LinksUpToDate>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2024-01-22T14:59:00Z</dcterms:created>
  <dc:creator>Сергеев Алексей Борисович</dc:creator>
  <cp:lastModifiedBy>ГБДОУ №36</cp:lastModifiedBy>
  <dcterms:modified xsi:type="dcterms:W3CDTF">2026-01-28T13:28:15Z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66E76CC6FF9A4279B00957CF3032B806_13</vt:lpwstr>
  </property>
</Properties>
</file>