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60" w:line="240" w:lineRule="auto"/>
        <w:rPr>
          <w:rFonts w:ascii="Times New Roman" w:hAnsi="Times New Roman" w:cs="Times New Roman" w:eastAsia="Times New Roman"/>
          <w:b/>
          <w:bCs/>
          <w:sz w:val="22"/>
        </w:rPr>
        <w:outlineLvl w:val="1"/>
      </w:pPr>
      <w:r>
        <w:rPr>
          <w:rFonts w:ascii="Times New Roman" w:hAnsi="Times New Roman" w:cs="Times New Roman" w:eastAsia="Times New Roman"/>
          <w:b/>
          <w:sz w:val="22"/>
          <w:lang w:eastAsia="ru-RU"/>
        </w:rPr>
        <w:t xml:space="preserve">ПРОЕКТ</w:t>
      </w:r>
      <w:r>
        <w:rPr>
          <w:rFonts w:ascii="Times New Roman" w:hAnsi="Times New Roman" w:cs="Times New Roman" w:eastAsia="Times New Roman"/>
          <w:b/>
          <w:sz w:val="22"/>
          <w:lang w:eastAsia="ru-RU"/>
        </w:rPr>
        <w:t xml:space="preserve"> КОНТРАКТА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center"/>
        <w:spacing w:after="60" w:line="240" w:lineRule="auto"/>
        <w:rPr>
          <w:rFonts w:ascii="Times New Roman" w:hAnsi="Times New Roman" w:cs="Times New Roman" w:eastAsia="Times New Roman"/>
          <w:sz w:val="22"/>
        </w:rPr>
        <w:outlineLvl w:val="1"/>
      </w:pPr>
      <w:r>
        <w:rPr>
          <w:rFonts w:ascii="Times New Roman" w:hAnsi="Times New Roman" w:cs="Times New Roman" w:eastAsia="Times New Roman"/>
          <w:b/>
          <w:sz w:val="22"/>
          <w:lang w:eastAsia="ru-RU"/>
        </w:rPr>
        <w:t xml:space="preserve">КОНТРАКТ №  ____________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center"/>
        <w:spacing w:after="60" w:line="240" w:lineRule="auto"/>
        <w:rPr>
          <w:rFonts w:ascii="Times New Roman" w:hAnsi="Times New Roman" w:cs="Times New Roman" w:eastAsia="Times New Roman"/>
          <w:sz w:val="22"/>
        </w:rPr>
        <w:outlineLvl w:val="1"/>
      </w:pPr>
      <w:r>
        <w:rPr>
          <w:rFonts w:ascii="Times New Roman" w:hAnsi="Times New Roman" w:cs="Times New Roman" w:eastAsia="Times New Roman"/>
          <w:sz w:val="22"/>
          <w:lang w:eastAsia="ru-RU"/>
        </w:rPr>
        <w:t xml:space="preserve">ИКЗ ___________________________________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spacing w:after="60" w:line="240" w:lineRule="auto"/>
        <w:rPr>
          <w:rFonts w:ascii="Times New Roman" w:hAnsi="Times New Roman" w:cs="Times New Roman" w:eastAsia="Times New Roman"/>
          <w:sz w:val="22"/>
        </w:rPr>
        <w:outlineLvl w:val="1"/>
      </w:pPr>
      <w:r>
        <w:rPr>
          <w:rFonts w:ascii="Times New Roman" w:hAnsi="Times New Roman" w:cs="Times New Roman" w:eastAsia="Times New Roman"/>
          <w:sz w:val="22"/>
          <w:lang w:eastAsia="ru-RU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spacing w:after="60" w:line="240" w:lineRule="auto"/>
        <w:rPr>
          <w:rFonts w:ascii="Times New Roman" w:hAnsi="Times New Roman" w:cs="Times New Roman" w:eastAsia="Times New Roman"/>
          <w:sz w:val="22"/>
        </w:rPr>
        <w:outlineLvl w:val="1"/>
      </w:pPr>
      <w:r>
        <w:rPr>
          <w:rFonts w:ascii="Times New Roman" w:hAnsi="Times New Roman" w:cs="Times New Roman" w:eastAsia="Times New Roman"/>
          <w:sz w:val="22"/>
          <w:lang w:eastAsia="ru-RU"/>
        </w:rPr>
        <w:t xml:space="preserve">          Санкт-Петербург</w:t>
      </w:r>
      <w:r>
        <w:rPr>
          <w:rFonts w:ascii="Times New Roman" w:hAnsi="Times New Roman" w:cs="Times New Roman" w:eastAsia="Times New Roman"/>
          <w:sz w:val="22"/>
          <w:lang w:eastAsia="ru-RU"/>
        </w:rPr>
        <w:tab/>
      </w:r>
      <w:r>
        <w:rPr>
          <w:rFonts w:ascii="Times New Roman" w:hAnsi="Times New Roman" w:cs="Times New Roman" w:eastAsia="Times New Roman"/>
          <w:sz w:val="22"/>
          <w:lang w:eastAsia="ru-RU"/>
        </w:rPr>
        <w:tab/>
      </w:r>
      <w:r>
        <w:rPr>
          <w:rFonts w:ascii="Times New Roman" w:hAnsi="Times New Roman" w:cs="Times New Roman" w:eastAsia="Times New Roman"/>
          <w:sz w:val="22"/>
          <w:lang w:eastAsia="ru-RU"/>
        </w:rPr>
        <w:tab/>
      </w:r>
      <w:r>
        <w:rPr>
          <w:rFonts w:ascii="Times New Roman" w:hAnsi="Times New Roman" w:cs="Times New Roman" w:eastAsia="Times New Roman"/>
          <w:sz w:val="22"/>
          <w:lang w:eastAsia="ru-RU"/>
        </w:rPr>
        <w:tab/>
      </w:r>
      <w:r>
        <w:rPr>
          <w:rFonts w:ascii="Times New Roman" w:hAnsi="Times New Roman" w:cs="Times New Roman" w:eastAsia="Times New Roman"/>
          <w:sz w:val="22"/>
          <w:lang w:eastAsia="ru-RU"/>
        </w:rPr>
        <w:tab/>
        <w:tab/>
        <w:t xml:space="preserve">    «___» _________   2024 г.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spacing w:after="0" w:line="240" w:lineRule="auto"/>
        <w:rPr>
          <w:rFonts w:ascii="Times New Roman" w:hAnsi="Times New Roman" w:cs="Times New Roman" w:eastAsia="Times New Roman"/>
          <w:sz w:val="22"/>
        </w:rPr>
      </w:pPr>
      <w:r>
        <w:rPr>
          <w:rFonts w:ascii="Times New Roman" w:hAnsi="Times New Roman" w:cs="Times New Roman" w:eastAsia="Times New Roman"/>
          <w:sz w:val="22"/>
          <w:lang w:eastAsia="ru-RU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9"/>
        <w:ind w:firstLine="540"/>
        <w:jc w:val="both"/>
        <w:rPr>
          <w:rFonts w:ascii="Times New Roman" w:hAnsi="Times New Roman" w:cs="Times New Roman" w:eastAsia="Times New Roman"/>
          <w:sz w:val="22"/>
        </w:rPr>
      </w:pPr>
      <w:r>
        <w:rPr>
          <w:rFonts w:ascii="Times New Roman" w:hAnsi="Times New Roman" w:cs="Times New Roman" w:eastAsia="Times New Roman"/>
          <w:b w:val="0"/>
          <w:bCs w:val="0"/>
          <w:sz w:val="22"/>
          <w:szCs w:val="22"/>
        </w:rPr>
        <w:t xml:space="preserve">Г</w:t>
      </w:r>
      <w:r>
        <w:rPr>
          <w:rFonts w:ascii="Times New Roman" w:hAnsi="Times New Roman" w:cs="Times New Roman" w:eastAsia="Times New Roman"/>
          <w:b w:val="0"/>
          <w:bCs/>
          <w:sz w:val="22"/>
          <w:szCs w:val="22"/>
        </w:rPr>
        <w:t xml:space="preserve">БОУ школа-интернат №68  </w:t>
      </w:r>
      <w:r>
        <w:rPr>
          <w:rFonts w:ascii="Times New Roman" w:hAnsi="Times New Roman" w:cs="Times New Roman" w:eastAsia="Times New Roman"/>
          <w:b w:val="0"/>
          <w:bCs/>
          <w:sz w:val="22"/>
          <w:szCs w:val="22"/>
        </w:rPr>
        <w:t xml:space="preserve">Санкт-Петербурга</w:t>
      </w:r>
      <w:r>
        <w:rPr>
          <w:rFonts w:ascii="Times New Roman" w:hAnsi="Times New Roman" w:cs="Times New Roman" w:eastAsia="Times New Roman"/>
          <w:b w:val="0"/>
          <w:bCs/>
          <w:sz w:val="22"/>
          <w:szCs w:val="22"/>
        </w:rPr>
        <w:t xml:space="preserve">, </w:t>
      </w:r>
      <w:r>
        <w:rPr>
          <w:rFonts w:ascii="Times New Roman" w:hAnsi="Times New Roman" w:cs="Times New Roman" w:eastAsia="Times New Roman"/>
          <w:b w:val="0"/>
          <w:bCs/>
          <w:sz w:val="22"/>
          <w:szCs w:val="22"/>
        </w:rPr>
        <w:t xml:space="preserve">именуемое в дальнейшем «Заказчик»</w:t>
      </w:r>
      <w:r>
        <w:rPr>
          <w:rFonts w:ascii="Times New Roman" w:hAnsi="Times New Roman" w:cs="Times New Roman" w:eastAsia="Times New Roman"/>
          <w:b w:val="0"/>
          <w:bCs/>
          <w:sz w:val="22"/>
          <w:szCs w:val="22"/>
        </w:rPr>
        <w:t xml:space="preserve">, </w:t>
      </w:r>
      <w:r>
        <w:rPr>
          <w:rFonts w:ascii="Times New Roman" w:hAnsi="Times New Roman" w:cs="Times New Roman" w:eastAsia="Times New Roman"/>
          <w:b w:val="0"/>
          <w:bCs/>
          <w:sz w:val="22"/>
          <w:szCs w:val="22"/>
        </w:rPr>
        <w:t xml:space="preserve">в лице</w:t>
      </w:r>
      <w:r>
        <w:rPr>
          <w:rFonts w:ascii="Times New Roman" w:hAnsi="Times New Roman" w:cs="Times New Roman" w:eastAsia="Times New Roman"/>
          <w:b w:val="0"/>
          <w:bCs/>
          <w:sz w:val="22"/>
          <w:szCs w:val="22"/>
        </w:rPr>
        <w:t xml:space="preserve"> исполняющего обязанности директора школы О.С. Ефимовой</w:t>
      </w:r>
      <w:r>
        <w:rPr>
          <w:rFonts w:ascii="Times New Roman" w:hAnsi="Times New Roman" w:cs="Times New Roman" w:eastAsia="Times New Roman"/>
          <w:b w:val="0"/>
          <w:i/>
          <w:color w:val="333333"/>
          <w:sz w:val="22"/>
          <w:szCs w:val="22"/>
        </w:rPr>
        <w:t xml:space="preserve">,</w:t>
      </w:r>
      <w:r>
        <w:rPr>
          <w:rFonts w:ascii="Times New Roman" w:hAnsi="Times New Roman" w:cs="Times New Roman" w:eastAsia="Times New Roman"/>
          <w:b w:val="0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действующего на основании Устава, с одной стороны,</w:t>
      </w:r>
      <w:r>
        <w:rPr>
          <w:rFonts w:ascii="Times New Roman" w:hAnsi="Times New Roman" w:cs="Times New Roman" w:eastAsia="Times New Roman"/>
          <w:sz w:val="22"/>
        </w:rPr>
        <w:t xml:space="preserve"> </w:t>
      </w:r>
      <w:r>
        <w:rPr>
          <w:rFonts w:ascii="Times New Roman" w:hAnsi="Times New Roman" w:cs="Times New Roman" w:eastAsia="Times New Roman"/>
          <w:sz w:val="22"/>
        </w:rPr>
        <w:t xml:space="preserve">и _________________________________________</w:t>
      </w:r>
      <w:r>
        <w:rPr>
          <w:rFonts w:ascii="Times New Roman" w:hAnsi="Times New Roman" w:cs="Times New Roman" w:eastAsia="Times New Roman"/>
          <w:sz w:val="22"/>
        </w:rPr>
        <w:t xml:space="preserve">, именуемый в дальнейшем </w:t>
      </w:r>
      <w:r>
        <w:rPr>
          <w:rFonts w:ascii="Times New Roman" w:hAnsi="Times New Roman" w:cs="Times New Roman" w:eastAsia="Times New Roman"/>
          <w:sz w:val="22"/>
        </w:rPr>
        <w:t xml:space="preserve">«</w:t>
      </w:r>
      <w:r>
        <w:rPr>
          <w:rFonts w:ascii="Times New Roman" w:hAnsi="Times New Roman" w:cs="Times New Roman" w:eastAsia="Times New Roman"/>
          <w:sz w:val="22"/>
        </w:rPr>
        <w:t xml:space="preserve">Исполнитель</w:t>
      </w:r>
      <w:r>
        <w:rPr>
          <w:rFonts w:ascii="Times New Roman" w:hAnsi="Times New Roman" w:cs="Times New Roman" w:eastAsia="Times New Roman"/>
          <w:sz w:val="22"/>
        </w:rPr>
        <w:t xml:space="preserve">»</w:t>
      </w:r>
      <w:r>
        <w:rPr>
          <w:rFonts w:ascii="Times New Roman" w:hAnsi="Times New Roman" w:cs="Times New Roman" w:eastAsia="Times New Roman"/>
          <w:sz w:val="22"/>
        </w:rPr>
        <w:t xml:space="preserve">, в лице _____________________, действующего на основании ____________________ , с другой стороны, вместе именуемые в дальнейшем </w:t>
      </w:r>
      <w:r>
        <w:rPr>
          <w:rFonts w:ascii="Times New Roman" w:hAnsi="Times New Roman" w:cs="Times New Roman" w:eastAsia="Times New Roman"/>
          <w:sz w:val="22"/>
        </w:rPr>
        <w:t xml:space="preserve">«</w:t>
      </w:r>
      <w:r>
        <w:rPr>
          <w:rFonts w:ascii="Times New Roman" w:hAnsi="Times New Roman" w:cs="Times New Roman" w:eastAsia="Times New Roman"/>
          <w:sz w:val="22"/>
        </w:rPr>
        <w:t xml:space="preserve">Стороны</w:t>
      </w:r>
      <w:r>
        <w:rPr>
          <w:rFonts w:ascii="Times New Roman" w:hAnsi="Times New Roman" w:cs="Times New Roman" w:eastAsia="Times New Roman"/>
          <w:sz w:val="22"/>
        </w:rPr>
        <w:t xml:space="preserve">»</w:t>
      </w:r>
      <w:r>
        <w:rPr>
          <w:rFonts w:ascii="Times New Roman" w:hAnsi="Times New Roman" w:cs="Times New Roman" w:eastAsia="Times New Roman"/>
          <w:sz w:val="22"/>
        </w:rPr>
        <w:t xml:space="preserve">, на основании</w:t>
      </w:r>
      <w:r>
        <w:rPr>
          <w:rFonts w:ascii="Times New Roman" w:hAnsi="Times New Roman" w:cs="Times New Roman" w:eastAsia="Times New Roman"/>
          <w:sz w:val="22"/>
        </w:rPr>
        <w:t xml:space="preserve"> (далее - Контракт) о нижеследующем: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9"/>
        <w:jc w:val="both"/>
        <w:rPr>
          <w:rFonts w:ascii="Times New Roman" w:hAnsi="Times New Roman" w:cs="Times New Roman" w:eastAsia="Times New Roman"/>
          <w:sz w:val="22"/>
        </w:rPr>
      </w:pPr>
      <w:r>
        <w:rPr>
          <w:rFonts w:ascii="Times New Roman" w:hAnsi="Times New Roman" w:cs="Times New Roman" w:eastAsia="Times New Roman"/>
          <w:sz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center"/>
        <w:rPr>
          <w:rFonts w:ascii="Times New Roman" w:hAnsi="Times New Roman" w:cs="Times New Roman" w:eastAsia="Times New Roman"/>
          <w:b/>
          <w:color w:val="000000"/>
          <w:sz w:val="22"/>
        </w:rPr>
      </w:pPr>
      <w:r>
        <w:rPr>
          <w:rFonts w:ascii="Times New Roman" w:hAnsi="Times New Roman" w:cs="Times New Roman" w:eastAsia="Times New Roman"/>
          <w:b/>
          <w:color w:val="000000"/>
          <w:sz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numPr>
          <w:ilvl w:val="0"/>
          <w:numId w:val="18"/>
        </w:numPr>
        <w:contextualSpacing/>
        <w:jc w:val="both"/>
        <w:spacing w:after="0"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Предмет контракта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contextualSpacing/>
        <w:ind w:firstLine="567"/>
        <w:jc w:val="both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1.1. Поставщик обязуется осуществить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Заказчику</w:t>
      </w:r>
      <w:r>
        <w:rPr>
          <w:rFonts w:ascii="Times New Roman" w:hAnsi="Times New Roman" w:cs="Times New Roman" w:eastAsia="Times New Roman"/>
          <w:sz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поставку 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столов и стульев ученических для нужд ГБОУ школы-интерната № 68 Санкт-Петербурга</w:t>
      </w: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,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Style w:val="920"/>
          <w:rFonts w:ascii="Times New Roman" w:hAnsi="Times New Roman" w:cs="Times New Roman" w:eastAsia="Times New Roman"/>
          <w:i w:val="0"/>
          <w:sz w:val="22"/>
          <w:szCs w:val="22"/>
        </w:rPr>
        <w:t xml:space="preserve">с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огласно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Расчёту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стоимости поставки (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Приложени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е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№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1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)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, котор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ое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явля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е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тся неотъемлемой частью Контракта.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contextualSpacing/>
        <w:ind w:firstLine="567"/>
        <w:jc w:val="both"/>
        <w:spacing w:after="0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1.2. Обязательным условием поставки товара является наличие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необходимых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сертификатов соответствия или заверенных должным образом их копий, которые предоставляются Заказчику при поставке товара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, согласно п. 6.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1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3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настоящего контракта.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86"/>
        <w:ind w:left="0"/>
        <w:jc w:val="center"/>
        <w:spacing w:after="0" w:line="240" w:lineRule="atLeast"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86"/>
        <w:ind w:left="0"/>
        <w:jc w:val="center"/>
        <w:spacing w:after="0" w:line="240" w:lineRule="atLeast"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2. Срок поставки товара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both"/>
        <w:rPr>
          <w:rFonts w:ascii="Times New Roman" w:hAnsi="Times New Roman" w:cs="Times New Roman" w:eastAsia="Times New Roman"/>
          <w:sz w:val="22"/>
          <w:szCs w:val="22"/>
          <w:highlight w:val="yellow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  <w:highlight w:val="none"/>
        </w:rPr>
        <w:t xml:space="preserve">       </w:t>
      </w:r>
      <w:r>
        <w:rPr>
          <w:rFonts w:ascii="Times New Roman" w:hAnsi="Times New Roman" w:cs="Times New Roman" w:eastAsia="Times New Roman"/>
          <w:sz w:val="22"/>
          <w:szCs w:val="22"/>
          <w:highlight w:val="none"/>
        </w:rPr>
        <w:t xml:space="preserve">  </w:t>
      </w:r>
      <w:r>
        <w:rPr>
          <w:rFonts w:ascii="Times New Roman" w:hAnsi="Times New Roman" w:cs="Times New Roman" w:eastAsia="Times New Roman"/>
          <w:sz w:val="22"/>
          <w:szCs w:val="22"/>
          <w:highlight w:val="none"/>
        </w:rPr>
        <w:t xml:space="preserve">2</w:t>
      </w:r>
      <w:r>
        <w:rPr>
          <w:rFonts w:ascii="Times New Roman" w:hAnsi="Times New Roman" w:cs="Times New Roman" w:eastAsia="Times New Roman"/>
          <w:sz w:val="22"/>
          <w:szCs w:val="22"/>
          <w:highlight w:val="none"/>
        </w:rPr>
        <w:t xml:space="preserve">.1.</w:t>
      </w:r>
      <w:r>
        <w:rPr>
          <w:rFonts w:ascii="Times New Roman" w:hAnsi="Times New Roman" w:cs="Times New Roman" w:eastAsia="Times New Roman"/>
          <w:sz w:val="22"/>
          <w:szCs w:val="22"/>
          <w:highlight w:val="none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  <w:highlight w:val="none"/>
        </w:rPr>
        <w:t xml:space="preserve">Срок поставки товара: в</w:t>
      </w:r>
      <w:r>
        <w:rPr>
          <w:rFonts w:ascii="Times New Roman" w:hAnsi="Times New Roman" w:cs="Times New Roman" w:eastAsia="Times New Roman"/>
          <w:sz w:val="22"/>
          <w:szCs w:val="22"/>
          <w:highlight w:val="yellow"/>
        </w:rPr>
        <w:t xml:space="preserve"> течение 25 (двадцать пять) рабочих дней с даты подписания контракта Сторонами.</w:t>
      </w:r>
      <w:r>
        <w:rPr>
          <w:highlight w:val="yellow"/>
        </w:rPr>
      </w:r>
      <w:r>
        <w:rPr>
          <w:highlight w:val="yellow"/>
        </w:rPr>
      </w:r>
    </w:p>
    <w:p>
      <w:pPr>
        <w:ind w:firstLine="567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2.2. Если последний день срока приходится на нерабочий день, днем окончания срока считается ближайший следующий за ним рабочий день.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rPr>
          <w:rFonts w:ascii="Times New Roman" w:hAnsi="Times New Roman" w:cs="Times New Roman" w:eastAsia="Times New Roman"/>
          <w:sz w:val="22"/>
        </w:rPr>
      </w:pPr>
      <w:r>
        <w:rPr>
          <w:rFonts w:ascii="Times New Roman" w:hAnsi="Times New Roman" w:cs="Times New Roman" w:eastAsia="Times New Roman"/>
          <w:sz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jc w:val="center"/>
        <w:spacing w:after="0" w:line="240" w:lineRule="atLeast"/>
        <w:widowControl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contextualSpacing/>
        <w:jc w:val="center"/>
        <w:spacing w:after="0"/>
        <w:widowControl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3. Цена контракта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contextualSpacing/>
        <w:ind w:firstLine="567"/>
        <w:jc w:val="both"/>
        <w:spacing w:after="0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3.1.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Цена контракта составляет _______ (_______________), в т.ч. НДС*, в соответствии с Приложением № 1.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contextualSpacing/>
        <w:ind w:firstLine="567"/>
        <w:jc w:val="both"/>
        <w:spacing w:after="0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3.2. Цена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контракта является твердой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на весь срок действия контракта и изменению не подлежит, за исключением случаев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,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предусмотренных действующим законодательством.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contextualSpacing/>
        <w:ind w:firstLine="567"/>
        <w:jc w:val="both"/>
        <w:spacing w:after="0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3.3.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Ц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ена товара, все расходы с учетом стоимости товара, расходов на доставку товара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и сборку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, страхование, уплату таможенных пошлин, налогов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и других обязательных платежей, входят в цену контракта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contextualSpacing/>
        <w:ind w:firstLine="567"/>
        <w:jc w:val="both"/>
        <w:shd w:val="clear" w:color="auto" w:fill="ffffff"/>
        <w:tabs>
          <w:tab w:val="left" w:pos="0" w:leader="none"/>
          <w:tab w:val="left" w:pos="142" w:leader="none"/>
          <w:tab w:val="left" w:pos="540" w:leader="none"/>
        </w:tabs>
        <w:rPr>
          <w:rFonts w:ascii="Times New Roman" w:hAnsi="Times New Roman" w:cs="Times New Roman" w:eastAsia="Times New Roman"/>
          <w:color w:val="000000"/>
          <w:sz w:val="22"/>
          <w:szCs w:val="22"/>
          <w:vertAlign w:val="superscript"/>
        </w:rPr>
      </w:pPr>
      <w:r>
        <w:rPr>
          <w:rFonts w:ascii="Times New Roman" w:hAnsi="Times New Roman" w:cs="Times New Roman" w:eastAsia="Times New Roman"/>
          <w:color w:val="000000" w:themeColor="text1"/>
          <w:sz w:val="22"/>
          <w:szCs w:val="22"/>
        </w:rPr>
        <w:t xml:space="preserve">Источник финансирования – </w:t>
      </w:r>
      <w:r>
        <w:rPr>
          <w:rFonts w:ascii="Times New Roman" w:hAnsi="Times New Roman" w:cs="Times New Roman" w:eastAsia="Times New Roman"/>
          <w:color w:val="000000" w:themeColor="text1"/>
          <w:sz w:val="22"/>
          <w:szCs w:val="22"/>
        </w:rPr>
        <w:t xml:space="preserve">Внебюджетные средства, Средства бюджетных учр</w:t>
      </w:r>
      <w:r>
        <w:rPr>
          <w:rFonts w:ascii="Times New Roman" w:hAnsi="Times New Roman" w:cs="Times New Roman" w:eastAsia="Times New Roman"/>
          <w:color w:val="000000" w:themeColor="text1"/>
          <w:sz w:val="22"/>
          <w:szCs w:val="22"/>
        </w:rPr>
        <w:t xml:space="preserve">еждений, </w:t>
      </w:r>
      <w:r>
        <w:rPr>
          <w:rFonts w:ascii="Times New Roman" w:hAnsi="Times New Roman" w:cs="Times New Roman" w:eastAsia="Times New Roman"/>
          <w:color w:val="000000" w:themeColor="text1"/>
          <w:sz w:val="22"/>
          <w:szCs w:val="22"/>
        </w:rPr>
        <w:t xml:space="preserve">, </w:t>
      </w:r>
      <w:r>
        <w:rPr>
          <w:rFonts w:ascii="Times New Roman" w:hAnsi="Times New Roman" w:cs="Times New Roman" w:eastAsia="Times New Roman"/>
          <w:color w:val="000000" w:themeColor="text1"/>
          <w:sz w:val="22"/>
          <w:szCs w:val="22"/>
        </w:rPr>
        <w:t xml:space="preserve">код раздела </w:t>
      </w:r>
      <w:r>
        <w:rPr>
          <w:rFonts w:ascii="Times New Roman" w:hAnsi="Times New Roman" w:cs="Times New Roman" w:eastAsia="Times New Roman"/>
          <w:color w:val="000000" w:themeColor="text1"/>
          <w:sz w:val="22"/>
          <w:szCs w:val="22"/>
        </w:rPr>
        <w:t xml:space="preserve">0702</w:t>
      </w:r>
      <w:r>
        <w:rPr>
          <w:rFonts w:ascii="Times New Roman" w:hAnsi="Times New Roman" w:cs="Times New Roman" w:eastAsia="Times New Roman"/>
          <w:color w:val="000000" w:themeColor="text1"/>
          <w:sz w:val="22"/>
          <w:szCs w:val="22"/>
        </w:rPr>
        <w:t xml:space="preserve">, код вида расходов 244</w:t>
      </w:r>
      <w:r>
        <w:rPr>
          <w:rFonts w:ascii="Times New Roman" w:hAnsi="Times New Roman" w:cs="Times New Roman" w:eastAsia="Times New Roman"/>
          <w:color w:val="000000" w:themeColor="text1"/>
          <w:sz w:val="22"/>
          <w:szCs w:val="22"/>
        </w:rPr>
        <w:t xml:space="preserve">, код КОСГУ 310 </w:t>
      </w:r>
      <w:r/>
    </w:p>
    <w:p>
      <w:pPr>
        <w:pStyle w:val="878"/>
        <w:contextualSpacing/>
        <w:ind w:firstLine="567"/>
        <w:jc w:val="both"/>
        <w:spacing w:after="0"/>
        <w:widowControl/>
        <w:rPr>
          <w:rFonts w:ascii="Times New Roman" w:hAnsi="Times New Roman" w:cs="Times New Roman" w:eastAsia="Times New Roman"/>
          <w:color w:val="000000"/>
          <w:sz w:val="22"/>
          <w:szCs w:val="22"/>
        </w:rPr>
      </w:pPr>
      <w:r>
        <w:rPr>
          <w:rFonts w:ascii="Times New Roman" w:hAnsi="Times New Roman" w:cs="Times New Roman" w:eastAsia="Times New Roman"/>
          <w:color w:val="000000" w:themeColor="text1"/>
          <w:sz w:val="22"/>
          <w:szCs w:val="22"/>
        </w:rPr>
        <w:t xml:space="preserve">3.4. Авансирование не предусмотрено.</w:t>
      </w:r>
      <w:r>
        <w:rPr>
          <w:color w:val="000000" w:themeColor="text1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color w:val="000000" w:themeColor="text1"/>
          <w:sz w:val="22"/>
          <w:szCs w:val="22"/>
        </w:rPr>
        <w:t xml:space="preserve">3.5</w:t>
      </w:r>
      <w:r>
        <w:rPr>
          <w:rFonts w:ascii="Times New Roman" w:hAnsi="Times New Roman" w:cs="Times New Roman" w:eastAsia="Times New Roman"/>
          <w:color w:val="000000" w:themeColor="text1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b/>
          <w:color w:val="000000" w:themeColor="text1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color w:val="000000" w:themeColor="text1"/>
          <w:sz w:val="22"/>
          <w:szCs w:val="22"/>
        </w:rPr>
        <w:t xml:space="preserve">Сумма, подлежащая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Российской Федерации Заказчиком.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3.6. В соответствии с пунктом 5 статьи 78.1.Бюджетного кодекса Российской федерации по соглашению сторон возможно изменение размера и (или) сроков оплат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ы и (или) объема товара в случае уменьшения в соответствии с Бюджетным кодексом Российской Федерации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left="360"/>
        <w:jc w:val="center"/>
        <w:spacing w:after="0" w:line="240" w:lineRule="atLeast"/>
        <w:widowControl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left="360"/>
        <w:jc w:val="center"/>
        <w:spacing w:after="0" w:line="240" w:lineRule="atLeast"/>
        <w:widowControl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4. Порядок расчетов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widowControl/>
        <w:tabs>
          <w:tab w:val="left" w:pos="54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4.1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Заказчик производит оплату после получения товара путем перечисления денежных средств на расчетный счет Поставщика </w:t>
      </w:r>
      <w:commentRangeStart w:id="0"/>
      <w:r>
        <w:rPr>
          <w:rFonts w:ascii="Times New Roman" w:hAnsi="Times New Roman" w:cs="Times New Roman" w:eastAsia="Times New Roman"/>
          <w:sz w:val="22"/>
          <w:szCs w:val="22"/>
        </w:rPr>
        <w:t xml:space="preserve">в течение 7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(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семь) рабочих дней </w:t>
      </w:r>
      <w:commentRangeEnd w:id="0"/>
      <w:r>
        <w:commentReference w:id="0"/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с даты подписания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накладной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на основании счета и счет-фактуры</w:t>
      </w:r>
      <w:r>
        <w:rPr>
          <w:rStyle w:val="902"/>
          <w:rFonts w:ascii="Times New Roman" w:hAnsi="Times New Roman" w:cs="Times New Roman" w:eastAsia="Times New Roman"/>
          <w:sz w:val="22"/>
          <w:szCs w:val="22"/>
        </w:rPr>
        <w:footnoteReference w:customMarkFollows="1" w:id="2"/>
        <w:t xml:space="preserve">**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567"/>
        <w:jc w:val="both"/>
        <w:spacing w:after="0" w:line="240" w:lineRule="atLeast"/>
        <w:widowControl/>
        <w:tabs>
          <w:tab w:val="left" w:pos="540" w:leader="none"/>
        </w:tabs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left="360"/>
        <w:jc w:val="center"/>
        <w:spacing w:after="0" w:line="240" w:lineRule="atLeast"/>
        <w:widowControl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5. Права и обязанности сторон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5"/>
        <w:ind w:firstLine="567"/>
        <w:jc w:val="both"/>
        <w:spacing w:after="0"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5.1. Заказчик обязан: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5"/>
        <w:ind w:firstLine="567"/>
        <w:jc w:val="both"/>
        <w:spacing w:after="0"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5.1.1.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Оплатить поставку товара в порядке, указанном в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п. 4.1.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настояще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го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контракт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а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5"/>
        <w:ind w:firstLine="567"/>
        <w:jc w:val="both"/>
        <w:spacing w:after="0"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5.1.2. Провести своими силами приемку товара, включающую эк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спертизу результатов поставки,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на соответствие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количества, объема и качества требованиям, установленным в контракте и оформить результаты такой приемки.  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5"/>
        <w:ind w:firstLine="567"/>
        <w:jc w:val="both"/>
        <w:spacing w:after="0"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5"/>
        <w:ind w:firstLine="567"/>
        <w:jc w:val="both"/>
        <w:spacing w:after="0"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5.2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 Поставщик обязан: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5"/>
        <w:contextualSpacing/>
        <w:ind w:firstLine="567"/>
        <w:jc w:val="both"/>
        <w:spacing w:after="0" w:line="240" w:lineRule="auto"/>
        <w:tabs>
          <w:tab w:val="left" w:pos="54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5.2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.1.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Поставить товар надлежащего качества в комплекте с документацией</w:t>
      </w:r>
      <w:r>
        <w:rPr>
          <w:rFonts w:ascii="Times New Roman" w:hAnsi="Times New Roman" w:cs="Times New Roman" w:eastAsia="Times New Roman"/>
          <w:iCs/>
          <w:sz w:val="22"/>
          <w:szCs w:val="22"/>
        </w:rPr>
        <w:t xml:space="preserve"> с сопроводительным письмом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: счет, акт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приема-передачи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и накладная, оформленные в соответствии с Приложением №1 к настоящему контракту, сертификаты соответствия или заверенные должным образом их копии</w:t>
      </w:r>
      <w:r>
        <w:rPr>
          <w:rFonts w:ascii="Times New Roman" w:hAnsi="Times New Roman" w:cs="Times New Roman" w:eastAsia="Times New Roman"/>
          <w:iCs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5"/>
        <w:contextualSpacing/>
        <w:ind w:firstLine="567"/>
        <w:jc w:val="both"/>
        <w:spacing w:after="0" w:line="240" w:lineRule="auto"/>
        <w:tabs>
          <w:tab w:val="left" w:pos="54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5.2.2. Осуществить замену некондиционного товара в течение 3-х дней с момента выставления Заказчиком претензии.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5"/>
        <w:contextualSpacing/>
        <w:ind w:firstLine="567"/>
        <w:jc w:val="both"/>
        <w:spacing w:after="0" w:line="240" w:lineRule="auto"/>
        <w:tabs>
          <w:tab w:val="left" w:pos="54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5.2.3. Предоставить Заказчику в течение 3-х дней со дня поступления запроса, финансовые отчеты соисполнителей с приложениями заверенных копий всех первичных документов.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contextualSpacing/>
        <w:ind w:firstLine="567"/>
        <w:jc w:val="both"/>
        <w:tabs>
          <w:tab w:val="left" w:pos="142" w:leader="none"/>
        </w:tabs>
        <w:rPr>
          <w:rFonts w:ascii="Times New Roman" w:hAnsi="Times New Roman" w:cs="Times New Roman" w:eastAsia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000000"/>
          <w:sz w:val="22"/>
          <w:szCs w:val="22"/>
          <w:shd w:val="clear" w:color="auto" w:fill="ffffff"/>
        </w:rPr>
        <w:t xml:space="preserve">5.</w:t>
      </w:r>
      <w:r>
        <w:rPr>
          <w:rFonts w:ascii="Times New Roman" w:hAnsi="Times New Roman" w:cs="Times New Roman" w:eastAsia="Times New Roman"/>
          <w:color w:val="000000"/>
          <w:sz w:val="22"/>
          <w:szCs w:val="22"/>
          <w:shd w:val="clear" w:color="auto" w:fill="ffffff"/>
        </w:rPr>
        <w:t xml:space="preserve">2.</w:t>
      </w:r>
      <w:r>
        <w:rPr>
          <w:rFonts w:ascii="Times New Roman" w:hAnsi="Times New Roman" w:cs="Times New Roman" w:eastAsia="Times New Roman"/>
          <w:color w:val="000000"/>
          <w:sz w:val="22"/>
          <w:szCs w:val="22"/>
          <w:shd w:val="clear" w:color="auto" w:fill="ffffff"/>
        </w:rPr>
        <w:t xml:space="preserve">4. Поставщик подтверждает соответствие </w:t>
      </w:r>
      <w:r>
        <w:rPr>
          <w:rFonts w:ascii="Times New Roman" w:hAnsi="Times New Roman" w:cs="Times New Roman" w:eastAsia="Times New Roman"/>
          <w:color w:val="000000"/>
          <w:sz w:val="22"/>
          <w:szCs w:val="22"/>
          <w:shd w:val="clear" w:color="auto" w:fill="ffffff"/>
        </w:rPr>
        <w:t xml:space="preserve">единым требованиям, установленным в Приложении № 3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contextualSpacing/>
        <w:ind w:firstLine="567"/>
        <w:jc w:val="both"/>
        <w:spacing w:after="0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5.3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 Заказчик вправе: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5"/>
        <w:contextualSpacing/>
        <w:ind w:firstLine="567"/>
        <w:jc w:val="both"/>
        <w:spacing w:after="0" w:line="240" w:lineRule="auto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5.3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.1.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Запрашивать у Поставщика финансовые отчеты соисполнителей с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приложениями заверенных копий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всех первичных документов.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contextualSpacing/>
        <w:ind w:firstLine="567"/>
        <w:jc w:val="both"/>
        <w:tabs>
          <w:tab w:val="left" w:pos="142" w:leader="none"/>
        </w:tabs>
        <w:rPr>
          <w:rFonts w:ascii="Times New Roman" w:hAnsi="Times New Roman" w:cs="Times New Roman" w:eastAsia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5.3.2. </w:t>
      </w:r>
      <w:r>
        <w:rPr>
          <w:rFonts w:ascii="Times New Roman" w:hAnsi="Times New Roman" w:cs="Times New Roman" w:eastAsia="Times New Roman"/>
          <w:color w:val="000000"/>
          <w:sz w:val="22"/>
          <w:szCs w:val="22"/>
          <w:shd w:val="clear" w:color="auto" w:fill="ffffff"/>
        </w:rPr>
        <w:t xml:space="preserve">При исполнении Контракта по согласованию Заказчика </w:t>
      </w:r>
      <w:r>
        <w:rPr>
          <w:rFonts w:ascii="Times New Roman" w:hAnsi="Times New Roman" w:cs="Times New Roman" w:eastAsia="Times New Roman"/>
          <w:sz w:val="22"/>
          <w:szCs w:val="22"/>
          <w:shd w:val="clear" w:color="auto" w:fill="ffffff"/>
        </w:rPr>
        <w:t xml:space="preserve">с Поставщиком </w:t>
      </w:r>
      <w:r>
        <w:rPr>
          <w:rFonts w:ascii="Times New Roman" w:hAnsi="Times New Roman" w:cs="Times New Roman" w:eastAsia="Times New Roman"/>
          <w:color w:val="000000"/>
          <w:sz w:val="22"/>
          <w:szCs w:val="22"/>
          <w:shd w:val="clear" w:color="auto" w:fill="ffffff"/>
        </w:rPr>
        <w:t xml:space="preserve">допускается </w:t>
      </w:r>
      <w:r>
        <w:rPr>
          <w:rFonts w:ascii="Times New Roman" w:hAnsi="Times New Roman" w:cs="Times New Roman" w:eastAsia="Times New Roman"/>
          <w:sz w:val="22"/>
          <w:szCs w:val="22"/>
          <w:shd w:val="clear" w:color="auto" w:fill="ffffff"/>
        </w:rPr>
        <w:t xml:space="preserve">поставка товара</w:t>
      </w:r>
      <w:r>
        <w:rPr>
          <w:rFonts w:ascii="Times New Roman" w:hAnsi="Times New Roman" w:cs="Times New Roman" w:eastAsia="Times New Roman"/>
          <w:color w:val="000000"/>
          <w:sz w:val="22"/>
          <w:szCs w:val="22"/>
          <w:shd w:val="clear" w:color="auto" w:fill="ffffff"/>
        </w:rPr>
        <w:t xml:space="preserve">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  <w:r>
        <w:rPr>
          <w:rFonts w:ascii="Times New Roman" w:hAnsi="Times New Roman" w:cs="Times New Roman" w:eastAsia="Times New Roman"/>
          <w:sz w:val="22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z w:val="22"/>
          <w:szCs w:val="22"/>
          <w:shd w:val="clear" w:color="auto" w:fill="ffffff"/>
        </w:rPr>
        <w:t xml:space="preserve">В этом случае соответствующие изменения должны быть внесены Заказчиком в Реестр контрактов, заключенных Заказчиком.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5"/>
        <w:ind w:firstLine="567"/>
        <w:jc w:val="both"/>
        <w:spacing w:after="0" w:line="240" w:lineRule="atLeast"/>
        <w:tabs>
          <w:tab w:val="left" w:pos="54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80"/>
        <w:ind w:right="0" w:firstLine="0"/>
        <w:jc w:val="center"/>
        <w:spacing w:line="240" w:lineRule="atLeast"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6. Качество</w:t>
      </w:r>
      <w:r>
        <w:rPr>
          <w:rFonts w:ascii="Times New Roman" w:hAnsi="Times New Roman" w:cs="Times New Roman" w:eastAsia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80"/>
        <w:ind w:right="0"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6.1.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Требования к гарантии качества товара: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80"/>
        <w:ind w:right="0"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6.1.1.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Качество товара при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поставке должно подтверждаться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сертификатом соответствия.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6.1.2. Поставляемый товар должен быть безопасным для жизни, здоровья людей, имущества Заказчика и окруж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ающей среды при обычных условиях его использования, хранения и транспортировки в соответствии с Законами Российской Федерации от 07.02.1992 №2300-1 «О защите прав потребителей» и от 30.03.1999 №52-ФЗ «О санитарно-эпидемиологическом благополучии населения».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9"/>
        <w:ind w:firstLine="540"/>
        <w:jc w:val="both"/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6.1.3. </w:t>
      </w:r>
      <w:r>
        <w:rPr>
          <w:rFonts w:ascii="Times New Roman" w:hAnsi="Times New Roman" w:cs="Times New Roman"/>
          <w:sz w:val="22"/>
          <w:szCs w:val="22"/>
        </w:rPr>
        <w:t xml:space="preserve">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  <w:r/>
    </w:p>
    <w:p>
      <w:pPr>
        <w:pStyle w:val="899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2"/>
          <w:szCs w:val="22"/>
        </w:rPr>
        <w:t xml:space="preserve">Поставляемый Товар должен соответствовать действующим в Российской Федерации стандартам,</w:t>
      </w:r>
      <w:r>
        <w:rPr>
          <w:rFonts w:ascii="Times New Roman" w:hAnsi="Times New Roman" w:cs="Times New Roman"/>
          <w:sz w:val="22"/>
          <w:szCs w:val="22"/>
        </w:rPr>
        <w:t xml:space="preserve"> техническим регламентам, санитарным и фитосанитарным нормам.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6.1.4. Поставляемый товар должен являться новым (ранее не находившимся в использовании у Поставщика и (или) у третьих лиц), не должен находиться в залоге, под арестом или под иным обременением.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6.2.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Требования к гарантийному сроку и (или) объему предо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ставления гарантий их качества: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6.2.1.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Срок годности товара должен соответствовать сроку, указанному в сертификате соответствия и не должен заканчиват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ься ранее, чем через 12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месяцев с момента поставки.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6.3. При исполнении контракта по согласо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качествами и характеристиками товара, указанными в настоящем контракте.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720"/>
        <w:jc w:val="center"/>
        <w:spacing w:after="0" w:line="240" w:lineRule="atLeast"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jc w:val="center"/>
        <w:spacing w:after="0" w:line="240" w:lineRule="atLeast"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7. Упаковка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567"/>
        <w:spacing w:after="0" w:line="240" w:lineRule="atLeast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7.1. Поставщи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к должен обеспечить упаковку Товара в соответствии с нормативными требованиями международных и российских перевозок. Упаковка должна обеспечивать сохранность Товара при его транспортировке и хранении. На Товаре не должно быть следов механических повреждени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й, а также иных несоответствий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техническому описанию.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spacing w:after="0" w:line="240" w:lineRule="atLeast"/>
        <w:widowControl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jc w:val="center"/>
        <w:spacing w:after="0" w:line="240" w:lineRule="atLeast"/>
        <w:widowControl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8. Передача и прием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567"/>
        <w:jc w:val="both"/>
        <w:spacing w:after="0" w:line="240" w:lineRule="atLeast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8.1.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В течение 3 рабочих дней с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момента передачи товара по акту передачи Заказчик осуществляет приемку поставленного товара на соответствие его количества, комплектности, объема и качества требованиям, установленным в контракте и оформляет результаты такой приемки подписанием накладной.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567"/>
        <w:jc w:val="both"/>
        <w:spacing w:after="0" w:line="240" w:lineRule="atLeast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8.2.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Заказчик вправе отказаться от приемки товара в случае не предоставления документов, указанных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в п.5.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.1.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567"/>
        <w:jc w:val="both"/>
        <w:spacing w:after="0" w:line="240" w:lineRule="atLeast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8.3.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Право собственности на передаваемый товар переходит от Поставщика к Заказчику в момент подписания накладной.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contextualSpacing/>
        <w:ind w:firstLine="567"/>
        <w:jc w:val="both"/>
        <w:spacing w:after="0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86"/>
        <w:contextualSpacing/>
        <w:ind w:left="0"/>
        <w:jc w:val="center"/>
        <w:spacing w:after="0"/>
        <w:widowControl/>
        <w:tabs>
          <w:tab w:val="left" w:pos="0" w:leader="none"/>
        </w:tabs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9. Порядок поставки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9.1.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Доставка и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разгрузка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и сборка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товара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входит в цену контракта и осуществляется по адресу:</w:t>
      </w:r>
      <w:r>
        <w:rPr>
          <w:rFonts w:ascii="Times New Roman" w:hAnsi="Times New Roman" w:cs="Times New Roman" w:eastAsia="Times New Roman"/>
          <w:sz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196634, Санкт-Петербург, г. Павловск, ул. Садовая д. 51, Литера А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9.2. Доставка осуществляется в рабочее время Заказчика: с 09-00 до 17-00.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left="360"/>
        <w:jc w:val="center"/>
        <w:widowControl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914"/>
        <w:ind w:left="0" w:firstLine="567"/>
        <w:jc w:val="center"/>
        <w:spacing w:line="240" w:lineRule="auto"/>
        <w:rPr>
          <w:rFonts w:ascii="Times New Roman" w:hAnsi="Times New Roman" w:cs="Times New Roman" w:eastAsia="Times New Roman"/>
          <w:b/>
          <w:bCs/>
          <w:sz w:val="22"/>
        </w:rPr>
      </w:pPr>
      <w:r>
        <w:rPr>
          <w:rFonts w:ascii="Times New Roman" w:hAnsi="Times New Roman" w:cs="Times New Roman" w:eastAsia="Times New Roman"/>
          <w:b/>
          <w:bCs/>
          <w:sz w:val="22"/>
        </w:rPr>
        <w:t xml:space="preserve">10. Рекламации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567"/>
        <w:jc w:val="both"/>
        <w:spacing w:after="0" w:line="240" w:lineRule="atLeast"/>
        <w:widowControl/>
        <w:tabs>
          <w:tab w:val="num" w:pos="90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10.1. В случае заявления рекламаций по качеству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и количеству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товара по причине несоответствия ее условиям контракта или техническим требованиям при представлении Заказчиком соответствующих доказательств, Поставщик должен заменить товар ненадлежащего качества </w:t>
      </w:r>
      <w:r>
        <w:rPr>
          <w:rFonts w:ascii="Times New Roman" w:hAnsi="Times New Roman" w:cs="Times New Roman" w:eastAsia="Times New Roman"/>
          <w:bCs/>
          <w:sz w:val="22"/>
          <w:szCs w:val="22"/>
        </w:rPr>
        <w:t xml:space="preserve">в течение 3 (трех) дней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, на товар, качество которого соответствует условиям контракта.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567"/>
        <w:jc w:val="both"/>
        <w:spacing w:after="0" w:line="240" w:lineRule="atLeast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10.2.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При возникновении разногласий по вопросам качества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товара по причине несоответствия его условиям контракта Поставщик и Заказчик должны договориться о привлечен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ии эксперта. При этом Поставщик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несет все связанные с экспертизой расходы.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567"/>
        <w:jc w:val="both"/>
        <w:spacing w:after="0" w:line="240" w:lineRule="atLeast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jc w:val="center"/>
        <w:spacing w:after="0" w:line="240" w:lineRule="atLeast"/>
        <w:widowControl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11. Форс-мажор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709"/>
        <w:jc w:val="both"/>
        <w:spacing w:after="0" w:line="240" w:lineRule="atLeast"/>
        <w:widowControl/>
        <w:tabs>
          <w:tab w:val="left" w:pos="108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11.1. При возникновении обстоятельств, которые делают полностью или частично невозможным выполнение контракта одной из сторон, а имен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но: пожар, стихийное бедствие,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военные действия всех видов и другие возможные обстоятельства непреодолимой силы, не зависящие от сторон, сроки выполнения обязательств продлеваются на то время, в течение которого действуют эти обстоятельства.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709"/>
        <w:jc w:val="both"/>
        <w:spacing w:after="0" w:line="240" w:lineRule="atLeast"/>
        <w:widowControl/>
        <w:tabs>
          <w:tab w:val="left" w:pos="108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11.2. Если обстоятельства непреодолимой силы действуют в течение более двух месяцев, любая из сторон вправе отказаться от дальнейшего выполнения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обязательств по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контракту, причем ни одна из сторон не может требовать от другой стороны возмещения возможных убытков.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709"/>
        <w:jc w:val="both"/>
        <w:spacing w:after="0" w:line="240" w:lineRule="atLeast"/>
        <w:widowControl/>
        <w:tabs>
          <w:tab w:val="left" w:pos="108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11.3. Сторона, оказавшаяся не в состоянии выполнить свои обязательства по настоящему контракту, обязана незамедлительно известить другую строну о наступлении или прекращении действия обстоятельств, препятствующих выполнению этих обязательств.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709"/>
        <w:jc w:val="both"/>
        <w:spacing w:after="0" w:line="240" w:lineRule="atLeast"/>
        <w:tabs>
          <w:tab w:val="left" w:pos="72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11.4. Уведомление направляется по юридическому адресу, указанному в контракте, и заверяется передающим отделением связи.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709"/>
        <w:jc w:val="both"/>
        <w:spacing w:after="0" w:line="240" w:lineRule="atLeast"/>
        <w:tabs>
          <w:tab w:val="left" w:pos="72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jc w:val="center"/>
        <w:spacing w:after="0" w:line="240" w:lineRule="atLeast"/>
        <w:tabs>
          <w:tab w:val="left" w:pos="720" w:leader="none"/>
        </w:tabs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12.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Ответственность сторон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tabs>
          <w:tab w:val="left" w:pos="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.1. За невыполнение или ненадлежащее выполнение обязат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ельств по настоящему Контракту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Поставщик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и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Заказчик несут ответственность в соответствии с действующим законодательством РФ.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tabs>
          <w:tab w:val="left" w:pos="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12.2.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В случае просрочки исполнения обязате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льств (в том числе гарантийного обязательства), предусмотренных контрактом, а также в иных случаях,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widowControl/>
        <w:tabs>
          <w:tab w:val="left" w:pos="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12.3.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За каждый день просрочки исполнения Поставщиком обязательст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ва, предусмотренного контрактом, начисляется пеня в размере одной трехсотой действующей на дату уплаты пени ключевой ставки Центрального банка Российской Федерации от цены контракта (отдельного этапа исполнения контракта), уменьшенной на сумму, пропорциона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льную объему обязательств, предусмотренных контрактом (соответствующим отдельным этапом исполнения контракта)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widowControl/>
        <w:tabs>
          <w:tab w:val="left" w:pos="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12.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4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За каждый факт неисполнения или ненадлежащего исполнения Поставщиком обязательств, предусмотренных Контрактом, за исключением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просрочки исполнения обязательств (в том числе гарантийного обязательства), предусмотренных Контрактом, Поставщик уплачивает Заказчику штраф, согласно Постановления Правительства РФ от 30.08.2017г. №1042, в размере 10% от цены Контракта (этапа Контракта).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widowControl/>
        <w:tabs>
          <w:tab w:val="left" w:pos="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12.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5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)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, Поставщик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уплачивает Заказчику штраф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в размере 1 000 руб. (Одна тысяча рублей 00 коп.), согласно Постановления Правительства РФ от 30.08.2017г. №1042.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12.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6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В случае просрочки исполнения Заказчиком обязательств, предусмотренных Контрактом, Поставщик вправе потребовать уплаты пеней в размере одной трехсотой действующей на дату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уплаты пеней ключевой ставки ЦБ РФ от не уплаченной в срок суммы.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обязательства.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12.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7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За каждый факт неисполнения Заказчиком обязательств, предусмотренных Контрактом, за исключением про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срочки исполнения обязательств,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предусмотренных Контрактом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, штраф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устанавливается в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размере 1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 000 руб. (Одна тысяча рублей 00 коп.), согласно Постановления Правительства РФ от 30.08.2017г. №1042.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8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Уплата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неустойки (штрафа, пени)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за нарушение обязательств по Контракту производится «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Поставщик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ом» на основании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требования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«Заказчика» перечислением денежных средств на текущий счет по исполнению бюджета Санкт-Петербурга, открытый Комитетом финансов Санкт-Петербурга.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keepNext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  <w:outlineLvl w:val="0"/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9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Уплата неустойки (штрафа, пени)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«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Поставщик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а» от исполнения этих обязательств в натуре.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10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Указанная в настоящем пункте неустойка (штраф, пени) взимается за каждое нарушение в отдельности.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tabs>
          <w:tab w:val="left" w:pos="108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11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В случае неисполнени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я или ненадлежащего исполнения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Поставщик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ом обязательств по Контракту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Заказчик вправе произвести оплату по Контракту за вычетом соответствующего размера неустойки (шт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рафа, пени), подлежащей уплате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Поставщик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ом в соответствии с условиями ответственности последнего по Контракту. В этом случае оплата по Контракту осуществляется на основании документов, указанных в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п.4.1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Контракта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,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а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также акта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, в котором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говая сумма, подлежащая оплате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Поставщик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у по Контракту.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12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86"/>
        <w:ind w:left="0"/>
        <w:jc w:val="center"/>
        <w:spacing w:after="0" w:line="240" w:lineRule="atLeast"/>
        <w:widowControl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13. Порядок рассмотрения споров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86"/>
        <w:ind w:left="0" w:firstLine="567"/>
        <w:jc w:val="both"/>
        <w:spacing w:after="0"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13.1.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Различные споры, которые могут возникнуть по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настоящему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контракту, разрешаются по взаимному согласию и урегулируются путем переговоров. При не достижении сторонами согласия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,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спор может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быть передан на рассмотрение Арбитражного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суда Санкт-Петербурга и Ленинградской области.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86"/>
        <w:ind w:left="0" w:firstLine="567"/>
        <w:jc w:val="both"/>
        <w:spacing w:after="0"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86"/>
        <w:ind w:left="0"/>
        <w:jc w:val="center"/>
        <w:spacing w:after="0" w:line="240" w:lineRule="atLeast"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14. Прочие условия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9"/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14.1. Контракт может быть расторгнут по соглашению сторон, решению суда или в связи с односторонним отказом от исполнения контракта.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9"/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14.2. Заказчик вправе в одностороннем порядке отказаться от исполнения контракта   в соответствии с частью 2 статьи 407 и статьи 450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.1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ГК РФ в случае существенных нарушений Поставщиком условий настоящего контракта, а именно: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9"/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14.2.1. поставки товаров ненадлежащего качества с недостатками, которые не могут быть устранены в приемлемый для Заказчика срок;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9"/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14.2.2.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неоднократного нарушения сроков поставки товаров.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9"/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3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 В случае отсутствия по независящим от Заказчика причинам возможности дальнейшего финансирования по контракту, контракт подлежит расторжению по соглашению сторон.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14.4. Настоящий контракт вступает в силу с даты подписания его ст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о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ронами, действует по 31.12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.2022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г., а в части оплаты - до полного исполнения сторонами своих обязательств. Настоящий контракт подлежит обязательной регистрации в Реестре контрактов в сроки и в соответствии с требованиями, установленными действующим законодательством.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14.5. Не допускается перемена Поставщика при исполнении контракта,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за исключением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случаев правопреемства вследствие реорганизации юридического лица в форме преобразования, слияния или присоединения.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widowControl/>
        <w:tabs>
          <w:tab w:val="left" w:pos="360" w:leader="none"/>
          <w:tab w:val="num" w:pos="90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14.6.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widowControl/>
        <w:tabs>
          <w:tab w:val="left" w:pos="360" w:leader="none"/>
          <w:tab w:val="num" w:pos="90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4.6.1. платить или предлагать уплатить денежные средства или предоставить иные ценности, безвозмездно выполнить работы публично-правовым образованиям, должностным лицам публично-правовых образований, близким родственникам таких должностных лиц, либо лицам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иным образом,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widowControl/>
        <w:tabs>
          <w:tab w:val="left" w:pos="360" w:leader="none"/>
          <w:tab w:val="num" w:pos="90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14.6.2. платить или предлагать уплатить денежные средства или предоставить иные ценности, безвозме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здно выполнить работы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widowControl/>
        <w:tabs>
          <w:tab w:val="left" w:pos="360" w:leader="none"/>
          <w:tab w:val="num" w:pos="90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14.6.3. не совершать иных действий, нарушающих антикоррупционное законодательство Российской Федерации.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widowControl/>
        <w:tabs>
          <w:tab w:val="left" w:pos="360" w:leader="none"/>
          <w:tab w:val="num" w:pos="90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14.7. Любые изменения и дополнения к настоящему контракту действительны лишь в том случае, если они совершены в письменной форме и подписаны обеими сторонами.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widowControl/>
        <w:tabs>
          <w:tab w:val="left" w:pos="360" w:leader="none"/>
          <w:tab w:val="num" w:pos="90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14.8. Во всем остальном, не оговоренном в настоящим Контрактом, стороны руководствуются действующим законодательством РФ.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widowControl/>
        <w:tabs>
          <w:tab w:val="left" w:pos="360" w:leader="none"/>
          <w:tab w:val="num" w:pos="90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14.9. Настоящий Контракт составлен в двух экземплярах, имеющих равную юридическую силу, по одному для каждой стороны.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center"/>
        <w:spacing w:line="240" w:lineRule="atLeast"/>
        <w:widowControl/>
        <w:tabs>
          <w:tab w:val="left" w:pos="360" w:leader="none"/>
          <w:tab w:val="num" w:pos="900" w:leader="none"/>
        </w:tabs>
        <w:rPr>
          <w:rFonts w:ascii="Times New Roman" w:hAnsi="Times New Roman" w:cs="Times New Roman" w:eastAsia="Times New Roman"/>
          <w:b/>
          <w:sz w:val="22"/>
          <w:szCs w:val="22"/>
        </w:rPr>
      </w:pPr>
      <w:r>
        <w:rPr>
          <w:rFonts w:ascii="Times New Roman" w:hAnsi="Times New Roman" w:cs="Times New Roman" w:eastAsia="Times New Roman"/>
          <w:b/>
          <w:sz w:val="22"/>
          <w:szCs w:val="22"/>
        </w:rPr>
        <w:t xml:space="preserve">15. Приложения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15.1.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Приложение № 1 –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Расчёт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стоимости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поставки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столов и стульев ученических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для нужд ГБОУ школы-интерната №68 Санкт-Петербурга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rPr>
          <w:rFonts w:ascii="Times New Roman" w:hAnsi="Times New Roman" w:cs="Times New Roman" w:eastAsia="Times New Roman"/>
          <w:sz w:val="22"/>
          <w:szCs w:val="22"/>
          <w:highlight w:val="none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15.2. Приложение №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2 -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Декларация о соответствии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Поставщика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требованиям, установленным частью 1 статьи 31 Федерального закона от 05.04.2013 №44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highlight w:val="none"/>
        </w:rPr>
      </w:r>
      <w:r>
        <w:rPr>
          <w:rFonts w:ascii="Times New Roman" w:hAnsi="Times New Roman" w:cs="Times New Roman" w:eastAsia="Times New Roman"/>
          <w:sz w:val="22"/>
          <w:highlight w:val="none"/>
        </w:rPr>
      </w:r>
      <w:r/>
    </w:p>
    <w:p>
      <w:pPr>
        <w:ind w:firstLine="720"/>
        <w:jc w:val="center"/>
        <w:tabs>
          <w:tab w:val="left" w:pos="1260" w:leader="none"/>
        </w:tabs>
        <w:rPr>
          <w:rFonts w:ascii="Times New Roman" w:hAnsi="Times New Roman" w:cs="Times New Roman" w:eastAsia="Times New Roman"/>
          <w:b/>
          <w:bCs/>
          <w:sz w:val="22"/>
        </w:rPr>
      </w:pPr>
      <w:r>
        <w:rPr>
          <w:rFonts w:ascii="Times New Roman" w:hAnsi="Times New Roman" w:cs="Times New Roman" w:eastAsia="Times New Roman"/>
          <w:b/>
          <w:bCs/>
          <w:sz w:val="22"/>
        </w:rPr>
        <w:t xml:space="preserve">16. Юридические адреса и реквизиты сторон: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720"/>
        <w:jc w:val="center"/>
        <w:tabs>
          <w:tab w:val="left" w:pos="1260" w:leader="none"/>
        </w:tabs>
        <w:rPr>
          <w:rFonts w:ascii="Times New Roman" w:hAnsi="Times New Roman" w:cs="Times New Roman" w:eastAsia="Times New Roman"/>
          <w:b/>
          <w:bCs/>
          <w:sz w:val="22"/>
        </w:rPr>
      </w:pPr>
      <w:r>
        <w:rPr>
          <w:rFonts w:ascii="Times New Roman" w:hAnsi="Times New Roman" w:cs="Times New Roman" w:eastAsia="Times New Roman"/>
          <w:b/>
          <w:bCs/>
          <w:sz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tbl>
      <w:tblPr>
        <w:tblpPr w:horzAnchor="margin" w:tblpXSpec="left" w:vertAnchor="text" w:tblpY="3" w:leftFromText="180" w:topFromText="0" w:rightFromText="180" w:bottomFromText="0"/>
        <w:tblW w:w="18757" w:type="dxa"/>
        <w:tblLook w:val="04A0" w:firstRow="1" w:lastRow="0" w:firstColumn="1" w:lastColumn="0" w:noHBand="0" w:noVBand="1"/>
      </w:tblPr>
      <w:tblGrid>
        <w:gridCol w:w="4689"/>
        <w:gridCol w:w="4689"/>
        <w:gridCol w:w="4689"/>
        <w:gridCol w:w="4690"/>
      </w:tblGrid>
      <w:tr>
        <w:trPr/>
        <w:tc>
          <w:tcPr>
            <w:tcW w:w="4689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b/>
                <w:sz w:val="22"/>
                <w:szCs w:val="22"/>
              </w:rPr>
              <w:t xml:space="preserve">ЗАКАЗЧИК: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ind w:left="-105"/>
              <w:spacing w:line="240" w:lineRule="auto"/>
            </w:pPr>
            <w:r>
              <w:rPr>
                <w:rFonts w:ascii="Times New Roman" w:hAnsi="Times New Roman" w:cs="Times New Roman" w:eastAsia="Calibri"/>
                <w:b/>
                <w:sz w:val="20"/>
                <w:szCs w:val="20"/>
              </w:rPr>
              <w:t xml:space="preserve">ГБОУ школа-интернат № 68 </w:t>
            </w:r>
            <w:r/>
          </w:p>
          <w:p>
            <w:pPr>
              <w:spacing w:line="240" w:lineRule="auto"/>
            </w:pPr>
            <w:r>
              <w:rPr>
                <w:rFonts w:ascii="Times New Roman" w:hAnsi="Times New Roman" w:cs="Times New Roman" w:eastAsia="Calibri"/>
                <w:b/>
                <w:sz w:val="20"/>
                <w:szCs w:val="20"/>
              </w:rPr>
              <w:t xml:space="preserve">Санкт-Петербурга</w:t>
            </w:r>
            <w:r/>
          </w:p>
          <w:p>
            <w:pPr>
              <w:spacing w:line="240" w:lineRule="auto"/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bidi="ru-RU"/>
              </w:rPr>
              <w:t xml:space="preserve"> </w:t>
            </w:r>
            <w:r>
              <w:rPr>
                <w:rFonts w:ascii="Times New Roman" w:hAnsi="Times New Roman" w:cs="Times New Roman" w:eastAsia="Calibri"/>
                <w:sz w:val="20"/>
                <w:szCs w:val="20"/>
              </w:rPr>
              <w:t xml:space="preserve">Адрес:196621, г. Санкт-Петербург, </w:t>
            </w:r>
            <w:r/>
          </w:p>
          <w:p>
            <w:pPr>
              <w:spacing w:line="240" w:lineRule="auto"/>
            </w:pPr>
            <w:r>
              <w:rPr>
                <w:rFonts w:ascii="Times New Roman" w:hAnsi="Times New Roman" w:cs="Times New Roman" w:eastAsia="Calibri"/>
                <w:sz w:val="20"/>
                <w:szCs w:val="20"/>
              </w:rPr>
              <w:t xml:space="preserve">г. Павловск, ул. Садовая, д. 51, литера А </w:t>
            </w:r>
            <w:r/>
          </w:p>
          <w:p>
            <w:pPr>
              <w:spacing w:line="240" w:lineRule="auto"/>
            </w:pPr>
            <w:r>
              <w:rPr>
                <w:rFonts w:ascii="Times New Roman" w:hAnsi="Times New Roman" w:cs="Times New Roman" w:eastAsia="Calibri"/>
                <w:sz w:val="20"/>
                <w:szCs w:val="20"/>
              </w:rPr>
              <w:t xml:space="preserve">ИНН/КПП 7822005572/782001001</w:t>
            </w:r>
            <w:r/>
          </w:p>
          <w:p>
            <w:pPr>
              <w:spacing w:line="240" w:lineRule="auto"/>
            </w:pPr>
            <w:r>
              <w:rPr>
                <w:rFonts w:ascii="Times New Roman" w:hAnsi="Times New Roman" w:cs="Times New Roman" w:eastAsia="Calibri"/>
                <w:sz w:val="20"/>
                <w:szCs w:val="20"/>
              </w:rPr>
              <w:t xml:space="preserve">Банковские реквизиты: </w:t>
            </w:r>
            <w:r/>
          </w:p>
          <w:p>
            <w:pPr>
              <w:spacing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bookmarkStart w:id="0" w:name="undefined"/>
            <w:r>
              <w:rPr>
                <w:rFonts w:ascii="Times New Roman" w:hAnsi="Times New Roman" w:cs="Times New Roman" w:eastAsia="Calibri"/>
                <w:sz w:val="20"/>
                <w:szCs w:val="20"/>
              </w:rPr>
              <w:t xml:space="preserve">Комитет финансов Санкт-Петербурга </w:t>
            </w:r>
            <w:r/>
          </w:p>
          <w:p>
            <w:pPr>
              <w:spacing w:line="240" w:lineRule="auto"/>
            </w:pPr>
            <w:r>
              <w:rPr>
                <w:rFonts w:ascii="Times New Roman" w:hAnsi="Times New Roman" w:cs="Times New Roman" w:eastAsia="Calibri"/>
                <w:sz w:val="20"/>
                <w:szCs w:val="20"/>
              </w:rPr>
              <w:t xml:space="preserve">(ГБОУ школа-интернат №6 8 Санкт-Петербурга, </w:t>
            </w:r>
            <w:r/>
          </w:p>
          <w:p>
            <w:pPr>
              <w:spacing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bookmarkStart w:id="0" w:name="undefined"/>
            <w:r>
              <w:rPr>
                <w:rFonts w:ascii="Times New Roman" w:hAnsi="Times New Roman" w:cs="Times New Roman" w:eastAsia="Calibri"/>
                <w:sz w:val="20"/>
                <w:szCs w:val="20"/>
              </w:rPr>
              <w:t xml:space="preserve">л/с 0731072</w:t>
            </w:r>
            <w:bookmarkEnd w:id="0"/>
            <w:r>
              <w:rPr>
                <w:rFonts w:ascii="Times New Roman" w:hAnsi="Times New Roman" w:cs="Times New Roman" w:eastAsia="Calibri"/>
                <w:sz w:val="20"/>
                <w:szCs w:val="20"/>
              </w:rPr>
              <w:t xml:space="preserve">)  </w:t>
            </w:r>
            <w:r/>
          </w:p>
          <w:p>
            <w:pPr>
              <w:spacing w:line="240" w:lineRule="auto"/>
            </w:pPr>
            <w:r>
              <w:rPr>
                <w:rFonts w:ascii="Times New Roman" w:hAnsi="Times New Roman" w:cs="Times New Roman" w:eastAsia="Calibri"/>
                <w:sz w:val="20"/>
                <w:szCs w:val="20"/>
              </w:rPr>
              <w:t xml:space="preserve">р/с </w:t>
            </w:r>
            <w:bookmarkStart w:id="0" w:name="undefined"/>
            <w:r>
              <w:rPr>
                <w:rFonts w:ascii="Times New Roman" w:hAnsi="Times New Roman" w:cs="Times New Roman" w:eastAsia="Calibri"/>
                <w:sz w:val="20"/>
                <w:szCs w:val="20"/>
              </w:rPr>
              <w:t xml:space="preserve">03224643400000007200</w:t>
            </w:r>
            <w:bookmarkEnd w:id="0"/>
            <w:r/>
            <w:r/>
          </w:p>
          <w:p>
            <w:pPr>
              <w:spacing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bookmarkStart w:id="0" w:name="undefined"/>
            <w:r>
              <w:rPr>
                <w:rFonts w:ascii="Times New Roman" w:hAnsi="Times New Roman" w:cs="Times New Roman" w:eastAsia="Calibri"/>
                <w:sz w:val="20"/>
                <w:szCs w:val="20"/>
              </w:rPr>
              <w:t xml:space="preserve">ОКАЦ № 1 Северо-Западного ГУ Банка России//</w:t>
            </w:r>
            <w:r/>
          </w:p>
          <w:p>
            <w:pPr>
              <w:spacing w:line="240" w:lineRule="auto"/>
            </w:pPr>
            <w:r>
              <w:rPr>
                <w:rFonts w:ascii="Times New Roman" w:hAnsi="Times New Roman" w:cs="Times New Roman" w:eastAsia="Calibri"/>
                <w:sz w:val="20"/>
                <w:szCs w:val="20"/>
              </w:rPr>
              <w:t xml:space="preserve">УФК по г. Санкт-Петербургу, г. Санкт-Петербург</w:t>
            </w:r>
            <w:bookmarkEnd w:id="0"/>
            <w:r/>
            <w:r/>
          </w:p>
          <w:p>
            <w:pPr>
              <w:spacing w:line="240" w:lineRule="auto"/>
            </w:pPr>
            <w:r>
              <w:rPr>
                <w:rFonts w:ascii="Times New Roman" w:hAnsi="Times New Roman" w:cs="Times New Roman" w:eastAsia="Calibri"/>
                <w:sz w:val="20"/>
                <w:szCs w:val="20"/>
              </w:rPr>
              <w:t xml:space="preserve">БИК </w:t>
            </w:r>
            <w:bookmarkStart w:id="0" w:name="undefined"/>
            <w:r>
              <w:rPr>
                <w:rFonts w:ascii="Times New Roman" w:hAnsi="Times New Roman" w:cs="Times New Roman" w:eastAsia="Calibri"/>
                <w:sz w:val="20"/>
                <w:szCs w:val="20"/>
              </w:rPr>
              <w:t xml:space="preserve">014030106</w:t>
            </w:r>
            <w:bookmarkEnd w:id="0"/>
            <w:r/>
            <w:r/>
          </w:p>
          <w:p>
            <w:pPr>
              <w:spacing w:line="240" w:lineRule="auto"/>
            </w:pPr>
            <w:r>
              <w:rPr>
                <w:rFonts w:ascii="Times New Roman" w:hAnsi="Times New Roman" w:cs="Times New Roman" w:eastAsia="Calibri"/>
                <w:sz w:val="20"/>
                <w:szCs w:val="20"/>
              </w:rPr>
              <w:t xml:space="preserve">к/с </w:t>
            </w:r>
            <w:bookmarkStart w:id="0" w:name="undefined"/>
            <w:r>
              <w:rPr>
                <w:rFonts w:ascii="Times New Roman" w:hAnsi="Times New Roman" w:cs="Times New Roman" w:eastAsia="Calibri"/>
                <w:sz w:val="20"/>
                <w:szCs w:val="20"/>
              </w:rPr>
              <w:t xml:space="preserve">40102810945370000005</w:t>
            </w:r>
            <w:bookmarkEnd w:id="0"/>
            <w:r/>
            <w:r/>
          </w:p>
          <w:p>
            <w:pPr>
              <w:spacing w:line="240" w:lineRule="auto"/>
            </w:pPr>
            <w:r>
              <w:rPr>
                <w:rFonts w:ascii="Times New Roman" w:hAnsi="Times New Roman" w:cs="Times New Roman" w:eastAsia="Calibri"/>
                <w:sz w:val="20"/>
                <w:szCs w:val="20"/>
              </w:rPr>
              <w:t xml:space="preserve">тел. (812)452-22-25; </w:t>
            </w:r>
            <w:r/>
          </w:p>
          <w:p>
            <w:pPr>
              <w:spacing w:line="240" w:lineRule="auto"/>
            </w:pPr>
            <w:r>
              <w:rPr>
                <w:rFonts w:ascii="Times New Roman" w:hAnsi="Times New Roman" w:cs="Times New Roman" w:eastAsia="Calibri"/>
                <w:sz w:val="20"/>
                <w:szCs w:val="20"/>
              </w:rPr>
              <w:t xml:space="preserve">адрес электронной почты: </w:t>
            </w:r>
            <w:r/>
          </w:p>
          <w:p>
            <w:pPr>
              <w:spacing w:line="240" w:lineRule="auto"/>
            </w:pPr>
            <w:r>
              <w:rPr>
                <w:rFonts w:ascii="Times New Roman" w:hAnsi="Times New Roman" w:cs="Times New Roman" w:eastAsia="Calibri"/>
                <w:sz w:val="20"/>
                <w:szCs w:val="20"/>
              </w:rPr>
              <w:t xml:space="preserve">int68.spb@yandex.ru  </w:t>
            </w:r>
            <w:r/>
          </w:p>
          <w:p>
            <w:r/>
            <w:r/>
          </w:p>
          <w:p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bidi="ru-RU"/>
              </w:rPr>
            </w:r>
            <w:r/>
          </w:p>
          <w:p>
            <w:r>
              <w:rPr>
                <w:rFonts w:ascii="Times New Roman" w:hAnsi="Times New Roman" w:cs="Times New Roman"/>
                <w:bCs/>
                <w:sz w:val="20"/>
                <w:szCs w:val="20"/>
                <w:lang w:bidi="ru-RU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bidi="ru-RU"/>
              </w:rPr>
              <w:t xml:space="preserve">ИО Директора </w:t>
            </w:r>
            <w:r/>
          </w:p>
          <w:p>
            <w:r>
              <w:rPr>
                <w:rFonts w:ascii="Times New Roman" w:hAnsi="Times New Roman" w:cs="Times New Roman"/>
                <w:bCs/>
                <w:sz w:val="20"/>
                <w:szCs w:val="20"/>
                <w:lang w:bidi="ru-RU"/>
              </w:rPr>
              <w:t xml:space="preserve">________________ /</w:t>
            </w:r>
            <w:r>
              <w:rPr>
                <w:rFonts w:ascii="Times New Roman" w:hAnsi="Times New Roman" w:cs="Times New Roman"/>
                <w:sz w:val="22"/>
                <w:szCs w:val="22"/>
                <w:lang w:bidi="ru-RU"/>
              </w:rPr>
              <w:t xml:space="preserve">Ефимова О.С.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  <w:t xml:space="preserve">/</w:t>
            </w:r>
            <w:r/>
          </w:p>
          <w:p>
            <w:pPr>
              <w:rPr>
                <w:rFonts w:ascii="Times New Roman" w:hAnsi="Times New Roman" w:cs="Times New Roman"/>
                <w:color w:val="000000"/>
                <w:highlight w:val="yellow"/>
              </w:rPr>
            </w:pPr>
            <w:r>
              <w:rPr>
                <w:rStyle w:val="922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Подписано ЭЦП</w:t>
            </w:r>
            <w:r>
              <w:rPr>
                <w:rFonts w:ascii="Times New Roman" w:hAnsi="Times New Roman" w:cs="Times New Roman"/>
                <w:b/>
                <w:bCs/>
                <w:color w:val="000000"/>
                <w:highlight w:val="yellow"/>
              </w:rPr>
            </w:r>
            <w:r/>
          </w:p>
          <w:p>
            <w:pPr>
              <w:spacing w:after="0" w:line="240" w:lineRule="auto"/>
              <w:tabs>
                <w:tab w:val="left" w:pos="435" w:leader="none"/>
              </w:tabs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tabs>
                <w:tab w:val="center" w:pos="2479" w:leader="none"/>
              </w:tabs>
              <w:rPr>
                <w:rFonts w:ascii="Times New Roman" w:hAnsi="Times New Roman" w:cs="Times New Roman" w:eastAsia="Times New Roman"/>
                <w:bCs/>
                <w:sz w:val="22"/>
                <w:szCs w:val="22"/>
              </w:rPr>
              <w:suppressLineNumbers/>
            </w:pPr>
            <w:r>
              <w:rPr>
                <w:rFonts w:ascii="Times New Roman" w:hAnsi="Times New Roman" w:cs="Times New Roman" w:eastAsia="Times New Roman"/>
                <w:bCs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tcW w:w="4689" w:type="dxa"/>
            <w:textDirection w:val="lrTb"/>
            <w:noWrap w:val="false"/>
          </w:tcPr>
          <w:p>
            <w:pPr>
              <w:tabs>
                <w:tab w:val="left" w:pos="426" w:leader="none"/>
              </w:tabs>
              <w:rPr>
                <w:rFonts w:ascii="Times New Roman" w:hAnsi="Times New Roman" w:cs="Times New Roman" w:eastAsia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b/>
                <w:sz w:val="22"/>
                <w:szCs w:val="22"/>
              </w:rPr>
              <w:t xml:space="preserve">ПОСТАВЩИК: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 xml:space="preserve">__________________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 xml:space="preserve">Подписано ЭЦП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shd w:val="clear" w:color="auto" w:fill="auto"/>
            <w:tcW w:w="4689" w:type="dxa"/>
            <w:textDirection w:val="lrTb"/>
            <w:noWrap w:val="false"/>
          </w:tcPr>
          <w:p>
            <w:pPr>
              <w:spacing w:line="256" w:lineRule="auto"/>
              <w:tabs>
                <w:tab w:val="left" w:pos="5295" w:leader="none"/>
              </w:tabs>
              <w:rPr>
                <w:rFonts w:ascii="Times New Roman" w:hAnsi="Times New Roman" w:cs="Times New Roman" w:eastAsia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shd w:val="clear" w:color="auto" w:fill="auto"/>
            <w:tcW w:w="4690" w:type="dxa"/>
            <w:textDirection w:val="lrTb"/>
            <w:noWrap w:val="false"/>
          </w:tcPr>
          <w:p>
            <w:pPr>
              <w:tabs>
                <w:tab w:val="num" w:pos="-567" w:leader="none"/>
              </w:tabs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</w:tr>
      <w:tr>
        <w:trPr/>
        <w:tc>
          <w:tcPr>
            <w:tcW w:w="4689" w:type="dxa"/>
            <w:textDirection w:val="lrTb"/>
            <w:noWrap w:val="false"/>
          </w:tcPr>
          <w:p>
            <w:pPr>
              <w:spacing w:line="256" w:lineRule="auto"/>
              <w:rPr>
                <w:rFonts w:ascii="Times New Roman" w:hAnsi="Times New Roman" w:cs="Times New Roman" w:eastAsia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tcW w:w="4689" w:type="dxa"/>
            <w:textDirection w:val="lrTb"/>
            <w:noWrap w:val="false"/>
          </w:tcPr>
          <w:p>
            <w:pPr>
              <w:spacing w:line="256" w:lineRule="auto"/>
              <w:rPr>
                <w:rFonts w:ascii="Times New Roman" w:hAnsi="Times New Roman" w:cs="Times New Roman" w:eastAsia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shd w:val="clear" w:color="auto" w:fill="auto"/>
            <w:tcW w:w="4689" w:type="dxa"/>
            <w:textDirection w:val="lrTb"/>
            <w:noWrap w:val="false"/>
          </w:tcPr>
          <w:p>
            <w:pPr>
              <w:spacing w:line="256" w:lineRule="auto"/>
              <w:rPr>
                <w:rFonts w:ascii="Times New Roman" w:hAnsi="Times New Roman" w:cs="Times New Roman" w:eastAsia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shd w:val="clear" w:color="auto" w:fill="auto"/>
            <w:tcW w:w="4690" w:type="dxa"/>
            <w:textDirection w:val="lrTb"/>
            <w:noWrap w:val="false"/>
          </w:tcPr>
          <w:p>
            <w:pPr>
              <w:spacing w:line="256" w:lineRule="auto"/>
              <w:tabs>
                <w:tab w:val="left" w:pos="5295" w:leader="none"/>
              </w:tabs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</w:tr>
    </w:tbl>
    <w:p>
      <w:pPr>
        <w:rPr>
          <w:rFonts w:ascii="Times New Roman" w:hAnsi="Times New Roman" w:cs="Times New Roman" w:eastAsia="Times New Roman"/>
          <w:sz w:val="22"/>
        </w:rPr>
        <w:sectPr>
          <w:footerReference w:type="even" r:id="rId9"/>
          <w:footnotePr/>
          <w:endnotePr/>
          <w:type w:val="nextPage"/>
          <w:pgSz w:w="11906" w:h="16838" w:orient="portrait"/>
          <w:pgMar w:top="709" w:right="850" w:bottom="426" w:left="1440" w:header="708" w:footer="708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 w:eastAsia="Times New Roman"/>
          <w:sz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b/>
          <w:i/>
          <w:sz w:val="22"/>
          <w:szCs w:val="20"/>
        </w:rPr>
      </w:pPr>
      <w:r>
        <w:rPr>
          <w:rFonts w:ascii="Times New Roman" w:hAnsi="Times New Roman" w:cs="Times New Roman" w:eastAsia="Times New Roman"/>
          <w:i/>
          <w:sz w:val="22"/>
          <w:szCs w:val="20"/>
        </w:rPr>
        <w:t xml:space="preserve">Приложение № 1 к Контракту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spacing w:line="240" w:lineRule="atLeast"/>
        <w:rPr>
          <w:rFonts w:ascii="Times New Roman" w:hAnsi="Times New Roman" w:cs="Times New Roman" w:eastAsia="Times New Roman"/>
          <w:b/>
          <w:bCs/>
          <w:sz w:val="22"/>
          <w:szCs w:val="24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4"/>
        </w:rPr>
        <w:t xml:space="preserve">СОГЛАСОВАНО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spacing w:line="240" w:lineRule="atLeast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Начальник  отдела образования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spacing w:line="240" w:lineRule="atLeast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администрации  Пушкинского района 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spacing w:line="240" w:lineRule="atLeast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Санкт-Петербурга 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spacing w:line="240" w:lineRule="atLeast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spacing w:line="240" w:lineRule="atLeast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_________________ </w:t>
      </w:r>
      <w:r>
        <w:rPr>
          <w:rFonts w:ascii="Times New Roman" w:hAnsi="Times New Roman" w:cs="Times New Roman" w:eastAsia="Times New Roman"/>
          <w:sz w:val="22"/>
        </w:rPr>
        <w:t xml:space="preserve">Орловская И.Н. </w:t>
      </w:r>
      <w:r/>
    </w:p>
    <w:p>
      <w:pPr>
        <w:rPr>
          <w:rFonts w:ascii="Times New Roman" w:hAnsi="Times New Roman" w:cs="Times New Roman" w:eastAsia="Times New Roman"/>
          <w:b/>
          <w:sz w:val="22"/>
          <w:szCs w:val="24"/>
        </w:rPr>
      </w:pPr>
      <w:r>
        <w:rPr>
          <w:rFonts w:ascii="Times New Roman" w:hAnsi="Times New Roman" w:cs="Times New Roman" w:eastAsia="Times New Roman"/>
          <w:b/>
          <w:sz w:val="22"/>
          <w:szCs w:val="24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center"/>
        <w:rPr>
          <w:rFonts w:ascii="Times New Roman" w:hAnsi="Times New Roman" w:cs="Times New Roman" w:eastAsia="Times New Roman"/>
          <w:b/>
          <w:sz w:val="22"/>
          <w:szCs w:val="24"/>
        </w:rPr>
      </w:pPr>
      <w:r>
        <w:rPr>
          <w:rFonts w:ascii="Times New Roman" w:hAnsi="Times New Roman" w:cs="Times New Roman" w:eastAsia="Times New Roman"/>
          <w:b/>
          <w:sz w:val="22"/>
          <w:szCs w:val="24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center"/>
        <w:rPr>
          <w:rFonts w:ascii="Times New Roman" w:hAnsi="Times New Roman" w:cs="Times New Roman" w:eastAsia="Times New Roman"/>
          <w:b/>
          <w:sz w:val="22"/>
          <w:szCs w:val="22"/>
        </w:rPr>
      </w:pPr>
      <w:r>
        <w:rPr>
          <w:rFonts w:ascii="Times New Roman" w:hAnsi="Times New Roman" w:cs="Times New Roman" w:eastAsia="Times New Roman"/>
          <w:b/>
          <w:sz w:val="22"/>
          <w:szCs w:val="24"/>
        </w:rPr>
      </w:r>
      <w:r>
        <w:rPr>
          <w:rFonts w:ascii="Times New Roman" w:hAnsi="Times New Roman" w:cs="Times New Roman" w:eastAsia="Times New Roman"/>
          <w:b/>
          <w:sz w:val="22"/>
          <w:szCs w:val="22"/>
        </w:rPr>
        <w:t xml:space="preserve">Расчёт</w:t>
      </w:r>
      <w:r>
        <w:rPr>
          <w:rFonts w:ascii="Times New Roman" w:hAnsi="Times New Roman" w:cs="Times New Roman" w:eastAsia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b/>
          <w:sz w:val="22"/>
          <w:szCs w:val="22"/>
        </w:rPr>
        <w:t xml:space="preserve">стоимости </w:t>
      </w:r>
      <w:r>
        <w:rPr>
          <w:rFonts w:ascii="Times New Roman" w:hAnsi="Times New Roman" w:cs="Times New Roman" w:eastAsia="Times New Roman"/>
          <w:b/>
          <w:sz w:val="22"/>
          <w:szCs w:val="22"/>
        </w:rPr>
        <w:t xml:space="preserve">поставки</w:t>
      </w:r>
      <w:r>
        <w:rPr>
          <w:rFonts w:ascii="Times New Roman" w:hAnsi="Times New Roman" w:cs="Times New Roman" w:eastAsia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b/>
          <w:sz w:val="22"/>
          <w:szCs w:val="22"/>
        </w:rPr>
        <w:t xml:space="preserve">столов и стульев ученических д</w:t>
      </w:r>
      <w:r>
        <w:rPr>
          <w:rFonts w:ascii="Times New Roman" w:hAnsi="Times New Roman" w:cs="Times New Roman" w:eastAsia="Times New Roman"/>
          <w:b/>
          <w:sz w:val="22"/>
          <w:szCs w:val="22"/>
        </w:rPr>
        <w:t xml:space="preserve">и</w:t>
      </w:r>
      <w:r>
        <w:rPr>
          <w:rFonts w:ascii="Times New Roman" w:hAnsi="Times New Roman" w:cs="Times New Roman" w:eastAsia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b/>
          <w:sz w:val="22"/>
          <w:szCs w:val="22"/>
        </w:rPr>
        <w:t xml:space="preserve"> для нужд </w:t>
      </w:r>
      <w:r>
        <w:rPr>
          <w:b/>
        </w:rPr>
      </w:r>
      <w:r/>
    </w:p>
    <w:p>
      <w:pPr>
        <w:jc w:val="center"/>
        <w:rPr>
          <w:rFonts w:ascii="Times New Roman" w:hAnsi="Times New Roman" w:cs="Times New Roman" w:eastAsia="Times New Roman"/>
          <w:b/>
          <w:sz w:val="22"/>
          <w:szCs w:val="22"/>
          <w:highlight w:val="none"/>
        </w:rPr>
      </w:pPr>
      <w:r>
        <w:rPr>
          <w:rFonts w:ascii="Times New Roman" w:hAnsi="Times New Roman" w:cs="Times New Roman" w:eastAsia="Times New Roman"/>
          <w:b/>
          <w:sz w:val="22"/>
          <w:szCs w:val="22"/>
        </w:rPr>
        <w:t xml:space="preserve">ГБОУ школы-интерната №68 Санкт-Петербурга</w:t>
      </w:r>
      <w:r>
        <w:rPr>
          <w:b/>
        </w:rPr>
      </w:r>
      <w:r/>
    </w:p>
    <w:p>
      <w:pPr>
        <w:jc w:val="center"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highlight w:val="none"/>
        </w:rPr>
      </w:r>
      <w:r>
        <w:rPr>
          <w:rFonts w:ascii="Times New Roman" w:hAnsi="Times New Roman" w:cs="Times New Roman" w:eastAsia="Times New Roman"/>
          <w:sz w:val="22"/>
          <w:highlight w:val="none"/>
        </w:rPr>
      </w:r>
      <w:r/>
    </w:p>
    <w:tbl>
      <w:tblPr>
        <w:tblW w:w="10738" w:type="dxa"/>
        <w:tblInd w:w="-9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018"/>
        <w:gridCol w:w="3067"/>
        <w:gridCol w:w="850"/>
        <w:gridCol w:w="1134"/>
        <w:gridCol w:w="1827"/>
        <w:gridCol w:w="1417"/>
      </w:tblGrid>
      <w:tr>
        <w:trPr/>
        <w:tc>
          <w:tcPr>
            <w:shd w:val="clear" w:color="auto" w:fill="auto"/>
            <w:tcW w:w="425" w:type="dxa"/>
            <w:vAlign w:val="center"/>
            <w:textDirection w:val="lrTb"/>
            <w:noWrap w:val="false"/>
          </w:tcPr>
          <w:p>
            <w:pPr>
              <w:contextualSpacing/>
              <w:ind w:left="-113"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№</w:t>
            </w:r>
            <w:r>
              <w:rPr>
                <w:sz w:val="20"/>
                <w:szCs w:val="20"/>
              </w:rPr>
            </w:r>
            <w:r/>
          </w:p>
          <w:p>
            <w:pPr>
              <w:contextualSpacing/>
              <w:ind w:left="-113"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п/п</w:t>
            </w:r>
            <w:r>
              <w:rPr>
                <w:sz w:val="20"/>
                <w:szCs w:val="20"/>
              </w:rPr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Наименование</w:t>
            </w:r>
            <w:r>
              <w:rPr>
                <w:sz w:val="20"/>
                <w:szCs w:val="20"/>
              </w:rPr>
            </w:r>
            <w:r/>
          </w:p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Товара*</w:t>
            </w: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67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/>
          </w:p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/>
          </w:p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Технические характеристики товара</w:t>
            </w:r>
            <w:r>
              <w:rPr>
                <w:sz w:val="20"/>
                <w:szCs w:val="20"/>
              </w:rPr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Ед. изм.</w:t>
            </w:r>
            <w:r>
              <w:rPr>
                <w:sz w:val="20"/>
                <w:szCs w:val="20"/>
              </w:rPr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Кол-во</w:t>
            </w:r>
            <w:r>
              <w:rPr>
                <w:sz w:val="20"/>
                <w:szCs w:val="20"/>
              </w:rPr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Цена за ед. </w:t>
            </w: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руб.</w:t>
            </w:r>
            <w:r>
              <w:rPr>
                <w:sz w:val="20"/>
                <w:szCs w:val="20"/>
              </w:rPr>
            </w:r>
            <w:r/>
          </w:p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(В т.ч. НДС, или без НДС)</w:t>
            </w:r>
            <w:r>
              <w:rPr>
                <w:sz w:val="20"/>
                <w:szCs w:val="20"/>
              </w:rPr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Итого цена,</w:t>
            </w: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 руб.</w:t>
            </w:r>
            <w:r>
              <w:rPr>
                <w:sz w:val="20"/>
                <w:szCs w:val="20"/>
              </w:rPr>
            </w:r>
            <w:r/>
          </w:p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(В т.ч. НДС, </w:t>
            </w: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или </w:t>
            </w: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без НДС)</w:t>
            </w:r>
            <w:r>
              <w:rPr>
                <w:sz w:val="20"/>
                <w:szCs w:val="20"/>
              </w:rPr>
            </w:r>
            <w:r/>
          </w:p>
        </w:tc>
      </w:tr>
      <w:tr>
        <w:trPr/>
        <w:tc>
          <w:tcPr>
            <w:shd w:val="clear" w:color="ffffff" w:fill="ffffff"/>
            <w:tcW w:w="425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left="-113"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18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Стол регулируемый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27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r>
            <w:r/>
          </w:p>
        </w:tc>
      </w:tr>
      <w:tr>
        <w:trPr>
          <w:trHeight w:val="711"/>
        </w:trPr>
        <w:tc>
          <w:tcPr>
            <w:shd w:val="clear" w:color="auto" w:fill="auto"/>
            <w:tcW w:w="42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highlight w:val="none"/>
              </w:rPr>
            </w:r>
            <w:r/>
          </w:p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Стул</w:t>
            </w: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r>
          </w:p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регулируемый </w:t>
            </w:r>
            <w:r/>
            <w:r/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  <w:r/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r>
          </w:p>
        </w:tc>
        <w:tc>
          <w:tcPr>
            <w:tcW w:w="3067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i w:val="0"/>
                <w:strike w:val="false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cs="Times New Roman" w:eastAsia="Times New Roman"/>
                <w:b w:val="0"/>
                <w:i w:val="0"/>
                <w:strike w:val="false"/>
                <w:color w:val="000000"/>
                <w:sz w:val="20"/>
                <w:szCs w:val="20"/>
                <w:highlight w:val="none"/>
                <w:u w:val="none"/>
              </w:rPr>
            </w:r>
            <w:r/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t xml:space="preserve">шт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  <w:r/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82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/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/>
          </w:p>
        </w:tc>
      </w:tr>
      <w:tr>
        <w:trPr/>
        <w:tc>
          <w:tcPr>
            <w:gridSpan w:val="2"/>
            <w:tcW w:w="2443" w:type="dxa"/>
            <w:textDirection w:val="lrTb"/>
            <w:noWrap w:val="false"/>
          </w:tcPr>
          <w:p>
            <w:pPr>
              <w:contextualSpacing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/>
          </w:p>
        </w:tc>
        <w:tc>
          <w:tcPr>
            <w:gridSpan w:val="4"/>
            <w:shd w:val="clear" w:color="auto" w:fill="auto"/>
            <w:tcW w:w="6878" w:type="dxa"/>
            <w:vAlign w:val="center"/>
            <w:textDirection w:val="lrTb"/>
            <w:noWrap w:val="false"/>
          </w:tcPr>
          <w:p>
            <w:pPr>
              <w:contextualSpacing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t xml:space="preserve">ИТОГО руб., (в т.ч. НДС или без НДС)</w:t>
            </w:r>
            <w:r>
              <w:rPr>
                <w:sz w:val="20"/>
                <w:szCs w:val="20"/>
              </w:rPr>
            </w:r>
            <w:r/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/>
          </w:p>
        </w:tc>
      </w:tr>
    </w:tbl>
    <w:p>
      <w:pPr>
        <w:jc w:val="both"/>
        <w:rPr>
          <w:rFonts w:ascii="Times New Roman" w:hAnsi="Times New Roman" w:cs="Times New Roman" w:eastAsia="Times New Roman"/>
          <w:b/>
          <w:sz w:val="22"/>
          <w:szCs w:val="24"/>
        </w:rPr>
      </w:pPr>
      <w:r>
        <w:rPr>
          <w:rFonts w:ascii="Times New Roman" w:hAnsi="Times New Roman" w:cs="Times New Roman" w:eastAsia="Times New Roman"/>
          <w:b/>
          <w:sz w:val="22"/>
          <w:szCs w:val="24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both"/>
        <w:rPr>
          <w:rFonts w:ascii="Times New Roman" w:hAnsi="Times New Roman" w:cs="Times New Roman" w:eastAsia="Times New Roman"/>
          <w:b/>
          <w:sz w:val="22"/>
          <w:szCs w:val="24"/>
        </w:rPr>
      </w:pPr>
      <w:r>
        <w:rPr>
          <w:rFonts w:ascii="Times New Roman" w:hAnsi="Times New Roman" w:cs="Times New Roman" w:eastAsia="Times New Roman"/>
          <w:b/>
          <w:sz w:val="22"/>
          <w:szCs w:val="24"/>
        </w:rPr>
      </w:r>
      <w:r>
        <w:rPr>
          <w:rFonts w:ascii="Times New Roman" w:hAnsi="Times New Roman" w:cs="Times New Roman" w:eastAsia="Times New Roman"/>
          <w:sz w:val="22"/>
        </w:rPr>
      </w:r>
      <w:r/>
    </w:p>
    <w:tbl>
      <w:tblPr>
        <w:tblW w:w="12905" w:type="dxa"/>
        <w:tblLayout w:type="fixed"/>
        <w:tblLook w:val="04A0" w:firstRow="1" w:lastRow="0" w:firstColumn="1" w:lastColumn="0" w:noHBand="0" w:noVBand="1"/>
      </w:tblPr>
      <w:tblGrid>
        <w:gridCol w:w="4785"/>
        <w:gridCol w:w="2846"/>
        <w:gridCol w:w="488"/>
        <w:gridCol w:w="4786"/>
      </w:tblGrid>
      <w:tr>
        <w:trPr/>
        <w:tc>
          <w:tcPr>
            <w:tcW w:w="4785" w:type="dxa"/>
            <w:textDirection w:val="lrTb"/>
            <w:noWrap w:val="false"/>
          </w:tcPr>
          <w:p>
            <w:pPr>
              <w:widowControl/>
              <w:tabs>
                <w:tab w:val="num" w:pos="0" w:leader="none"/>
              </w:tabs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 xml:space="preserve">ЗАКАЗЧИК: 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widowControl/>
              <w:tabs>
                <w:tab w:val="num" w:pos="0" w:leader="none"/>
              </w:tabs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 xml:space="preserve">И.О.Директора 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widowControl/>
              <w:tabs>
                <w:tab w:val="num" w:pos="0" w:leader="none"/>
              </w:tabs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 xml:space="preserve">ГБОУ школы-интерната № 68 Санкт-Петербурга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widowControl/>
              <w:tabs>
                <w:tab w:val="num" w:pos="0" w:leader="none"/>
              </w:tabs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widowControl/>
              <w:tabs>
                <w:tab w:val="num" w:pos="0" w:leader="none"/>
              </w:tabs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 xml:space="preserve">____________________О.С. Ефимова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bCs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 xml:space="preserve">Подписано ЭЦП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tcW w:w="2846" w:type="dxa"/>
            <w:textDirection w:val="lrTb"/>
            <w:noWrap w:val="false"/>
          </w:tcPr>
          <w:p>
            <w:pPr>
              <w:widowControl/>
              <w:tabs>
                <w:tab w:val="num" w:pos="0" w:leader="none"/>
              </w:tabs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 xml:space="preserve">ПОСТАВЩИК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 xml:space="preserve">: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widowControl/>
              <w:tabs>
                <w:tab w:val="num" w:pos="0" w:leader="none"/>
              </w:tabs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jc w:val="both"/>
              <w:tabs>
                <w:tab w:val="left" w:pos="371" w:leader="none"/>
                <w:tab w:val="left" w:pos="426" w:leader="none"/>
              </w:tabs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jc w:val="both"/>
              <w:tabs>
                <w:tab w:val="left" w:pos="371" w:leader="none"/>
                <w:tab w:val="left" w:pos="426" w:leader="none"/>
              </w:tabs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jc w:val="both"/>
              <w:tabs>
                <w:tab w:val="left" w:pos="371" w:leader="none"/>
                <w:tab w:val="left" w:pos="426" w:leader="none"/>
              </w:tabs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 xml:space="preserve">__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 xml:space="preserve">___________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jc w:val="both"/>
              <w:tabs>
                <w:tab w:val="left" w:pos="371" w:leader="none"/>
                <w:tab w:val="left" w:pos="426" w:leader="none"/>
              </w:tabs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 xml:space="preserve">Подписано ЭЦП    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shd w:val="clear" w:color="auto" w:fill="auto"/>
            <w:tcW w:w="488" w:type="dxa"/>
            <w:textDirection w:val="lrTb"/>
            <w:noWrap w:val="false"/>
          </w:tcPr>
          <w:p>
            <w:pPr>
              <w:ind w:left="0" w:right="1372" w:firstLine="0"/>
              <w:jc w:val="both"/>
              <w:rPr>
                <w:rFonts w:ascii="Times New Roman" w:hAnsi="Times New Roman" w:cs="Times New Roman" w:eastAsia="Times New Roman"/>
                <w:b/>
                <w:sz w:val="22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2"/>
                <w:szCs w:val="20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shd w:val="clear" w:color="auto" w:fill="auto"/>
            <w:tcW w:w="4786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 w:eastAsia="Times New Roman"/>
                <w:b/>
                <w:sz w:val="22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sz w:val="22"/>
                <w:szCs w:val="24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</w:tr>
    </w:tbl>
    <w:p>
      <w:pPr>
        <w:rPr>
          <w:rFonts w:ascii="Times New Roman" w:hAnsi="Times New Roman" w:cs="Times New Roman" w:eastAsia="Times New Roman"/>
          <w:sz w:val="22"/>
          <w:szCs w:val="22"/>
        </w:rPr>
        <w:sectPr>
          <w:footnotePr/>
          <w:endnotePr/>
          <w:type w:val="nextPage"/>
          <w:pgSz w:w="11906" w:h="16838" w:orient="portrait"/>
          <w:pgMar w:top="540" w:right="850" w:bottom="719" w:left="1440" w:header="708" w:footer="708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b/>
          <w:i/>
          <w:sz w:val="22"/>
          <w:szCs w:val="20"/>
        </w:rPr>
      </w:pPr>
      <w:r>
        <w:rPr>
          <w:rFonts w:ascii="Times New Roman" w:hAnsi="Times New Roman" w:cs="Times New Roman" w:eastAsia="Times New Roman"/>
          <w:i/>
          <w:sz w:val="22"/>
          <w:szCs w:val="20"/>
        </w:rPr>
        <w:t xml:space="preserve">Приложение № 2</w:t>
      </w:r>
      <w:r>
        <w:rPr>
          <w:rFonts w:ascii="Times New Roman" w:hAnsi="Times New Roman" w:cs="Times New Roman" w:eastAsia="Times New Roman"/>
          <w:i/>
          <w:sz w:val="22"/>
          <w:szCs w:val="20"/>
        </w:rPr>
        <w:t xml:space="preserve"> к Контракту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center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Декларация о соответствии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Поставщика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требованиям, установленным частью 1 статьи 31 Федерального закона от 05.04.2013 №44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851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851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подтверждает соответствие следующим единым требованиям: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left="426" w:firstLine="425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- Соответствие требованиям, установленным в соответствии с законодательством Российской Федерации к лицам, осуществляющим оказание услуг, являющихся предметом контракта;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left="426" w:firstLine="425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- Не проведение ликвидации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Поставщиком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- юридического лица и отсутствие решения арбитражного суда о признании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Поставщика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- юридического лица или индивидуального предпринимателя несостоятельным (банкротом) и об открытии конкурсного производства;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left="426" w:firstLine="425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- Не приостановление деятельности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Поставщика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в порядке, установленном Кодексом Российской Федерации об административных правонарушениях;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left="426" w:firstLine="425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- Отсутствие у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Поставщика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ате этих сумм исполненной или которые признаны безнадежными к взысканию в соответствии с законодательством Российской Федерации о налогах и сборах) за прошедший календарный год, размер которых превышает двадцать пять процентов балансовой стоимости активов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Поставщика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, по данным бухгалтерской отчетности за последний отчетный период.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считается соответствующим установленному требованию в случае, если им в установленном порядке подано заявление об обжаловании указанных недоимки, задолженности и решение по такому заявлению на дату подписания контракта;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left="426" w:firstLine="425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- Отсутствие у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Поставщика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- физического лица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Поставщика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судимости за преступления в сфере экономики и (или) преступления, предусмотренные статьями 289, 290, 291, 291.1 Уголовного кодекса Российской Федерации (за исключением лиц, у которых такая судимость погашена или снята), а также неприменение в отноше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оказанием услуги, являющихся предметом контракта, и административного наказания в виде дисквалификации;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left="426" w:firstLine="425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- Обладание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Поставщиком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исключительными правами на результаты интеллектуальной деятельно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сти, если в связи с исполнением контракта Заказчик приобретает права на такие результаты, за исключением случаев заключения контрактов на создание произведений литературы или искусства, исполнения, на финансирование проката или показа национального фильма;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left="426" w:firstLine="425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- Отсутствие между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Поставщиком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и Заказчиком конфликта интересов, под которым понимаются случаи, при которых руководитель Заказчика, член комисси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и по осуществлению закупок, руководитель контрактной службы Заказчика, контрактный управляющий состоят в браке с физическими лицами, являющимися выгодоприобретателями, единоличным исполнительным органом хозяйственного общества (директором, генеральным дире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ктором, управляющим, президентом и другими), членами коллегиального исполнительного органа хозяйственного общества, руководителем (директором, генеральным директором) учреждения или унитарного предприятия либо иными органами управления юридического лица -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Поставщика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, с физическим лицом, в том числе зарегистрированным в качестве индивидуального предпринимателя, -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Поставщиком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либо являются близкими родственниками (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родственниками по прямой восходящей и нисходящей линии (родителями и детьми, дедушкой, бабушкой и внуками), полнородными и неполнородными (имеющими общих отца или мать) братьями и сестрами), усыновителями или усыновленными указанного физического лица. Под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выгодоприобретателями здесь понимаются физически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е лица, владеющие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капитале хозяйственного общества;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left="426" w:firstLine="425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-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общества;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left="426" w:firstLine="425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- Отсутствие у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Поставщика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ограничений для участия в закупках, установленных законодательством Российской Федерации;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left="426" w:firstLine="425"/>
        <w:jc w:val="both"/>
        <w:tabs>
          <w:tab w:val="left" w:pos="851" w:leader="none"/>
          <w:tab w:val="left" w:pos="1134" w:leader="none"/>
        </w:tabs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-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Отсутствие в реестре недобросовестных поставщиков (подрядчиков, исполнителей) информации о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Поставщике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Поставщика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- юридического лица.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851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851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851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851"/>
        <w:jc w:val="both"/>
        <w:rPr>
          <w:rFonts w:ascii="Times New Roman" w:hAnsi="Times New Roman" w:cs="Times New Roman" w:eastAsia="Times New Roman"/>
          <w:b/>
          <w:sz w:val="22"/>
          <w:szCs w:val="24"/>
        </w:rPr>
      </w:pPr>
      <w:r>
        <w:rPr>
          <w:rFonts w:ascii="Times New Roman" w:hAnsi="Times New Roman" w:cs="Times New Roman" w:eastAsia="Times New Roman"/>
          <w:b/>
          <w:sz w:val="22"/>
          <w:szCs w:val="24"/>
        </w:rPr>
        <w:t xml:space="preserve">Поставщик: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708"/>
        <w:jc w:val="both"/>
        <w:spacing w:line="240" w:lineRule="atLeast"/>
        <w:rPr>
          <w:rFonts w:ascii="Times New Roman" w:hAnsi="Times New Roman" w:cs="Times New Roman" w:eastAsia="Times New Roman"/>
          <w:sz w:val="22"/>
        </w:rPr>
      </w:pPr>
      <w:r>
        <w:rPr>
          <w:rFonts w:ascii="Times New Roman" w:hAnsi="Times New Roman" w:cs="Times New Roman" w:eastAsia="Times New Roman"/>
          <w:sz w:val="22"/>
        </w:rPr>
        <w:t xml:space="preserve">______________________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851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</w:rPr>
        <w:t xml:space="preserve">Подписано ЭЦП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rPr>
          <w:rFonts w:ascii="Times New Roman" w:hAnsi="Times New Roman" w:cs="Times New Roman" w:eastAsia="Times New Roman"/>
          <w:sz w:val="22"/>
        </w:rPr>
      </w:pPr>
      <w:r>
        <w:rPr>
          <w:rFonts w:ascii="Times New Roman" w:hAnsi="Times New Roman" w:cs="Times New Roman" w:eastAsia="Times New Roman"/>
          <w:sz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widowControl/>
        <w:rPr>
          <w:rFonts w:ascii="Times New Roman" w:hAnsi="Times New Roman" w:cs="Times New Roman" w:eastAsia="Times New Roman"/>
          <w:sz w:val="22"/>
        </w:rPr>
      </w:pPr>
      <w:r>
        <w:rPr>
          <w:rFonts w:ascii="Times New Roman" w:hAnsi="Times New Roman" w:cs="Times New Roman" w:eastAsia="Times New Roman"/>
          <w:sz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sectPr>
      <w:footnotePr/>
      <w:endnotePr/>
      <w:type w:val="nextPage"/>
      <w:pgSz w:w="11906" w:h="16838" w:orient="portrait"/>
      <w:pgMar w:top="720" w:right="851" w:bottom="539" w:left="851" w:header="709" w:footer="709" w:gutter="0"/>
      <w:cols w:num="1" w:sep="0" w:space="708" w:equalWidth="1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Наталья Викторовна Субботина" w:date="2022-04-22T12:06:00Z" w:initials="НВС">
    <w:p w14:paraId="00000001" w14:textId="00000001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/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0000001" w15:done="0"/>
</w15:commentsEx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47BC6409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Cambria">
    <w:panose1 w:val="02040503050406030204"/>
  </w:font>
  <w:font w:name="Courier New">
    <w:panose1 w:val="02070309020205020404"/>
  </w:font>
  <w:font w:name="Calibri">
    <w:panose1 w:val="020F050202020403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7"/>
      <w:rPr>
        <w:rStyle w:val="921"/>
      </w:rPr>
      <w:framePr w:wrap="around" w:vAnchor="text" w:hAnchor="margin" w:xAlign="right" w:y="1"/>
    </w:pPr>
    <w:r>
      <w:rPr>
        <w:rStyle w:val="921"/>
      </w:rPr>
      <w:fldChar w:fldCharType="begin"/>
    </w:r>
    <w:r>
      <w:rPr>
        <w:rStyle w:val="921"/>
      </w:rPr>
      <w:instrText xml:space="preserve">PAGE  </w:instrText>
    </w:r>
    <w:r>
      <w:rPr>
        <w:rStyle w:val="921"/>
      </w:rPr>
      <w:fldChar w:fldCharType="end"/>
    </w:r>
    <w:r/>
  </w:p>
  <w:p>
    <w:pPr>
      <w:pStyle w:val="907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900"/>
        <w:rPr>
          <w:sz w:val="16"/>
          <w:szCs w:val="16"/>
        </w:rPr>
      </w:pPr>
      <w:r>
        <w:rPr>
          <w:rStyle w:val="902"/>
          <w:sz w:val="16"/>
          <w:szCs w:val="16"/>
        </w:rPr>
        <w:t xml:space="preserve">**</w:t>
      </w:r>
      <w:r>
        <w:rPr>
          <w:sz w:val="16"/>
          <w:szCs w:val="16"/>
        </w:rPr>
        <w:t xml:space="preserve"> </w:t>
      </w:r>
      <w:r>
        <w:rPr>
          <w:i/>
          <w:sz w:val="16"/>
          <w:szCs w:val="16"/>
        </w:rPr>
        <w:t xml:space="preserve">при упрощенной системе налогообложения </w:t>
      </w:r>
      <w:r>
        <w:rPr>
          <w:i/>
          <w:sz w:val="16"/>
          <w:szCs w:val="16"/>
        </w:rPr>
        <w:t xml:space="preserve">счет-фактура не требуется</w:t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  <w:b/>
        <w:bCs/>
      </w:rPr>
    </w:lvl>
    <w:lvl w:ilvl="1">
      <w:start w:val="1"/>
      <w:numFmt w:val="decimal"/>
      <w:isLgl w:val="false"/>
      <w:suff w:val="tab"/>
      <w:lvlText w:val="%1.%2."/>
      <w:lvlJc w:val="left"/>
      <w:pPr>
        <w:ind w:left="1260" w:hanging="360"/>
        <w:tabs>
          <w:tab w:val="num" w:pos="12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72" w:hanging="720"/>
        <w:tabs>
          <w:tab w:val="num" w:pos="15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998" w:hanging="720"/>
        <w:tabs>
          <w:tab w:val="num" w:pos="199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784" w:hanging="1080"/>
        <w:tabs>
          <w:tab w:val="num" w:pos="27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080"/>
        <w:tabs>
          <w:tab w:val="num" w:pos="321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96" w:hanging="1440"/>
        <w:tabs>
          <w:tab w:val="num" w:pos="39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22" w:hanging="1440"/>
        <w:tabs>
          <w:tab w:val="num" w:pos="442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08" w:hanging="1800"/>
        <w:tabs>
          <w:tab w:val="num" w:pos="5208" w:leader="none"/>
        </w:tabs>
      </w:pPr>
      <w:rPr>
        <w:rFonts w:cs="Times New Roman" w:hint="default"/>
      </w:rPr>
    </w:lvl>
  </w:abstractNum>
  <w:abstractNum w:abstractNumId="1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86" w:hanging="360"/>
        <w:tabs>
          <w:tab w:val="num" w:pos="786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72" w:hanging="720"/>
        <w:tabs>
          <w:tab w:val="num" w:pos="15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998" w:hanging="720"/>
        <w:tabs>
          <w:tab w:val="num" w:pos="199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784" w:hanging="1080"/>
        <w:tabs>
          <w:tab w:val="num" w:pos="27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080"/>
        <w:tabs>
          <w:tab w:val="num" w:pos="321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96" w:hanging="1440"/>
        <w:tabs>
          <w:tab w:val="num" w:pos="39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22" w:hanging="1440"/>
        <w:tabs>
          <w:tab w:val="num" w:pos="442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08" w:hanging="1800"/>
        <w:tabs>
          <w:tab w:val="num" w:pos="5208" w:leader="none"/>
        </w:tabs>
      </w:pPr>
      <w:rPr>
        <w:rFonts w:cs="Times New Roman"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cs="Times New Roman" w:hint="default"/>
      </w:rPr>
    </w:lvl>
  </w:abstractNum>
  <w:abstractNum w:abstractNumId="4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cs="Times New Roman"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7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5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52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9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6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3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81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8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54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90" w:hanging="360"/>
        <w:tabs>
          <w:tab w:val="num" w:pos="99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  <w:tabs>
          <w:tab w:val="num" w:pos="216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  <w:tabs>
          <w:tab w:val="num" w:pos="288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  <w:tabs>
          <w:tab w:val="num" w:pos="396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  <w:tabs>
          <w:tab w:val="num" w:pos="46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  <w:tabs>
          <w:tab w:val="num" w:pos="576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  <w:tabs>
          <w:tab w:val="num" w:pos="648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  <w:tabs>
          <w:tab w:val="num" w:pos="7560" w:leader="none"/>
        </w:tabs>
      </w:pPr>
      <w:rPr>
        <w:rFonts w:cs="Times New Roman" w:hint="default"/>
      </w:rPr>
    </w:lvl>
  </w:abstractNum>
  <w:abstractNum w:abstractNumId="8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9">
    <w:multiLevelType w:val="hybridMultilevel"/>
    <w:lvl w:ilvl="0">
      <w:start w:val="6"/>
      <w:numFmt w:val="none"/>
      <w:isLgl w:val="false"/>
      <w:suff w:val="tab"/>
      <w:lvlText w:val="8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  <w:b/>
        <w:bCs/>
      </w:rPr>
    </w:lvl>
    <w:lvl w:ilvl="1">
      <w:start w:val="1"/>
      <w:numFmt w:val="decimal"/>
      <w:isLgl w:val="false"/>
      <w:suff w:val="tab"/>
      <w:lvlText w:val="%1.%2."/>
      <w:lvlJc w:val="left"/>
      <w:pPr>
        <w:ind w:left="1260" w:hanging="360"/>
        <w:tabs>
          <w:tab w:val="num" w:pos="12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72" w:hanging="720"/>
        <w:tabs>
          <w:tab w:val="num" w:pos="15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998" w:hanging="720"/>
        <w:tabs>
          <w:tab w:val="num" w:pos="199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784" w:hanging="1080"/>
        <w:tabs>
          <w:tab w:val="num" w:pos="27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080"/>
        <w:tabs>
          <w:tab w:val="num" w:pos="321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96" w:hanging="1440"/>
        <w:tabs>
          <w:tab w:val="num" w:pos="39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22" w:hanging="1440"/>
        <w:tabs>
          <w:tab w:val="num" w:pos="442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08" w:hanging="1800"/>
        <w:tabs>
          <w:tab w:val="num" w:pos="5208" w:leader="none"/>
        </w:tabs>
      </w:pPr>
      <w:rPr>
        <w:rFonts w:cs="Times New Roman"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  <w:bCs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3.%2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3.%2.%3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cs="Times New Roman" w:hint="default"/>
      </w:rPr>
    </w:lvl>
  </w:abstractNum>
  <w:abstractNum w:abstractNumId="13">
    <w:multiLevelType w:val="hybridMultilevel"/>
    <w:lvl w:ilvl="0">
      <w:start w:val="6"/>
      <w:numFmt w:val="none"/>
      <w:isLgl w:val="false"/>
      <w:suff w:val="tab"/>
      <w:lvlText w:val="7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  <w:b/>
        <w:bCs/>
      </w:rPr>
    </w:lvl>
    <w:lvl w:ilvl="1">
      <w:start w:val="1"/>
      <w:numFmt w:val="decimal"/>
      <w:isLgl w:val="false"/>
      <w:suff w:val="tab"/>
      <w:lvlText w:val="%1.%2."/>
      <w:lvlJc w:val="left"/>
      <w:pPr>
        <w:ind w:left="1260" w:hanging="360"/>
        <w:tabs>
          <w:tab w:val="num" w:pos="12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72" w:hanging="720"/>
        <w:tabs>
          <w:tab w:val="num" w:pos="15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998" w:hanging="720"/>
        <w:tabs>
          <w:tab w:val="num" w:pos="199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784" w:hanging="1080"/>
        <w:tabs>
          <w:tab w:val="num" w:pos="27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080"/>
        <w:tabs>
          <w:tab w:val="num" w:pos="321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96" w:hanging="1440"/>
        <w:tabs>
          <w:tab w:val="num" w:pos="39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22" w:hanging="1440"/>
        <w:tabs>
          <w:tab w:val="num" w:pos="442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08" w:hanging="1800"/>
        <w:tabs>
          <w:tab w:val="num" w:pos="5208" w:leader="none"/>
        </w:tabs>
      </w:pPr>
      <w:rPr>
        <w:rFonts w:cs="Times New Roman"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cs="Times New Roman" w:hint="default"/>
      </w:rPr>
    </w:lvl>
  </w:abstractNum>
  <w:abstractNum w:abstractNumId="16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</w:abstractNum>
  <w:abstractNum w:abstractNumId="1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8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480" w:hanging="480"/>
        <w:tabs>
          <w:tab w:val="num" w:pos="48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80" w:hanging="480"/>
        <w:tabs>
          <w:tab w:val="num" w:pos="480" w:leader="none"/>
        </w:tabs>
      </w:pPr>
      <w:rPr>
        <w:rFonts w:cs="Times New Roman" w:hint="default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cs="Times New Roman" w:hint="default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0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cs="Times New Roman" w:hint="default"/>
      </w:rPr>
    </w:lvl>
  </w:abstractNum>
  <w:num w:numId="1">
    <w:abstractNumId w:val="9"/>
  </w:num>
  <w:num w:numId="2">
    <w:abstractNumId w:val="16"/>
  </w:num>
  <w:num w:numId="3">
    <w:abstractNumId w:val="1"/>
  </w:num>
  <w:num w:numId="4">
    <w:abstractNumId w:val="10"/>
  </w:num>
  <w:num w:numId="5">
    <w:abstractNumId w:val="0"/>
  </w:num>
  <w:num w:numId="6">
    <w:abstractNumId w:val="13"/>
  </w:num>
  <w:num w:numId="7">
    <w:abstractNumId w:val="20"/>
  </w:num>
  <w:num w:numId="8">
    <w:abstractNumId w:val="17"/>
  </w:num>
  <w:num w:numId="9">
    <w:abstractNumId w:val="3"/>
  </w:num>
  <w:num w:numId="10">
    <w:abstractNumId w:val="15"/>
  </w:num>
  <w:num w:numId="11">
    <w:abstractNumId w:val="18"/>
  </w:num>
  <w:num w:numId="12">
    <w:abstractNumId w:val="4"/>
  </w:num>
  <w:num w:numId="13">
    <w:abstractNumId w:val="8"/>
  </w:num>
  <w:num w:numId="14">
    <w:abstractNumId w:val="12"/>
  </w:num>
  <w:num w:numId="15">
    <w:abstractNumId w:val="7"/>
  </w:num>
  <w:num w:numId="16">
    <w:abstractNumId w:val="14"/>
  </w:num>
  <w:num w:numId="17">
    <w:abstractNumId w:val="16"/>
    <w:lvlOverride w:ilvl="0">
      <w:startOverride w:val="5"/>
    </w:lvlOverride>
  </w:num>
  <w:num w:numId="18">
    <w:abstractNumId w:val="5"/>
  </w:num>
  <w:num w:numId="19">
    <w:abstractNumId w:val="2"/>
  </w:num>
  <w:num w:numId="20">
    <w:abstractNumId w:val="19"/>
  </w:num>
  <w:num w:numId="21">
    <w:abstractNumId w:val="6"/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Наталья Викторовна Субботина">
    <w15:presenceInfo w15:providerId="None" w15:userId="Наталья Викторовна Субботина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5">
    <w:name w:val="Heading 1"/>
    <w:basedOn w:val="872"/>
    <w:next w:val="872"/>
    <w:link w:val="706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706">
    <w:name w:val="Heading 1 Char"/>
    <w:basedOn w:val="874"/>
    <w:link w:val="705"/>
    <w:uiPriority w:val="9"/>
    <w:rPr>
      <w:rFonts w:ascii="Arial" w:hAnsi="Arial" w:cs="Arial" w:eastAsia="Arial"/>
      <w:sz w:val="40"/>
      <w:szCs w:val="40"/>
    </w:rPr>
  </w:style>
  <w:style w:type="paragraph" w:styleId="707">
    <w:name w:val="Heading 2"/>
    <w:basedOn w:val="872"/>
    <w:next w:val="872"/>
    <w:link w:val="70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708">
    <w:name w:val="Heading 2 Char"/>
    <w:basedOn w:val="874"/>
    <w:link w:val="707"/>
    <w:uiPriority w:val="9"/>
    <w:rPr>
      <w:rFonts w:ascii="Arial" w:hAnsi="Arial" w:cs="Arial" w:eastAsia="Arial"/>
      <w:sz w:val="34"/>
    </w:rPr>
  </w:style>
  <w:style w:type="paragraph" w:styleId="709">
    <w:name w:val="Heading 3"/>
    <w:basedOn w:val="872"/>
    <w:next w:val="872"/>
    <w:link w:val="71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710">
    <w:name w:val="Heading 3 Char"/>
    <w:basedOn w:val="874"/>
    <w:link w:val="709"/>
    <w:uiPriority w:val="9"/>
    <w:rPr>
      <w:rFonts w:ascii="Arial" w:hAnsi="Arial" w:cs="Arial" w:eastAsia="Arial"/>
      <w:sz w:val="30"/>
      <w:szCs w:val="30"/>
    </w:rPr>
  </w:style>
  <w:style w:type="paragraph" w:styleId="711">
    <w:name w:val="Heading 4"/>
    <w:basedOn w:val="872"/>
    <w:next w:val="872"/>
    <w:link w:val="71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712">
    <w:name w:val="Heading 4 Char"/>
    <w:basedOn w:val="874"/>
    <w:link w:val="711"/>
    <w:uiPriority w:val="9"/>
    <w:rPr>
      <w:rFonts w:ascii="Arial" w:hAnsi="Arial" w:cs="Arial" w:eastAsia="Arial"/>
      <w:b/>
      <w:bCs/>
      <w:sz w:val="26"/>
      <w:szCs w:val="26"/>
    </w:rPr>
  </w:style>
  <w:style w:type="paragraph" w:styleId="713">
    <w:name w:val="Heading 5"/>
    <w:basedOn w:val="872"/>
    <w:next w:val="872"/>
    <w:link w:val="71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714">
    <w:name w:val="Heading 5 Char"/>
    <w:basedOn w:val="874"/>
    <w:link w:val="713"/>
    <w:uiPriority w:val="9"/>
    <w:rPr>
      <w:rFonts w:ascii="Arial" w:hAnsi="Arial" w:cs="Arial" w:eastAsia="Arial"/>
      <w:b/>
      <w:bCs/>
      <w:sz w:val="24"/>
      <w:szCs w:val="24"/>
    </w:rPr>
  </w:style>
  <w:style w:type="paragraph" w:styleId="715">
    <w:name w:val="Heading 6"/>
    <w:basedOn w:val="872"/>
    <w:next w:val="872"/>
    <w:link w:val="71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716">
    <w:name w:val="Heading 6 Char"/>
    <w:basedOn w:val="874"/>
    <w:link w:val="715"/>
    <w:uiPriority w:val="9"/>
    <w:rPr>
      <w:rFonts w:ascii="Arial" w:hAnsi="Arial" w:cs="Arial" w:eastAsia="Arial"/>
      <w:b/>
      <w:bCs/>
      <w:sz w:val="22"/>
      <w:szCs w:val="22"/>
    </w:rPr>
  </w:style>
  <w:style w:type="character" w:styleId="717">
    <w:name w:val="Heading 7 Char"/>
    <w:basedOn w:val="874"/>
    <w:link w:val="87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718">
    <w:name w:val="Heading 8"/>
    <w:basedOn w:val="872"/>
    <w:next w:val="872"/>
    <w:link w:val="71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719">
    <w:name w:val="Heading 8 Char"/>
    <w:basedOn w:val="874"/>
    <w:link w:val="718"/>
    <w:uiPriority w:val="9"/>
    <w:rPr>
      <w:rFonts w:ascii="Arial" w:hAnsi="Arial" w:cs="Arial" w:eastAsia="Arial"/>
      <w:i/>
      <w:iCs/>
      <w:sz w:val="22"/>
      <w:szCs w:val="22"/>
    </w:rPr>
  </w:style>
  <w:style w:type="paragraph" w:styleId="720">
    <w:name w:val="Heading 9"/>
    <w:basedOn w:val="872"/>
    <w:next w:val="872"/>
    <w:link w:val="72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721">
    <w:name w:val="Heading 9 Char"/>
    <w:basedOn w:val="874"/>
    <w:link w:val="720"/>
    <w:uiPriority w:val="9"/>
    <w:rPr>
      <w:rFonts w:ascii="Arial" w:hAnsi="Arial" w:cs="Arial" w:eastAsia="Arial"/>
      <w:i/>
      <w:iCs/>
      <w:sz w:val="21"/>
      <w:szCs w:val="21"/>
    </w:rPr>
  </w:style>
  <w:style w:type="character" w:styleId="722">
    <w:name w:val="Title Char"/>
    <w:basedOn w:val="874"/>
    <w:link w:val="882"/>
    <w:uiPriority w:val="10"/>
    <w:rPr>
      <w:sz w:val="48"/>
      <w:szCs w:val="48"/>
    </w:rPr>
  </w:style>
  <w:style w:type="character" w:styleId="723">
    <w:name w:val="Subtitle Char"/>
    <w:basedOn w:val="874"/>
    <w:link w:val="884"/>
    <w:uiPriority w:val="11"/>
    <w:rPr>
      <w:sz w:val="24"/>
      <w:szCs w:val="24"/>
    </w:rPr>
  </w:style>
  <w:style w:type="paragraph" w:styleId="724">
    <w:name w:val="Quote"/>
    <w:basedOn w:val="872"/>
    <w:next w:val="872"/>
    <w:link w:val="725"/>
    <w:uiPriority w:val="29"/>
    <w:qFormat/>
    <w:pPr>
      <w:ind w:left="720" w:right="720"/>
    </w:pPr>
    <w:rPr>
      <w:i/>
    </w:rPr>
  </w:style>
  <w:style w:type="character" w:styleId="725">
    <w:name w:val="Quote Char"/>
    <w:link w:val="724"/>
    <w:uiPriority w:val="29"/>
    <w:rPr>
      <w:i/>
    </w:rPr>
  </w:style>
  <w:style w:type="paragraph" w:styleId="726">
    <w:name w:val="Intense Quote"/>
    <w:basedOn w:val="872"/>
    <w:next w:val="872"/>
    <w:link w:val="72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7">
    <w:name w:val="Intense Quote Char"/>
    <w:link w:val="726"/>
    <w:uiPriority w:val="30"/>
    <w:rPr>
      <w:i/>
    </w:rPr>
  </w:style>
  <w:style w:type="character" w:styleId="728">
    <w:name w:val="Header Char"/>
    <w:basedOn w:val="874"/>
    <w:link w:val="905"/>
    <w:uiPriority w:val="99"/>
  </w:style>
  <w:style w:type="character" w:styleId="729">
    <w:name w:val="Footer Char"/>
    <w:basedOn w:val="874"/>
    <w:link w:val="907"/>
    <w:uiPriority w:val="99"/>
  </w:style>
  <w:style w:type="paragraph" w:styleId="730">
    <w:name w:val="Caption"/>
    <w:basedOn w:val="872"/>
    <w:next w:val="87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1">
    <w:name w:val="Caption Char"/>
    <w:basedOn w:val="730"/>
    <w:link w:val="907"/>
    <w:uiPriority w:val="99"/>
  </w:style>
  <w:style w:type="table" w:styleId="732">
    <w:name w:val="Table Grid Light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3">
    <w:name w:val="Plain Table 1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>
    <w:name w:val="Plain Table 2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5">
    <w:name w:val="Plain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6">
    <w:name w:val="Plain Table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Plain Table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8">
    <w:name w:val="Grid Table 1 Light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4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0">
    <w:name w:val="Grid Table 4 - Accent 1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1">
    <w:name w:val="Grid Table 4 - Accent 2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Grid Table 4 - Accent 3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3">
    <w:name w:val="Grid Table 4 - Accent 4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Grid Table 4 - Accent 5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5">
    <w:name w:val="Grid Table 4 - Accent 6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6">
    <w:name w:val="Grid Table 5 Dark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7">
    <w:name w:val="Grid Table 5 Dark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8">
    <w:name w:val="Grid Table 5 Dark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9">
    <w:name w:val="Grid Table 5 Dark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0">
    <w:name w:val="Grid Table 5 Dark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1">
    <w:name w:val="Grid Table 5 Dark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2">
    <w:name w:val="Grid Table 5 Dark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3">
    <w:name w:val="Grid Table 6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4">
    <w:name w:val="Grid Table 6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5">
    <w:name w:val="Grid Table 6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6">
    <w:name w:val="Grid Table 6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7">
    <w:name w:val="Grid Table 6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8">
    <w:name w:val="Grid Table 6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9">
    <w:name w:val="Grid Table 6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0">
    <w:name w:val="Grid Table 7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5">
    <w:name w:val="List Table 2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6">
    <w:name w:val="List Table 2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7">
    <w:name w:val="List Table 2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8">
    <w:name w:val="List Table 2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9">
    <w:name w:val="List Table 2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0">
    <w:name w:val="List Table 2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1">
    <w:name w:val="List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5 Dark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6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3">
    <w:name w:val="List Table 6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4">
    <w:name w:val="List Table 6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5">
    <w:name w:val="List Table 6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6">
    <w:name w:val="List Table 6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7">
    <w:name w:val="List Table 6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8">
    <w:name w:val="List Table 6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9">
    <w:name w:val="List Table 7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0">
    <w:name w:val="List Table 7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1">
    <w:name w:val="List Table 7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2">
    <w:name w:val="List Table 7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3">
    <w:name w:val="List Table 7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4">
    <w:name w:val="List Table 7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5">
    <w:name w:val="List Table 7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6">
    <w:name w:val="Lined - Accent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7">
    <w:name w:val="Lined - Accent 1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8">
    <w:name w:val="Lined - Accent 2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9">
    <w:name w:val="Lined - Accent 3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0">
    <w:name w:val="Lined - Accent 4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1">
    <w:name w:val="Lined - Accent 5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2">
    <w:name w:val="Lined - Accent 6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3">
    <w:name w:val="Bordered &amp; Lined - Accent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4">
    <w:name w:val="Bordered &amp; Lined - Accent 1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5">
    <w:name w:val="Bordered &amp; Lined - Accent 2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6">
    <w:name w:val="Bordered &amp; Lined - Accent 3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7">
    <w:name w:val="Bordered &amp; Lined - Accent 4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8">
    <w:name w:val="Bordered &amp; Lined - Accent 5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9">
    <w:name w:val="Bordered &amp; Lined - Accent 6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0">
    <w:name w:val="Bordered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1">
    <w:name w:val="Bordered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2">
    <w:name w:val="Bordered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3">
    <w:name w:val="Bordered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4">
    <w:name w:val="Bordered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5">
    <w:name w:val="Bordered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6">
    <w:name w:val="Bordered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7">
    <w:name w:val="Footnote Text Char"/>
    <w:link w:val="900"/>
    <w:uiPriority w:val="99"/>
    <w:rPr>
      <w:sz w:val="18"/>
    </w:rPr>
  </w:style>
  <w:style w:type="paragraph" w:styleId="858">
    <w:name w:val="endnote text"/>
    <w:basedOn w:val="872"/>
    <w:link w:val="859"/>
    <w:uiPriority w:val="99"/>
    <w:semiHidden/>
    <w:unhideWhenUsed/>
    <w:pPr>
      <w:spacing w:after="0" w:line="240" w:lineRule="auto"/>
    </w:pPr>
    <w:rPr>
      <w:sz w:val="20"/>
    </w:rPr>
  </w:style>
  <w:style w:type="character" w:styleId="859">
    <w:name w:val="Endnote Text Char"/>
    <w:link w:val="858"/>
    <w:uiPriority w:val="99"/>
    <w:rPr>
      <w:sz w:val="20"/>
    </w:rPr>
  </w:style>
  <w:style w:type="character" w:styleId="860">
    <w:name w:val="endnote reference"/>
    <w:basedOn w:val="874"/>
    <w:uiPriority w:val="99"/>
    <w:semiHidden/>
    <w:unhideWhenUsed/>
    <w:rPr>
      <w:vertAlign w:val="superscript"/>
    </w:rPr>
  </w:style>
  <w:style w:type="paragraph" w:styleId="861">
    <w:name w:val="toc 1"/>
    <w:basedOn w:val="872"/>
    <w:next w:val="872"/>
    <w:uiPriority w:val="39"/>
    <w:unhideWhenUsed/>
    <w:pPr>
      <w:ind w:left="0" w:right="0" w:firstLine="0"/>
      <w:spacing w:after="57"/>
    </w:pPr>
  </w:style>
  <w:style w:type="paragraph" w:styleId="862">
    <w:name w:val="toc 2"/>
    <w:basedOn w:val="872"/>
    <w:next w:val="872"/>
    <w:uiPriority w:val="39"/>
    <w:unhideWhenUsed/>
    <w:pPr>
      <w:ind w:left="283" w:right="0" w:firstLine="0"/>
      <w:spacing w:after="57"/>
    </w:pPr>
  </w:style>
  <w:style w:type="paragraph" w:styleId="863">
    <w:name w:val="toc 3"/>
    <w:basedOn w:val="872"/>
    <w:next w:val="872"/>
    <w:uiPriority w:val="39"/>
    <w:unhideWhenUsed/>
    <w:pPr>
      <w:ind w:left="567" w:right="0" w:firstLine="0"/>
      <w:spacing w:after="57"/>
    </w:pPr>
  </w:style>
  <w:style w:type="paragraph" w:styleId="864">
    <w:name w:val="toc 4"/>
    <w:basedOn w:val="872"/>
    <w:next w:val="872"/>
    <w:uiPriority w:val="39"/>
    <w:unhideWhenUsed/>
    <w:pPr>
      <w:ind w:left="850" w:right="0" w:firstLine="0"/>
      <w:spacing w:after="57"/>
    </w:pPr>
  </w:style>
  <w:style w:type="paragraph" w:styleId="865">
    <w:name w:val="toc 5"/>
    <w:basedOn w:val="872"/>
    <w:next w:val="872"/>
    <w:uiPriority w:val="39"/>
    <w:unhideWhenUsed/>
    <w:pPr>
      <w:ind w:left="1134" w:right="0" w:firstLine="0"/>
      <w:spacing w:after="57"/>
    </w:pPr>
  </w:style>
  <w:style w:type="paragraph" w:styleId="866">
    <w:name w:val="toc 6"/>
    <w:basedOn w:val="872"/>
    <w:next w:val="872"/>
    <w:uiPriority w:val="39"/>
    <w:unhideWhenUsed/>
    <w:pPr>
      <w:ind w:left="1417" w:right="0" w:firstLine="0"/>
      <w:spacing w:after="57"/>
    </w:pPr>
  </w:style>
  <w:style w:type="paragraph" w:styleId="867">
    <w:name w:val="toc 7"/>
    <w:basedOn w:val="872"/>
    <w:next w:val="872"/>
    <w:uiPriority w:val="39"/>
    <w:unhideWhenUsed/>
    <w:pPr>
      <w:ind w:left="1701" w:right="0" w:firstLine="0"/>
      <w:spacing w:after="57"/>
    </w:pPr>
  </w:style>
  <w:style w:type="paragraph" w:styleId="868">
    <w:name w:val="toc 8"/>
    <w:basedOn w:val="872"/>
    <w:next w:val="872"/>
    <w:uiPriority w:val="39"/>
    <w:unhideWhenUsed/>
    <w:pPr>
      <w:ind w:left="1984" w:right="0" w:firstLine="0"/>
      <w:spacing w:after="57"/>
    </w:pPr>
  </w:style>
  <w:style w:type="paragraph" w:styleId="869">
    <w:name w:val="toc 9"/>
    <w:basedOn w:val="872"/>
    <w:next w:val="872"/>
    <w:uiPriority w:val="39"/>
    <w:unhideWhenUsed/>
    <w:pPr>
      <w:ind w:left="2268" w:right="0" w:firstLine="0"/>
      <w:spacing w:after="57"/>
    </w:pPr>
  </w:style>
  <w:style w:type="paragraph" w:styleId="870">
    <w:name w:val="TOC Heading"/>
    <w:uiPriority w:val="39"/>
    <w:unhideWhenUsed/>
  </w:style>
  <w:style w:type="paragraph" w:styleId="871">
    <w:name w:val="table of figures"/>
    <w:basedOn w:val="872"/>
    <w:next w:val="872"/>
    <w:uiPriority w:val="99"/>
    <w:unhideWhenUsed/>
    <w:pPr>
      <w:spacing w:after="0" w:afterAutospacing="0"/>
    </w:pPr>
  </w:style>
  <w:style w:type="paragraph" w:styleId="872" w:default="1">
    <w:name w:val="Normal"/>
    <w:qFormat/>
    <w:pPr>
      <w:widowControl w:val="off"/>
    </w:pPr>
    <w:rPr>
      <w:rFonts w:ascii="Arial" w:hAnsi="Arial" w:cs="Arial"/>
      <w:sz w:val="18"/>
      <w:szCs w:val="18"/>
    </w:rPr>
  </w:style>
  <w:style w:type="paragraph" w:styleId="873">
    <w:name w:val="Heading 7"/>
    <w:basedOn w:val="872"/>
    <w:next w:val="872"/>
    <w:link w:val="877"/>
    <w:uiPriority w:val="99"/>
    <w:qFormat/>
    <w:pPr>
      <w:spacing w:before="240" w:after="60"/>
      <w:widowControl/>
      <w:outlineLvl w:val="6"/>
    </w:pPr>
    <w:rPr>
      <w:rFonts w:ascii="Calibri" w:hAnsi="Calibri" w:cs="Calibri"/>
      <w:sz w:val="24"/>
      <w:szCs w:val="24"/>
    </w:rPr>
  </w:style>
  <w:style w:type="character" w:styleId="874" w:default="1">
    <w:name w:val="Default Paragraph Font"/>
    <w:uiPriority w:val="1"/>
    <w:semiHidden/>
    <w:unhideWhenUsed/>
  </w:style>
  <w:style w:type="table" w:styleId="8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6" w:default="1">
    <w:name w:val="No List"/>
    <w:uiPriority w:val="99"/>
    <w:semiHidden/>
    <w:unhideWhenUsed/>
  </w:style>
  <w:style w:type="character" w:styleId="877" w:customStyle="1">
    <w:name w:val="Заголовок 7 Знак"/>
    <w:basedOn w:val="874"/>
    <w:link w:val="873"/>
    <w:uiPriority w:val="99"/>
    <w:semiHidden/>
    <w:rPr>
      <w:rFonts w:ascii="Calibri" w:hAnsi="Calibri" w:cs="Calibri"/>
      <w:sz w:val="24"/>
      <w:szCs w:val="24"/>
      <w:lang w:val="ru-RU" w:eastAsia="ru-RU"/>
    </w:rPr>
  </w:style>
  <w:style w:type="paragraph" w:styleId="878">
    <w:name w:val="Body Text"/>
    <w:basedOn w:val="872"/>
    <w:link w:val="879"/>
    <w:uiPriority w:val="99"/>
    <w:pPr>
      <w:spacing w:after="120"/>
    </w:pPr>
  </w:style>
  <w:style w:type="character" w:styleId="879" w:customStyle="1">
    <w:name w:val="Основной текст Знак"/>
    <w:basedOn w:val="874"/>
    <w:link w:val="878"/>
    <w:uiPriority w:val="99"/>
    <w:rPr>
      <w:rFonts w:ascii="Arial" w:hAnsi="Arial" w:cs="Arial"/>
      <w:sz w:val="18"/>
      <w:szCs w:val="18"/>
      <w:lang w:val="ru-RU" w:eastAsia="ru-RU"/>
    </w:rPr>
  </w:style>
  <w:style w:type="paragraph" w:styleId="880" w:customStyle="1">
    <w:name w:val="ConsNormal"/>
    <w:uiPriority w:val="99"/>
    <w:pPr>
      <w:ind w:right="19772" w:firstLine="720"/>
    </w:pPr>
    <w:rPr>
      <w:rFonts w:ascii="Arial" w:hAnsi="Arial" w:cs="Arial"/>
    </w:rPr>
  </w:style>
  <w:style w:type="paragraph" w:styleId="881" w:customStyle="1">
    <w:name w:val="ConsPlusNonformat"/>
    <w:uiPriority w:val="99"/>
    <w:rPr>
      <w:rFonts w:ascii="Courier New" w:hAnsi="Courier New" w:cs="Courier New"/>
    </w:rPr>
  </w:style>
  <w:style w:type="paragraph" w:styleId="882">
    <w:name w:val="Title"/>
    <w:basedOn w:val="872"/>
    <w:link w:val="883"/>
    <w:uiPriority w:val="99"/>
    <w:qFormat/>
    <w:pPr>
      <w:jc w:val="center"/>
      <w:widowControl/>
    </w:pPr>
    <w:rPr>
      <w:b/>
      <w:bCs/>
      <w:sz w:val="28"/>
      <w:szCs w:val="28"/>
    </w:rPr>
  </w:style>
  <w:style w:type="character" w:styleId="883" w:customStyle="1">
    <w:name w:val="Заголовок Знак"/>
    <w:basedOn w:val="874"/>
    <w:link w:val="882"/>
    <w:uiPriority w:val="99"/>
    <w:rPr>
      <w:rFonts w:ascii="Cambria" w:hAnsi="Cambria" w:cs="Cambria"/>
      <w:b/>
      <w:bCs/>
      <w:sz w:val="32"/>
      <w:szCs w:val="32"/>
    </w:rPr>
  </w:style>
  <w:style w:type="paragraph" w:styleId="884">
    <w:name w:val="Subtitle"/>
    <w:basedOn w:val="872"/>
    <w:link w:val="885"/>
    <w:uiPriority w:val="99"/>
    <w:qFormat/>
    <w:pPr>
      <w:widowControl/>
    </w:pPr>
    <w:rPr>
      <w:sz w:val="24"/>
      <w:szCs w:val="24"/>
    </w:rPr>
  </w:style>
  <w:style w:type="character" w:styleId="885" w:customStyle="1">
    <w:name w:val="Подзаголовок Знак"/>
    <w:basedOn w:val="874"/>
    <w:link w:val="884"/>
    <w:uiPriority w:val="99"/>
    <w:rPr>
      <w:rFonts w:ascii="Cambria" w:hAnsi="Cambria" w:cs="Cambria"/>
      <w:sz w:val="24"/>
      <w:szCs w:val="24"/>
    </w:rPr>
  </w:style>
  <w:style w:type="paragraph" w:styleId="886">
    <w:name w:val="Body Text Indent 3"/>
    <w:basedOn w:val="872"/>
    <w:link w:val="887"/>
    <w:uiPriority w:val="99"/>
    <w:pPr>
      <w:ind w:left="283"/>
      <w:spacing w:after="120"/>
    </w:pPr>
    <w:rPr>
      <w:sz w:val="16"/>
      <w:szCs w:val="16"/>
    </w:rPr>
  </w:style>
  <w:style w:type="character" w:styleId="887" w:customStyle="1">
    <w:name w:val="Основной текст с отступом 3 Знак"/>
    <w:basedOn w:val="874"/>
    <w:link w:val="886"/>
    <w:uiPriority w:val="99"/>
    <w:semiHidden/>
    <w:rPr>
      <w:rFonts w:ascii="Arial" w:hAnsi="Arial" w:cs="Arial"/>
      <w:sz w:val="16"/>
      <w:szCs w:val="16"/>
    </w:rPr>
  </w:style>
  <w:style w:type="paragraph" w:styleId="888" w:customStyle="1">
    <w:name w:val="Знак"/>
    <w:basedOn w:val="872"/>
    <w:uiPriority w:val="99"/>
    <w:pPr>
      <w:jc w:val="right"/>
      <w:spacing w:after="160" w:line="240" w:lineRule="exact"/>
    </w:pPr>
    <w:rPr>
      <w:sz w:val="20"/>
      <w:szCs w:val="20"/>
      <w:lang w:val="en-GB" w:eastAsia="en-US"/>
    </w:rPr>
  </w:style>
  <w:style w:type="paragraph" w:styleId="889" w:customStyle="1">
    <w:name w:val="Основной текст 31"/>
    <w:basedOn w:val="872"/>
    <w:uiPriority w:val="99"/>
    <w:pPr>
      <w:jc w:val="both"/>
      <w:widowControl/>
      <w:tabs>
        <w:tab w:val="left" w:pos="426" w:leader="none"/>
      </w:tabs>
    </w:pPr>
    <w:rPr>
      <w:sz w:val="24"/>
      <w:szCs w:val="24"/>
    </w:rPr>
  </w:style>
  <w:style w:type="paragraph" w:styleId="890" w:customStyle="1">
    <w:name w:val="Char Знак Знак"/>
    <w:basedOn w:val="872"/>
    <w:uiPriority w:val="99"/>
    <w:pPr>
      <w:jc w:val="right"/>
      <w:spacing w:after="160" w:line="240" w:lineRule="exact"/>
    </w:pPr>
    <w:rPr>
      <w:sz w:val="20"/>
      <w:szCs w:val="20"/>
      <w:lang w:val="en-GB" w:eastAsia="en-US"/>
    </w:rPr>
  </w:style>
  <w:style w:type="paragraph" w:styleId="891">
    <w:name w:val="Balloon Text"/>
    <w:basedOn w:val="872"/>
    <w:link w:val="892"/>
    <w:uiPriority w:val="99"/>
    <w:semiHidden/>
    <w:rPr>
      <w:rFonts w:ascii="Tahoma" w:hAnsi="Tahoma" w:cs="Tahoma"/>
      <w:sz w:val="16"/>
      <w:szCs w:val="16"/>
    </w:rPr>
  </w:style>
  <w:style w:type="character" w:styleId="892" w:customStyle="1">
    <w:name w:val="Текст выноски Знак"/>
    <w:basedOn w:val="874"/>
    <w:link w:val="891"/>
    <w:uiPriority w:val="99"/>
    <w:semiHidden/>
    <w:rPr>
      <w:rFonts w:cs="Times New Roman"/>
      <w:sz w:val="2"/>
      <w:szCs w:val="2"/>
    </w:rPr>
  </w:style>
  <w:style w:type="paragraph" w:styleId="893" w:customStyle="1">
    <w:name w:val="Heading"/>
    <w:uiPriority w:val="99"/>
    <w:pPr>
      <w:widowControl w:val="off"/>
    </w:pPr>
    <w:rPr>
      <w:rFonts w:ascii="Arial" w:hAnsi="Arial" w:cs="Arial"/>
      <w:b/>
      <w:bCs/>
      <w:sz w:val="22"/>
      <w:szCs w:val="22"/>
    </w:rPr>
  </w:style>
  <w:style w:type="character" w:styleId="894" w:customStyle="1">
    <w:name w:val="Знак Знак"/>
    <w:basedOn w:val="874"/>
    <w:uiPriority w:val="99"/>
    <w:rPr>
      <w:rFonts w:ascii="Arial" w:hAnsi="Arial" w:cs="Arial"/>
      <w:sz w:val="18"/>
      <w:szCs w:val="18"/>
      <w:lang w:val="ru-RU" w:eastAsia="ru-RU"/>
    </w:rPr>
  </w:style>
  <w:style w:type="paragraph" w:styleId="895">
    <w:name w:val="Body Text 2"/>
    <w:basedOn w:val="872"/>
    <w:link w:val="896"/>
    <w:uiPriority w:val="99"/>
    <w:pPr>
      <w:spacing w:after="120" w:line="480" w:lineRule="auto"/>
    </w:pPr>
  </w:style>
  <w:style w:type="character" w:styleId="896" w:customStyle="1">
    <w:name w:val="Основной текст 2 Знак"/>
    <w:basedOn w:val="874"/>
    <w:link w:val="895"/>
    <w:uiPriority w:val="99"/>
    <w:semiHidden/>
    <w:rPr>
      <w:rFonts w:ascii="Arial" w:hAnsi="Arial" w:cs="Arial"/>
      <w:sz w:val="18"/>
      <w:szCs w:val="18"/>
    </w:rPr>
  </w:style>
  <w:style w:type="character" w:styleId="897" w:customStyle="1">
    <w:name w:val="Основной текст Знак Знак Знак Знак Знак2"/>
    <w:basedOn w:val="874"/>
    <w:uiPriority w:val="99"/>
    <w:rPr>
      <w:rFonts w:ascii="Arial" w:hAnsi="Arial" w:cs="Arial"/>
      <w:sz w:val="18"/>
      <w:szCs w:val="18"/>
      <w:lang w:val="ru-RU" w:eastAsia="ru-RU"/>
    </w:rPr>
  </w:style>
  <w:style w:type="character" w:styleId="898" w:customStyle="1">
    <w:name w:val="Основной текст Знак Знак Знак Знак Знак"/>
    <w:basedOn w:val="874"/>
    <w:uiPriority w:val="99"/>
    <w:rPr>
      <w:rFonts w:ascii="Arial" w:hAnsi="Arial" w:cs="Arial"/>
      <w:sz w:val="18"/>
      <w:szCs w:val="18"/>
    </w:rPr>
  </w:style>
  <w:style w:type="paragraph" w:styleId="899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00">
    <w:name w:val="footnote text"/>
    <w:basedOn w:val="872"/>
    <w:link w:val="901"/>
    <w:uiPriority w:val="99"/>
    <w:unhideWhenUsed/>
    <w:qFormat/>
    <w:rPr>
      <w:sz w:val="20"/>
      <w:szCs w:val="20"/>
    </w:rPr>
  </w:style>
  <w:style w:type="character" w:styleId="901" w:customStyle="1">
    <w:name w:val="Текст сноски Знак"/>
    <w:basedOn w:val="874"/>
    <w:link w:val="900"/>
    <w:uiPriority w:val="99"/>
    <w:qFormat/>
    <w:rPr>
      <w:rFonts w:ascii="Arial" w:hAnsi="Arial" w:cs="Arial"/>
    </w:rPr>
  </w:style>
  <w:style w:type="character" w:styleId="902">
    <w:name w:val="footnote reference"/>
    <w:basedOn w:val="874"/>
    <w:uiPriority w:val="99"/>
    <w:unhideWhenUsed/>
    <w:qFormat/>
    <w:rPr>
      <w:vertAlign w:val="superscript"/>
    </w:rPr>
  </w:style>
  <w:style w:type="table" w:styleId="903" w:customStyle="1">
    <w:name w:val="Сетка таблицы16"/>
    <w:basedOn w:val="875"/>
    <w:next w:val="904"/>
    <w:uiPriority w:val="3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4">
    <w:name w:val="Table Grid"/>
    <w:basedOn w:val="875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5">
    <w:name w:val="Header"/>
    <w:basedOn w:val="872"/>
    <w:link w:val="90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06" w:customStyle="1">
    <w:name w:val="Верхний колонтитул Знак"/>
    <w:basedOn w:val="874"/>
    <w:link w:val="905"/>
    <w:uiPriority w:val="99"/>
    <w:rPr>
      <w:rFonts w:ascii="Arial" w:hAnsi="Arial" w:cs="Arial"/>
      <w:sz w:val="18"/>
      <w:szCs w:val="18"/>
    </w:rPr>
  </w:style>
  <w:style w:type="paragraph" w:styleId="907">
    <w:name w:val="Footer"/>
    <w:basedOn w:val="872"/>
    <w:link w:val="908"/>
    <w:unhideWhenUsed/>
    <w:pPr>
      <w:tabs>
        <w:tab w:val="center" w:pos="4677" w:leader="none"/>
        <w:tab w:val="right" w:pos="9355" w:leader="none"/>
      </w:tabs>
    </w:pPr>
  </w:style>
  <w:style w:type="character" w:styleId="908" w:customStyle="1">
    <w:name w:val="Нижний колонтитул Знак"/>
    <w:basedOn w:val="874"/>
    <w:link w:val="907"/>
    <w:rPr>
      <w:rFonts w:ascii="Arial" w:hAnsi="Arial" w:cs="Arial"/>
      <w:sz w:val="18"/>
      <w:szCs w:val="18"/>
    </w:rPr>
  </w:style>
  <w:style w:type="paragraph" w:styleId="909">
    <w:name w:val="annotation text"/>
    <w:basedOn w:val="872"/>
    <w:link w:val="910"/>
    <w:uiPriority w:val="99"/>
    <w:semiHidden/>
    <w:unhideWhenUsed/>
    <w:rPr>
      <w:sz w:val="20"/>
      <w:szCs w:val="20"/>
    </w:rPr>
  </w:style>
  <w:style w:type="character" w:styleId="910" w:customStyle="1">
    <w:name w:val="Текст примечания Знак"/>
    <w:basedOn w:val="874"/>
    <w:link w:val="909"/>
    <w:uiPriority w:val="99"/>
    <w:semiHidden/>
    <w:rPr>
      <w:rFonts w:ascii="Arial" w:hAnsi="Arial" w:cs="Arial"/>
    </w:rPr>
  </w:style>
  <w:style w:type="character" w:styleId="911">
    <w:name w:val="annotation reference"/>
    <w:basedOn w:val="874"/>
    <w:uiPriority w:val="99"/>
    <w:semiHidden/>
    <w:unhideWhenUsed/>
    <w:rPr>
      <w:sz w:val="16"/>
      <w:szCs w:val="16"/>
    </w:rPr>
  </w:style>
  <w:style w:type="character" w:styleId="912">
    <w:name w:val="Hyperlink"/>
    <w:basedOn w:val="874"/>
    <w:uiPriority w:val="99"/>
    <w:unhideWhenUsed/>
    <w:rPr>
      <w:color w:val="0000FF" w:themeColor="hyperlink"/>
      <w:u w:val="single"/>
    </w:rPr>
  </w:style>
  <w:style w:type="paragraph" w:styleId="913" w:customStyle="1">
    <w:name w:val="Standard"/>
  </w:style>
  <w:style w:type="paragraph" w:styleId="914">
    <w:name w:val="List Paragraph"/>
    <w:basedOn w:val="872"/>
    <w:uiPriority w:val="34"/>
    <w:qFormat/>
    <w:pPr>
      <w:contextualSpacing/>
      <w:ind w:left="720"/>
      <w:spacing w:line="360" w:lineRule="auto"/>
      <w:widowControl/>
    </w:pPr>
    <w:rPr>
      <w:rFonts w:ascii="Times New Roman" w:hAnsi="Times New Roman" w:cs="Times New Roman" w:eastAsia="Calibri"/>
      <w:sz w:val="22"/>
      <w:szCs w:val="22"/>
      <w:lang w:eastAsia="en-US"/>
    </w:rPr>
  </w:style>
  <w:style w:type="paragraph" w:styleId="915">
    <w:name w:val="No Spacing"/>
    <w:uiPriority w:val="1"/>
    <w:qFormat/>
    <w:rPr>
      <w:sz w:val="24"/>
      <w:szCs w:val="24"/>
    </w:rPr>
  </w:style>
  <w:style w:type="character" w:styleId="916" w:customStyle="1">
    <w:name w:val="i-text-lowcase"/>
    <w:qFormat/>
  </w:style>
  <w:style w:type="paragraph" w:styleId="917">
    <w:name w:val="Normal (Web)"/>
    <w:basedOn w:val="872"/>
    <w:uiPriority w:val="99"/>
    <w:unhideWhenUsed/>
    <w:pPr>
      <w:spacing w:before="100" w:beforeAutospacing="1" w:after="100" w:afterAutospacing="1"/>
      <w:widowControl/>
    </w:pPr>
    <w:rPr>
      <w:rFonts w:ascii="Times New Roman" w:hAnsi="Times New Roman" w:cs="Times New Roman"/>
      <w:sz w:val="24"/>
      <w:szCs w:val="24"/>
    </w:rPr>
  </w:style>
  <w:style w:type="character" w:styleId="918" w:customStyle="1">
    <w:name w:val="_3s2_tobei2wh3hl4plmv"/>
    <w:basedOn w:val="874"/>
  </w:style>
  <w:style w:type="table" w:styleId="919" w:customStyle="1">
    <w:name w:val="Сетка таблицы392"/>
    <w:basedOn w:val="875"/>
    <w:next w:val="904"/>
    <w:uiPriority w:val="39"/>
    <w:rPr>
      <w:rFonts w:ascii="Calibri" w:hAnsi="Calibri" w:eastAsia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20">
    <w:name w:val="Emphasis"/>
    <w:basedOn w:val="874"/>
    <w:qFormat/>
    <w:rPr>
      <w:i/>
      <w:iCs/>
    </w:rPr>
  </w:style>
  <w:style w:type="character" w:styleId="921">
    <w:name w:val="page number"/>
    <w:rPr>
      <w:rFonts w:cs="Times New Roman"/>
    </w:rPr>
  </w:style>
  <w:style w:type="character" w:styleId="922" w:customStyle="1">
    <w:name w:val="wmi-callto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omments" Target="comments.xml" /><Relationship Id="rId11" Type="http://schemas.microsoft.com/office/2011/relationships/commentsExtended" Target="commentsExtended.xml" /><Relationship Id="rId12" Type="http://schemas.microsoft.com/office/2016/09/relationships/commentsIds" Target="commentsIds.xml" /><Relationship Id="rId13" Type="http://schemas.microsoft.com/office/2011/relationships/people" Target="people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ONLYOFFICE/7.1.1.57</Application>
  <Company>Grizli777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 №</dc:title>
  <dc:subject/>
  <dc:creator>414_4</dc:creator>
  <cp:keywords/>
  <dc:description/>
  <cp:revision>21</cp:revision>
  <dcterms:created xsi:type="dcterms:W3CDTF">2023-06-28T04:30:00Z</dcterms:created>
  <dcterms:modified xsi:type="dcterms:W3CDTF">2026-03-10T08:53:47Z</dcterms:modified>
</cp:coreProperties>
</file>