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9A2" w:rsidRDefault="00153AA5">
      <w:pPr>
        <w:pStyle w:val="3"/>
        <w:tabs>
          <w:tab w:val="left" w:pos="5670"/>
        </w:tabs>
        <w:spacing w:before="0" w:line="240" w:lineRule="auto"/>
        <w:ind w:left="5529"/>
        <w:jc w:val="right"/>
        <w:rPr>
          <w:rFonts w:ascii="Times New Roman" w:hAnsi="Times New Roman" w:cs="Times New Roman"/>
          <w:color w:val="auto"/>
        </w:rPr>
      </w:pPr>
      <w:bookmarkStart w:id="0" w:name="_GoBack"/>
      <w:bookmarkEnd w:id="0"/>
      <w:r>
        <w:rPr>
          <w:rFonts w:ascii="Times New Roman" w:hAnsi="Times New Roman" w:cs="Times New Roman"/>
          <w:color w:val="auto"/>
        </w:rPr>
        <w:br/>
      </w:r>
    </w:p>
    <w:p w:rsidR="003819A2" w:rsidRDefault="003819A2">
      <w:pPr>
        <w:jc w:val="right"/>
        <w:rPr>
          <w:rFonts w:ascii="Times New Roman" w:hAnsi="Times New Roman" w:cs="Times New Roman"/>
          <w:lang w:eastAsia="en-US" w:bidi="ar-SA"/>
        </w:rPr>
      </w:pPr>
    </w:p>
    <w:p w:rsidR="003819A2" w:rsidRDefault="00153AA5">
      <w:pPr>
        <w:tabs>
          <w:tab w:val="left" w:pos="12165"/>
        </w:tabs>
        <w:autoSpaceDE w:val="0"/>
        <w:autoSpaceDN w:val="0"/>
        <w:adjustRightInd w:val="0"/>
        <w:rPr>
          <w:rFonts w:ascii="Times New Roman" w:hAnsi="Times New Roman" w:cs="Times New Roman"/>
          <w:b/>
          <w:color w:val="auto"/>
        </w:rPr>
      </w:pPr>
      <w:r>
        <w:rPr>
          <w:rFonts w:ascii="Times New Roman" w:hAnsi="Times New Roman" w:cs="Times New Roman"/>
          <w:b/>
          <w:color w:val="auto"/>
        </w:rPr>
        <w:tab/>
      </w:r>
    </w:p>
    <w:p w:rsidR="003819A2" w:rsidRDefault="00153AA5">
      <w:pPr>
        <w:autoSpaceDE w:val="0"/>
        <w:autoSpaceDN w:val="0"/>
        <w:adjustRightInd w:val="0"/>
        <w:jc w:val="center"/>
        <w:rPr>
          <w:rFonts w:ascii="Times New Roman" w:hAnsi="Times New Roman" w:cs="Times New Roman"/>
          <w:b/>
          <w:color w:val="auto"/>
        </w:rPr>
      </w:pPr>
      <w:r>
        <w:rPr>
          <w:rFonts w:ascii="Times New Roman" w:hAnsi="Times New Roman" w:cs="Times New Roman"/>
          <w:b/>
          <w:color w:val="auto"/>
        </w:rPr>
        <w:t>ОБОСНОВАНИЕ НАЧАЛЬНОЙ (МАКСИМАЛЬНОЙ) ЦЕНЫ КОНТРАКТА</w:t>
      </w:r>
    </w:p>
    <w:p w:rsidR="003819A2" w:rsidRDefault="003819A2">
      <w:pPr>
        <w:tabs>
          <w:tab w:val="left" w:pos="12165"/>
        </w:tabs>
        <w:autoSpaceDE w:val="0"/>
        <w:autoSpaceDN w:val="0"/>
        <w:adjustRightInd w:val="0"/>
        <w:rPr>
          <w:rFonts w:ascii="Times New Roman" w:hAnsi="Times New Roman" w:cs="Times New Roman"/>
          <w:b/>
          <w:color w:val="auto"/>
        </w:rPr>
      </w:pPr>
    </w:p>
    <w:tbl>
      <w:tblPr>
        <w:tblW w:w="9640"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827"/>
        <w:gridCol w:w="5245"/>
      </w:tblGrid>
      <w:tr w:rsidR="003819A2">
        <w:trPr>
          <w:trHeight w:val="70"/>
        </w:trPr>
        <w:tc>
          <w:tcPr>
            <w:tcW w:w="568" w:type="dxa"/>
            <w:vAlign w:val="center"/>
          </w:tcPr>
          <w:p w:rsidR="003819A2" w:rsidRDefault="00153AA5">
            <w:pPr>
              <w:outlineLvl w:val="0"/>
              <w:rPr>
                <w:rFonts w:ascii="Times New Roman" w:hAnsi="Times New Roman"/>
                <w:bCs/>
              </w:rPr>
            </w:pPr>
            <w:r>
              <w:rPr>
                <w:rFonts w:ascii="Times New Roman" w:hAnsi="Times New Roman"/>
                <w:bCs/>
              </w:rPr>
              <w:t>1</w:t>
            </w:r>
          </w:p>
        </w:tc>
        <w:tc>
          <w:tcPr>
            <w:tcW w:w="3827" w:type="dxa"/>
            <w:vAlign w:val="center"/>
          </w:tcPr>
          <w:p w:rsidR="003819A2" w:rsidRDefault="00153AA5">
            <w:pPr>
              <w:jc w:val="center"/>
              <w:outlineLvl w:val="0"/>
              <w:rPr>
                <w:rFonts w:ascii="Times New Roman" w:hAnsi="Times New Roman"/>
                <w:bCs/>
              </w:rPr>
            </w:pPr>
            <w:r>
              <w:rPr>
                <w:rFonts w:ascii="Times New Roman" w:hAnsi="Times New Roman"/>
                <w:bCs/>
              </w:rPr>
              <w:t>Используемый метод определения начальной (максимальной) цены контракта</w:t>
            </w:r>
          </w:p>
        </w:tc>
        <w:tc>
          <w:tcPr>
            <w:tcW w:w="5245" w:type="dxa"/>
            <w:vAlign w:val="center"/>
          </w:tcPr>
          <w:p w:rsidR="003819A2" w:rsidRDefault="00153AA5">
            <w:pPr>
              <w:pStyle w:val="a3"/>
              <w:jc w:val="both"/>
              <w:rPr>
                <w:color w:val="000000"/>
                <w:sz w:val="24"/>
                <w:szCs w:val="24"/>
                <w:lang w:eastAsia="ru-RU"/>
              </w:rPr>
            </w:pPr>
            <w:r>
              <w:rPr>
                <w:color w:val="000000"/>
                <w:sz w:val="24"/>
                <w:szCs w:val="24"/>
                <w:lang w:eastAsia="ru-RU"/>
              </w:rPr>
              <w:t>Метод сбора и анализа общедоступной ценовой информации. Для определения НМЦК использована ценовая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w:t>
            </w:r>
            <w:r>
              <w:rPr>
                <w:color w:val="000000"/>
                <w:sz w:val="24"/>
                <w:szCs w:val="24"/>
                <w:lang w:eastAsia="ru-RU"/>
              </w:rPr>
              <w:t xml:space="preserve">, в том числе признаваемых в соответствии с гражданским законодательством публичными офертами на основании п. 3.7.4.1. Приказа МЭР от 02.10.2013 № 567 </w:t>
            </w:r>
            <w:r>
              <w:rPr>
                <w:color w:val="000000"/>
                <w:sz w:val="24"/>
                <w:szCs w:val="24"/>
                <w:lang w:eastAsia="ru-RU"/>
              </w:rPr>
              <w:br/>
              <w:t>"Об утверждении Методических рекомендаций по применению методов определения начальной /максимальной/ цен</w:t>
            </w:r>
            <w:r>
              <w:rPr>
                <w:color w:val="000000"/>
                <w:sz w:val="24"/>
                <w:szCs w:val="24"/>
                <w:lang w:eastAsia="ru-RU"/>
              </w:rPr>
              <w:t>ы контракта, цены контракта, заключаемого с единственным поставщиком /подрядчиком, исполнителем/")</w:t>
            </w:r>
          </w:p>
          <w:p w:rsidR="003819A2" w:rsidRDefault="00153AA5">
            <w:pPr>
              <w:pStyle w:val="a3"/>
              <w:jc w:val="both"/>
              <w:rPr>
                <w:i/>
                <w:color w:val="000000"/>
                <w:sz w:val="24"/>
                <w:szCs w:val="24"/>
                <w:highlight w:val="cyan"/>
                <w:lang w:eastAsia="ru-RU"/>
              </w:rPr>
            </w:pPr>
            <w:r>
              <w:rPr>
                <w:color w:val="000000"/>
                <w:sz w:val="24"/>
                <w:szCs w:val="24"/>
                <w:lang w:eastAsia="ru-RU"/>
              </w:rPr>
              <w:t xml:space="preserve"> </w:t>
            </w:r>
          </w:p>
        </w:tc>
      </w:tr>
      <w:tr w:rsidR="003819A2">
        <w:trPr>
          <w:trHeight w:val="1616"/>
        </w:trPr>
        <w:tc>
          <w:tcPr>
            <w:tcW w:w="568" w:type="dxa"/>
            <w:vAlign w:val="center"/>
          </w:tcPr>
          <w:p w:rsidR="003819A2" w:rsidRDefault="00153AA5">
            <w:pPr>
              <w:outlineLvl w:val="0"/>
              <w:rPr>
                <w:rFonts w:ascii="Times New Roman" w:hAnsi="Times New Roman"/>
                <w:bCs/>
              </w:rPr>
            </w:pPr>
            <w:r>
              <w:rPr>
                <w:rFonts w:ascii="Times New Roman" w:hAnsi="Times New Roman"/>
                <w:bCs/>
              </w:rPr>
              <w:t>2</w:t>
            </w:r>
          </w:p>
        </w:tc>
        <w:tc>
          <w:tcPr>
            <w:tcW w:w="3827" w:type="dxa"/>
            <w:vAlign w:val="center"/>
          </w:tcPr>
          <w:p w:rsidR="003819A2" w:rsidRDefault="00153AA5">
            <w:pPr>
              <w:jc w:val="center"/>
              <w:outlineLvl w:val="0"/>
              <w:rPr>
                <w:rFonts w:ascii="Times New Roman" w:hAnsi="Times New Roman"/>
                <w:bCs/>
              </w:rPr>
            </w:pPr>
            <w:r>
              <w:rPr>
                <w:rFonts w:ascii="Times New Roman" w:hAnsi="Times New Roman"/>
                <w:bCs/>
              </w:rPr>
              <w:t>Порядок формирования начальной (максимальной) цены контракта</w:t>
            </w:r>
          </w:p>
        </w:tc>
        <w:tc>
          <w:tcPr>
            <w:tcW w:w="5245" w:type="dxa"/>
            <w:vAlign w:val="center"/>
          </w:tcPr>
          <w:p w:rsidR="003819A2" w:rsidRDefault="00153AA5">
            <w:pPr>
              <w:pStyle w:val="a3"/>
              <w:jc w:val="both"/>
              <w:rPr>
                <w:sz w:val="24"/>
                <w:szCs w:val="24"/>
              </w:rPr>
            </w:pPr>
            <w:r>
              <w:rPr>
                <w:bCs/>
                <w:sz w:val="24"/>
                <w:szCs w:val="24"/>
              </w:rPr>
              <w:t xml:space="preserve">В начальную (максимальную) цену контракта включены </w:t>
            </w:r>
            <w:r>
              <w:rPr>
                <w:sz w:val="24"/>
                <w:szCs w:val="24"/>
              </w:rPr>
              <w:t xml:space="preserve">все расходы, в том числе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Pr>
                <w:sz w:val="24"/>
                <w:szCs w:val="24"/>
              </w:rPr>
              <w:t xml:space="preserve">сборы и иные расходы, связанные </w:t>
            </w:r>
            <w:r>
              <w:rPr>
                <w:sz w:val="24"/>
                <w:szCs w:val="24"/>
              </w:rPr>
              <w:br/>
              <w:t>с исполнением Контракта</w:t>
            </w:r>
          </w:p>
          <w:p w:rsidR="003819A2" w:rsidRDefault="003819A2">
            <w:pPr>
              <w:pStyle w:val="a3"/>
              <w:jc w:val="both"/>
              <w:rPr>
                <w:bCs/>
                <w:sz w:val="24"/>
                <w:szCs w:val="24"/>
                <w:lang w:eastAsia="ru-RU"/>
              </w:rPr>
            </w:pPr>
          </w:p>
        </w:tc>
      </w:tr>
      <w:tr w:rsidR="003819A2">
        <w:trPr>
          <w:trHeight w:val="971"/>
        </w:trPr>
        <w:tc>
          <w:tcPr>
            <w:tcW w:w="568" w:type="dxa"/>
            <w:vAlign w:val="center"/>
          </w:tcPr>
          <w:p w:rsidR="003819A2" w:rsidRDefault="00153AA5">
            <w:pPr>
              <w:outlineLvl w:val="0"/>
              <w:rPr>
                <w:rFonts w:ascii="Times New Roman" w:hAnsi="Times New Roman"/>
                <w:bCs/>
              </w:rPr>
            </w:pPr>
            <w:r>
              <w:rPr>
                <w:rFonts w:ascii="Times New Roman" w:hAnsi="Times New Roman"/>
                <w:bCs/>
              </w:rPr>
              <w:t>3</w:t>
            </w:r>
          </w:p>
        </w:tc>
        <w:tc>
          <w:tcPr>
            <w:tcW w:w="3827" w:type="dxa"/>
            <w:vAlign w:val="center"/>
          </w:tcPr>
          <w:p w:rsidR="003819A2" w:rsidRDefault="00153AA5">
            <w:pPr>
              <w:jc w:val="center"/>
              <w:outlineLvl w:val="0"/>
              <w:rPr>
                <w:rFonts w:ascii="Times New Roman" w:hAnsi="Times New Roman"/>
                <w:bCs/>
              </w:rPr>
            </w:pPr>
            <w:r>
              <w:rPr>
                <w:rFonts w:ascii="Times New Roman" w:hAnsi="Times New Roman"/>
                <w:bCs/>
              </w:rPr>
              <w:t xml:space="preserve">Начальная (максимальная) цена контракта, руб. </w:t>
            </w:r>
          </w:p>
          <w:p w:rsidR="003819A2" w:rsidRDefault="003819A2">
            <w:pPr>
              <w:jc w:val="center"/>
              <w:outlineLvl w:val="1"/>
              <w:rPr>
                <w:rFonts w:ascii="Times New Roman" w:hAnsi="Times New Roman"/>
                <w:bCs/>
              </w:rPr>
            </w:pPr>
          </w:p>
        </w:tc>
        <w:tc>
          <w:tcPr>
            <w:tcW w:w="5245" w:type="dxa"/>
            <w:vAlign w:val="center"/>
          </w:tcPr>
          <w:p w:rsidR="003819A2" w:rsidRDefault="00153AA5">
            <w:pPr>
              <w:jc w:val="center"/>
              <w:outlineLvl w:val="0"/>
              <w:rPr>
                <w:rFonts w:ascii="Times New Roman" w:hAnsi="Times New Roman"/>
                <w:bCs/>
              </w:rPr>
            </w:pPr>
            <w:r>
              <w:rPr>
                <w:rFonts w:ascii="Times New Roman" w:hAnsi="Times New Roman"/>
                <w:b/>
              </w:rPr>
              <w:t>9075,62</w:t>
            </w:r>
          </w:p>
        </w:tc>
      </w:tr>
    </w:tbl>
    <w:p w:rsidR="003819A2" w:rsidRDefault="003819A2">
      <w:pPr>
        <w:autoSpaceDE w:val="0"/>
        <w:autoSpaceDN w:val="0"/>
        <w:adjustRightInd w:val="0"/>
        <w:jc w:val="both"/>
        <w:rPr>
          <w:rFonts w:ascii="Times New Roman" w:hAnsi="Times New Roman" w:cs="Times New Roman"/>
        </w:rPr>
      </w:pP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Должностное лицо Заказчика, ответственное</w:t>
      </w: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 xml:space="preserve">за соблюдение требований при обосновании </w:t>
      </w: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 xml:space="preserve">начальной (максимальной) цены контракта, </w:t>
      </w: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 xml:space="preserve">установленных законодательством Российской Федерации </w:t>
      </w: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о контрактной системе в сфере закупок:</w:t>
      </w:r>
    </w:p>
    <w:p w:rsidR="003819A2" w:rsidRDefault="003819A2">
      <w:pPr>
        <w:autoSpaceDE w:val="0"/>
        <w:autoSpaceDN w:val="0"/>
        <w:adjustRightInd w:val="0"/>
        <w:jc w:val="both"/>
        <w:rPr>
          <w:rFonts w:ascii="Times New Roman" w:hAnsi="Times New Roman" w:cs="Times New Roman"/>
        </w:rPr>
      </w:pPr>
    </w:p>
    <w:p w:rsidR="003819A2" w:rsidRDefault="003819A2">
      <w:pPr>
        <w:autoSpaceDE w:val="0"/>
        <w:autoSpaceDN w:val="0"/>
        <w:adjustRightInd w:val="0"/>
        <w:jc w:val="both"/>
        <w:rPr>
          <w:rFonts w:ascii="Times New Roman" w:hAnsi="Times New Roman" w:cs="Times New Roman"/>
        </w:rPr>
      </w:pPr>
    </w:p>
    <w:p w:rsidR="003819A2" w:rsidRDefault="00153AA5">
      <w:pPr>
        <w:autoSpaceDE w:val="0"/>
        <w:autoSpaceDN w:val="0"/>
        <w:adjustRightInd w:val="0"/>
        <w:jc w:val="both"/>
        <w:rPr>
          <w:rFonts w:ascii="Times New Roman" w:hAnsi="Times New Roman" w:cs="Times New Roman"/>
        </w:rPr>
      </w:pPr>
      <w:r>
        <w:rPr>
          <w:rFonts w:ascii="Times New Roman" w:hAnsi="Times New Roman" w:cs="Times New Roman"/>
        </w:rPr>
        <w:t xml:space="preserve">_______________ / и. о. </w:t>
      </w:r>
      <w:r>
        <w:rPr>
          <w:rFonts w:ascii="Times New Roman" w:hAnsi="Times New Roman" w:cs="Times New Roman"/>
          <w:i/>
          <w:iCs/>
        </w:rPr>
        <w:t>зам. начальника ОМТО Соловьева В.А.</w:t>
      </w:r>
    </w:p>
    <w:p w:rsidR="003819A2" w:rsidRDefault="00153AA5">
      <w:pPr>
        <w:tabs>
          <w:tab w:val="left" w:pos="12165"/>
        </w:tabs>
        <w:autoSpaceDE w:val="0"/>
        <w:autoSpaceDN w:val="0"/>
        <w:adjustRightInd w:val="0"/>
        <w:rPr>
          <w:rFonts w:ascii="Times New Roman" w:hAnsi="Times New Roman" w:cs="Times New Roman"/>
        </w:rPr>
      </w:pPr>
      <w:r>
        <w:rPr>
          <w:rFonts w:ascii="Times New Roman" w:hAnsi="Times New Roman" w:cs="Times New Roman"/>
        </w:rPr>
        <w:t>«     »                  2026г</w:t>
      </w:r>
    </w:p>
    <w:p w:rsidR="003819A2" w:rsidRDefault="003819A2">
      <w:pPr>
        <w:jc w:val="center"/>
        <w:rPr>
          <w:rFonts w:ascii="Times New Roman" w:hAnsi="Times New Roman" w:cs="Times New Roman"/>
          <w:b/>
        </w:rPr>
      </w:pPr>
    </w:p>
    <w:p w:rsidR="003819A2" w:rsidRDefault="003819A2">
      <w:pPr>
        <w:jc w:val="center"/>
        <w:rPr>
          <w:rFonts w:ascii="Times New Roman" w:hAnsi="Times New Roman" w:cs="Times New Roman"/>
          <w:b/>
        </w:rPr>
        <w:sectPr w:rsidR="003819A2">
          <w:headerReference w:type="default" r:id="rId7"/>
          <w:headerReference w:type="first" r:id="rId8"/>
          <w:type w:val="continuous"/>
          <w:pgSz w:w="11906" w:h="16838" w:code="9"/>
          <w:pgMar w:top="284" w:right="567" w:bottom="1134" w:left="1134" w:header="397" w:footer="397" w:gutter="0"/>
          <w:cols w:space="720"/>
          <w:titlePg/>
          <w:docGrid w:linePitch="299"/>
        </w:sectPr>
      </w:pPr>
    </w:p>
    <w:p w:rsidR="003819A2" w:rsidRDefault="00153AA5">
      <w:pPr>
        <w:jc w:val="center"/>
        <w:rPr>
          <w:rFonts w:ascii="Times New Roman" w:hAnsi="Times New Roman" w:cs="Times New Roman"/>
          <w:b/>
        </w:rPr>
      </w:pPr>
      <w:r>
        <w:rPr>
          <w:rFonts w:ascii="Times New Roman" w:hAnsi="Times New Roman" w:cs="Times New Roman"/>
          <w:b/>
        </w:rPr>
        <w:lastRenderedPageBreak/>
        <w:t xml:space="preserve">Обоснование и расчет начальной (максимальной) цены контракта </w:t>
      </w:r>
    </w:p>
    <w:p w:rsidR="003819A2" w:rsidRDefault="00153AA5">
      <w:pPr>
        <w:ind w:firstLine="567"/>
        <w:jc w:val="center"/>
        <w:rPr>
          <w:rFonts w:ascii="Times New Roman" w:hAnsi="Times New Roman" w:cs="Times New Roman"/>
        </w:rPr>
      </w:pPr>
      <w:r>
        <w:rPr>
          <w:rFonts w:ascii="Times New Roman" w:hAnsi="Times New Roman" w:cs="Times New Roman"/>
        </w:rPr>
        <w:t>Поставка дальномеров лазерных  Красногвардейскому РЖА для нужд Санкт-Петербурга в 2026 году.</w:t>
      </w:r>
    </w:p>
    <w:p w:rsidR="003819A2" w:rsidRDefault="003819A2">
      <w:pPr>
        <w:ind w:firstLine="567"/>
        <w:jc w:val="center"/>
        <w:rPr>
          <w:rFonts w:ascii="Times New Roman" w:hAnsi="Times New Roman" w:cs="Times New Roman"/>
        </w:rPr>
      </w:pPr>
    </w:p>
    <w:p w:rsidR="003819A2" w:rsidRDefault="00153AA5">
      <w:pPr>
        <w:jc w:val="center"/>
        <w:rPr>
          <w:rFonts w:ascii="Times New Roman" w:hAnsi="Times New Roman" w:cs="Times New Roman"/>
          <w:b/>
          <w:bCs/>
        </w:rPr>
      </w:pPr>
      <w:r>
        <w:rPr>
          <w:rFonts w:ascii="Times New Roman" w:hAnsi="Times New Roman" w:cs="Times New Roman"/>
          <w:b/>
          <w:bCs/>
        </w:rPr>
        <w:t>Метод сопоставимых р</w:t>
      </w:r>
      <w:r>
        <w:rPr>
          <w:rFonts w:ascii="Times New Roman" w:hAnsi="Times New Roman" w:cs="Times New Roman"/>
          <w:b/>
          <w:bCs/>
        </w:rPr>
        <w:t xml:space="preserve">ыночных цен (анализ рынка) </w:t>
      </w:r>
    </w:p>
    <w:p w:rsidR="003819A2" w:rsidRDefault="00153AA5">
      <w:pPr>
        <w:jc w:val="center"/>
        <w:rPr>
          <w:rFonts w:ascii="Times New Roman" w:hAnsi="Times New Roman" w:cs="Times New Roman"/>
        </w:rPr>
      </w:pPr>
      <w:r>
        <w:rPr>
          <w:rFonts w:ascii="Times New Roman" w:hAnsi="Times New Roman" w:cs="Times New Roman"/>
        </w:rPr>
        <w:t>Метод сопоставимых рыночных цен (анализ рынка)</w:t>
      </w:r>
    </w:p>
    <w:p w:rsidR="003819A2" w:rsidRDefault="00153AA5">
      <w:pPr>
        <w:jc w:val="center"/>
        <w:rPr>
          <w:rFonts w:ascii="Times New Roman" w:hAnsi="Times New Roman" w:cs="Times New Roman"/>
        </w:rPr>
      </w:pPr>
      <w:r>
        <w:rPr>
          <w:rFonts w:ascii="Times New Roman" w:hAnsi="Times New Roman" w:cs="Times New Roman"/>
        </w:rPr>
        <w:t xml:space="preserve">с направлением запросов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w:t>
      </w:r>
      <w:r>
        <w:rPr>
          <w:rFonts w:ascii="Times New Roman" w:hAnsi="Times New Roman" w:cs="Times New Roman"/>
        </w:rPr>
        <w:t>информация о которых имеется в свободном доступе (в частности, опубликована в печати, размещена на сайтах в сети "Интернет")</w:t>
      </w:r>
    </w:p>
    <w:p w:rsidR="003819A2" w:rsidRDefault="003819A2">
      <w:pPr>
        <w:jc w:val="center"/>
        <w:rPr>
          <w:rFonts w:ascii="Times New Roman" w:hAnsi="Times New Roman" w:cs="Times New Roman"/>
        </w:rPr>
      </w:pPr>
    </w:p>
    <w:p w:rsidR="003819A2" w:rsidRDefault="00153AA5">
      <w:pPr>
        <w:jc w:val="center"/>
        <w:rPr>
          <w:rFonts w:ascii="Times New Roman" w:hAnsi="Times New Roman" w:cs="Times New Roman"/>
        </w:rPr>
      </w:pPr>
      <w:r>
        <w:rPr>
          <w:rFonts w:ascii="Times New Roman" w:hAnsi="Times New Roman" w:cs="Times New Roman"/>
        </w:rPr>
        <w:t>Заказчиком были направлены запросы от 02.03.2026 №1-51-2/ОМТО-26 о предоставлении ценовой информации 5-ти поставщикам (подрядчикам</w:t>
      </w:r>
      <w:r>
        <w:rPr>
          <w:rFonts w:ascii="Times New Roman" w:hAnsi="Times New Roman" w:cs="Times New Roman"/>
        </w:rPr>
        <w:t xml:space="preserve">,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w:t>
      </w:r>
    </w:p>
    <w:p w:rsidR="003819A2" w:rsidRDefault="00153AA5">
      <w:pPr>
        <w:jc w:val="center"/>
        <w:rPr>
          <w:rFonts w:ascii="Times New Roman" w:hAnsi="Times New Roman" w:cs="Times New Roman"/>
        </w:rPr>
      </w:pPr>
      <w:r>
        <w:rPr>
          <w:rFonts w:ascii="Times New Roman" w:hAnsi="Times New Roman" w:cs="Times New Roman"/>
        </w:rPr>
        <w:t>Ответы на запрос получены от 3-х поставщиков (</w:t>
      </w:r>
      <w:r>
        <w:rPr>
          <w:rFonts w:ascii="Times New Roman" w:hAnsi="Times New Roman" w:cs="Times New Roman"/>
        </w:rPr>
        <w:t>подрядчиков, исполнителей): ИЦИ №1 – 54/ОМТО-26 от 05.03.2026, ИЦИ №2 – 54-1/ОМТО-26 от 06.03.2026, ИЦИ №3 – 54-2/ОМТО-26 от 06.03.2026.</w:t>
      </w:r>
    </w:p>
    <w:p w:rsidR="003819A2" w:rsidRDefault="003819A2">
      <w:pPr>
        <w:jc w:val="center"/>
        <w:rPr>
          <w:rFonts w:ascii="Times New Roman" w:hAnsi="Times New Roman" w:cs="Times New Roman"/>
          <w:sz w:val="18"/>
          <w:szCs w:val="18"/>
        </w:rPr>
      </w:pPr>
    </w:p>
    <w:tbl>
      <w:tblPr>
        <w:tblW w:w="15480" w:type="dxa"/>
        <w:tblInd w:w="-459" w:type="dxa"/>
        <w:tblLayout w:type="fixed"/>
        <w:tblLook w:val="04A0" w:firstRow="1" w:lastRow="0" w:firstColumn="1" w:lastColumn="0" w:noHBand="0" w:noVBand="1"/>
      </w:tblPr>
      <w:tblGrid>
        <w:gridCol w:w="454"/>
        <w:gridCol w:w="1985"/>
        <w:gridCol w:w="661"/>
        <w:gridCol w:w="473"/>
        <w:gridCol w:w="992"/>
        <w:gridCol w:w="992"/>
        <w:gridCol w:w="993"/>
        <w:gridCol w:w="1134"/>
        <w:gridCol w:w="973"/>
        <w:gridCol w:w="19"/>
        <w:gridCol w:w="850"/>
        <w:gridCol w:w="1134"/>
        <w:gridCol w:w="1418"/>
        <w:gridCol w:w="1399"/>
        <w:gridCol w:w="18"/>
        <w:gridCol w:w="1399"/>
        <w:gridCol w:w="19"/>
        <w:gridCol w:w="548"/>
        <w:gridCol w:w="19"/>
      </w:tblGrid>
      <w:tr w:rsidR="003819A2">
        <w:trPr>
          <w:gridAfter w:val="1"/>
          <w:wAfter w:w="19" w:type="dxa"/>
          <w:trHeight w:val="590"/>
        </w:trPr>
        <w:tc>
          <w:tcPr>
            <w:tcW w:w="4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sz w:val="18"/>
                <w:szCs w:val="18"/>
              </w:rPr>
            </w:pPr>
            <w:r>
              <w:rPr>
                <w:rFonts w:ascii="Times New Roman" w:hAnsi="Times New Roman" w:cs="Times New Roman"/>
                <w:b/>
                <w:bCs/>
                <w:sz w:val="18"/>
                <w:szCs w:val="18"/>
              </w:rPr>
              <w:t>№ п/п</w:t>
            </w:r>
          </w:p>
        </w:tc>
        <w:tc>
          <w:tcPr>
            <w:tcW w:w="1985" w:type="dxa"/>
            <w:vMerge w:val="restart"/>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sz w:val="18"/>
                <w:szCs w:val="18"/>
              </w:rPr>
            </w:pPr>
            <w:r>
              <w:rPr>
                <w:rFonts w:ascii="Times New Roman" w:hAnsi="Times New Roman" w:cs="Times New Roman"/>
                <w:b/>
                <w:bCs/>
                <w:sz w:val="18"/>
                <w:szCs w:val="18"/>
              </w:rPr>
              <w:t>Наименование товара (работы, услуги)</w:t>
            </w:r>
          </w:p>
        </w:tc>
        <w:tc>
          <w:tcPr>
            <w:tcW w:w="661" w:type="dxa"/>
            <w:tcBorders>
              <w:top w:val="single" w:sz="4" w:space="0" w:color="auto"/>
              <w:left w:val="nil"/>
              <w:bottom w:val="single" w:sz="4" w:space="0" w:color="auto"/>
              <w:right w:val="nil"/>
            </w:tcBorders>
            <w:shd w:val="clear" w:color="000000" w:fill="FFFFFF"/>
          </w:tcPr>
          <w:p w:rsidR="003819A2" w:rsidRDefault="003819A2">
            <w:pPr>
              <w:jc w:val="center"/>
              <w:rPr>
                <w:rFonts w:ascii="Times New Roman" w:hAnsi="Times New Roman" w:cs="Times New Roman"/>
                <w:b/>
                <w:bCs/>
                <w:sz w:val="18"/>
                <w:szCs w:val="18"/>
              </w:rPr>
            </w:pPr>
          </w:p>
        </w:tc>
        <w:tc>
          <w:tcPr>
            <w:tcW w:w="4584" w:type="dxa"/>
            <w:gridSpan w:val="5"/>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b/>
                <w:bCs/>
                <w:sz w:val="18"/>
                <w:szCs w:val="18"/>
              </w:rPr>
              <w:t>Номер источника ценовой информации (ИЦИ №i) и цена единицы товара, работы,</w:t>
            </w:r>
            <w:r>
              <w:rPr>
                <w:rFonts w:ascii="Times New Roman" w:hAnsi="Times New Roman" w:cs="Times New Roman"/>
                <w:b/>
                <w:bCs/>
                <w:sz w:val="18"/>
                <w:szCs w:val="18"/>
              </w:rPr>
              <w:t xml:space="preserve"> услуги, представленная i-тым ИЦИ (Цi), руб.</w:t>
            </w:r>
          </w:p>
        </w:tc>
        <w:tc>
          <w:tcPr>
            <w:tcW w:w="973" w:type="dxa"/>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sz w:val="18"/>
                <w:szCs w:val="18"/>
              </w:rPr>
            </w:pPr>
            <w:r>
              <w:rPr>
                <w:rFonts w:ascii="Times New Roman" w:hAnsi="Times New Roman" w:cs="Times New Roman"/>
                <w:b/>
                <w:bCs/>
                <w:sz w:val="18"/>
                <w:szCs w:val="18"/>
              </w:rPr>
              <w:t>v - кол-во (объем) закупаемого товара (услуги),ед.</w:t>
            </w:r>
          </w:p>
          <w:p w:rsidR="003819A2" w:rsidRDefault="003819A2">
            <w:pPr>
              <w:jc w:val="center"/>
              <w:rPr>
                <w:rFonts w:ascii="Times New Roman" w:hAnsi="Times New Roman" w:cs="Times New Roman"/>
                <w:i/>
                <w:sz w:val="18"/>
                <w:szCs w:val="18"/>
              </w:rPr>
            </w:pPr>
          </w:p>
        </w:tc>
        <w:tc>
          <w:tcPr>
            <w:tcW w:w="869" w:type="dxa"/>
            <w:gridSpan w:val="2"/>
            <w:tcBorders>
              <w:top w:val="single" w:sz="4" w:space="0" w:color="auto"/>
              <w:left w:val="nil"/>
              <w:bottom w:val="single" w:sz="4" w:space="0" w:color="auto"/>
              <w:right w:val="single" w:sz="4" w:space="0" w:color="auto"/>
            </w:tcBorders>
            <w:shd w:val="clear" w:color="000000" w:fill="FFFFFF"/>
            <w:hideMark/>
          </w:tcPr>
          <w:p w:rsidR="003819A2" w:rsidRDefault="00153AA5">
            <w:pPr>
              <w:jc w:val="center"/>
              <w:rPr>
                <w:rFonts w:ascii="Times New Roman" w:hAnsi="Times New Roman" w:cs="Times New Roman"/>
                <w:sz w:val="18"/>
                <w:szCs w:val="18"/>
              </w:rPr>
            </w:pPr>
            <w:r>
              <w:rPr>
                <w:rFonts w:ascii="Times New Roman" w:hAnsi="Times New Roman" w:cs="Times New Roman"/>
                <w:b/>
                <w:bCs/>
                <w:sz w:val="18"/>
                <w:szCs w:val="18"/>
              </w:rPr>
              <w:t>n - кол-во значений, используемых в расчете</w:t>
            </w:r>
          </w:p>
        </w:tc>
        <w:tc>
          <w:tcPr>
            <w:tcW w:w="3951" w:type="dxa"/>
            <w:gridSpan w:val="3"/>
            <w:tcBorders>
              <w:top w:val="single" w:sz="4" w:space="0" w:color="auto"/>
              <w:left w:val="nil"/>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b/>
                <w:sz w:val="18"/>
                <w:szCs w:val="18"/>
              </w:rPr>
            </w:pPr>
            <w:r>
              <w:rPr>
                <w:rFonts w:ascii="Times New Roman" w:hAnsi="Times New Roman" w:cs="Times New Roman"/>
                <w:b/>
                <w:sz w:val="18"/>
                <w:szCs w:val="18"/>
              </w:rPr>
              <w:t>Определение однородности совокупности значений выявленных цен</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noProof/>
                <w:sz w:val="18"/>
                <w:szCs w:val="18"/>
                <w:lang w:bidi="ar-SA"/>
              </w:rPr>
              <w:drawing>
                <wp:anchor distT="0" distB="0" distL="114300" distR="114300" simplePos="0" relativeHeight="251669504" behindDoc="0" locked="0" layoutInCell="1" allowOverlap="1">
                  <wp:simplePos x="0" y="0"/>
                  <wp:positionH relativeFrom="column">
                    <wp:posOffset>122555</wp:posOffset>
                  </wp:positionH>
                  <wp:positionV relativeFrom="paragraph">
                    <wp:posOffset>-3810</wp:posOffset>
                  </wp:positionV>
                  <wp:extent cx="412115" cy="281305"/>
                  <wp:effectExtent l="0" t="0" r="6985" b="4445"/>
                  <wp:wrapNone/>
                  <wp:docPr id="11" name="Рисунок 11" descr="C:\Temp\KClipboardExport\7d4qbwfz.gif"/>
                  <wp:cNvGraphicFramePr/>
                  <a:graphic xmlns:a="http://schemas.openxmlformats.org/drawingml/2006/main">
                    <a:graphicData uri="http://schemas.openxmlformats.org/drawingml/2006/picture">
                      <pic:pic xmlns:pic="http://schemas.openxmlformats.org/drawingml/2006/picture">
                        <pic:nvPicPr>
                          <pic:cNvPr id="11549" name="Picture 1" descr="C:\Temp\KClipboardExport\7d4qbwfz.gif"/>
                          <pic:cNvPicPr>
                            <a:picLocks noChangeAspect="1" noChangeArrowheads="1"/>
                          </pic:cNvPicPr>
                        </pic:nvPicPr>
                        <pic:blipFill>
                          <a:blip r:embed="rId9" cstate="print"/>
                          <a:srcRect t="13635" r="56836" b="28496"/>
                          <a:stretch>
                            <a:fillRect/>
                          </a:stretch>
                        </pic:blipFill>
                        <pic:spPr bwMode="auto">
                          <a:xfrm>
                            <a:off x="0" y="0"/>
                            <a:ext cx="412115" cy="281305"/>
                          </a:xfrm>
                          <a:prstGeom prst="rect">
                            <a:avLst/>
                          </a:prstGeom>
                          <a:noFill/>
                          <a:ln w="9525">
                            <a:noFill/>
                            <a:miter lim="800000"/>
                            <a:headEnd/>
                            <a:tailEnd/>
                          </a:ln>
                        </pic:spPr>
                      </pic:pic>
                    </a:graphicData>
                  </a:graphic>
                </wp:anchor>
              </w:drawing>
            </w:r>
          </w:p>
        </w:tc>
        <w:tc>
          <w:tcPr>
            <w:tcW w:w="567" w:type="dxa"/>
            <w:gridSpan w:val="2"/>
            <w:tcBorders>
              <w:top w:val="single" w:sz="4" w:space="0" w:color="auto"/>
              <w:left w:val="nil"/>
              <w:bottom w:val="single" w:sz="4" w:space="0" w:color="auto"/>
              <w:right w:val="single" w:sz="4" w:space="0" w:color="auto"/>
            </w:tcBorders>
            <w:shd w:val="clear" w:color="000000" w:fill="FFFFFF"/>
            <w:vAlign w:val="center"/>
          </w:tcPr>
          <w:p w:rsidR="003819A2" w:rsidRDefault="00153AA5">
            <w:pPr>
              <w:jc w:val="center"/>
              <w:rPr>
                <w:rFonts w:ascii="Times New Roman" w:hAnsi="Times New Roman" w:cs="Times New Roman"/>
                <w:sz w:val="18"/>
                <w:szCs w:val="18"/>
              </w:rPr>
            </w:pPr>
            <w:r>
              <w:rPr>
                <w:rFonts w:ascii="Times New Roman" w:hAnsi="Times New Roman" w:cs="Times New Roman"/>
                <w:b/>
                <w:sz w:val="18"/>
                <w:szCs w:val="18"/>
              </w:rPr>
              <w:t>Ед. измерения</w:t>
            </w:r>
          </w:p>
        </w:tc>
      </w:tr>
      <w:tr w:rsidR="003819A2">
        <w:trPr>
          <w:trHeight w:val="300"/>
        </w:trPr>
        <w:tc>
          <w:tcPr>
            <w:tcW w:w="454"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3819A2" w:rsidRDefault="003819A2">
            <w:pPr>
              <w:jc w:val="center"/>
              <w:rPr>
                <w:rFonts w:ascii="Times New Roman" w:hAnsi="Times New Roman" w:cs="Times New Roman"/>
                <w:i/>
                <w:iCs/>
                <w:sz w:val="18"/>
                <w:szCs w:val="18"/>
              </w:rPr>
            </w:pPr>
          </w:p>
        </w:tc>
        <w:tc>
          <w:tcPr>
            <w:tcW w:w="1985" w:type="dxa"/>
            <w:vMerge/>
            <w:tcBorders>
              <w:top w:val="single" w:sz="4" w:space="0" w:color="auto"/>
              <w:left w:val="nil"/>
              <w:bottom w:val="single" w:sz="4" w:space="0" w:color="auto"/>
              <w:right w:val="single" w:sz="4" w:space="0" w:color="auto"/>
            </w:tcBorders>
            <w:shd w:val="clear" w:color="000000" w:fill="FFFFFF"/>
            <w:vAlign w:val="center"/>
            <w:hideMark/>
          </w:tcPr>
          <w:p w:rsidR="003819A2" w:rsidRDefault="003819A2">
            <w:pPr>
              <w:jc w:val="center"/>
              <w:rPr>
                <w:rFonts w:ascii="Times New Roman" w:hAnsi="Times New Roman" w:cs="Times New Roman"/>
                <w:sz w:val="18"/>
                <w:szCs w:val="18"/>
              </w:rPr>
            </w:pP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sz w:val="18"/>
                <w:szCs w:val="18"/>
              </w:rPr>
            </w:pPr>
            <w:r>
              <w:rPr>
                <w:rFonts w:ascii="Times New Roman" w:hAnsi="Times New Roman" w:cs="Times New Roman"/>
                <w:b/>
                <w:bCs/>
                <w:sz w:val="18"/>
                <w:szCs w:val="18"/>
              </w:rPr>
              <w:t>ИЦИ №1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sz w:val="18"/>
                <w:szCs w:val="18"/>
              </w:rPr>
            </w:pPr>
            <w:r>
              <w:rPr>
                <w:rFonts w:ascii="Times New Roman" w:hAnsi="Times New Roman" w:cs="Times New Roman"/>
                <w:b/>
                <w:bCs/>
                <w:sz w:val="18"/>
                <w:szCs w:val="18"/>
              </w:rPr>
              <w:t>ИЦИ №2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819A2" w:rsidRDefault="00153AA5">
            <w:pPr>
              <w:rPr>
                <w:rFonts w:ascii="Times New Roman" w:hAnsi="Times New Roman" w:cs="Times New Roman"/>
                <w:b/>
                <w:bCs/>
                <w:sz w:val="18"/>
                <w:szCs w:val="18"/>
              </w:rPr>
            </w:pPr>
            <w:r>
              <w:rPr>
                <w:rFonts w:ascii="Times New Roman" w:hAnsi="Times New Roman" w:cs="Times New Roman"/>
                <w:b/>
                <w:bCs/>
                <w:sz w:val="18"/>
                <w:szCs w:val="18"/>
              </w:rPr>
              <w:t>ИЦИ №3</w:t>
            </w:r>
          </w:p>
        </w:tc>
        <w:tc>
          <w:tcPr>
            <w:tcW w:w="993" w:type="dxa"/>
            <w:tcBorders>
              <w:top w:val="single" w:sz="4" w:space="0" w:color="auto"/>
              <w:left w:val="nil"/>
              <w:bottom w:val="single" w:sz="4" w:space="0" w:color="auto"/>
              <w:right w:val="single" w:sz="4" w:space="0" w:color="auto"/>
            </w:tcBorders>
            <w:vAlign w:val="center"/>
          </w:tcPr>
          <w:p w:rsidR="003819A2" w:rsidRDefault="00153AA5">
            <w:pPr>
              <w:jc w:val="center"/>
              <w:rPr>
                <w:rFonts w:ascii="Times New Roman" w:hAnsi="Times New Roman" w:cs="Times New Roman"/>
                <w:b/>
                <w:noProof/>
                <w:sz w:val="18"/>
                <w:szCs w:val="18"/>
                <w:lang w:bidi="ar-SA"/>
              </w:rPr>
            </w:pPr>
            <w:r>
              <w:rPr>
                <w:rFonts w:ascii="Times New Roman" w:hAnsi="Times New Roman" w:cs="Times New Roman"/>
                <w:b/>
                <w:bCs/>
                <w:sz w:val="18"/>
                <w:szCs w:val="18"/>
              </w:rPr>
              <w:t>ИЦИ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noProof/>
                <w:sz w:val="18"/>
                <w:szCs w:val="18"/>
                <w:lang w:bidi="ar-SA"/>
              </w:rPr>
              <w:drawing>
                <wp:anchor distT="0" distB="0" distL="114300" distR="114300" simplePos="0" relativeHeight="251673600" behindDoc="0" locked="0" layoutInCell="1" allowOverlap="1">
                  <wp:simplePos x="0" y="0"/>
                  <wp:positionH relativeFrom="column">
                    <wp:posOffset>109220</wp:posOffset>
                  </wp:positionH>
                  <wp:positionV relativeFrom="paragraph">
                    <wp:posOffset>-190500</wp:posOffset>
                  </wp:positionV>
                  <wp:extent cx="457200" cy="333375"/>
                  <wp:effectExtent l="0" t="0" r="0" b="9525"/>
                  <wp:wrapNone/>
                  <wp:docPr id="12" name="Рисунок 12" descr="C:\Temp\KClipboardExport\l41eo45a.gif"/>
                  <wp:cNvGraphicFramePr/>
                  <a:graphic xmlns:a="http://schemas.openxmlformats.org/drawingml/2006/main">
                    <a:graphicData uri="http://schemas.openxmlformats.org/drawingml/2006/picture">
                      <pic:pic xmlns:pic="http://schemas.openxmlformats.org/drawingml/2006/picture">
                        <pic:nvPicPr>
                          <pic:cNvPr id="11544" name="Рисунок 1" descr="C:\Temp\KClipboardExport\l41eo45a.gif"/>
                          <pic:cNvPicPr>
                            <a:picLocks noChangeAspect="1" noChangeArrowheads="1"/>
                          </pic:cNvPicPr>
                        </pic:nvPicPr>
                        <pic:blipFill>
                          <a:blip r:embed="rId9" cstate="print"/>
                          <a:srcRect l="68182" t="17999" b="24001"/>
                          <a:stretch>
                            <a:fillRect/>
                          </a:stretch>
                        </pic:blipFill>
                        <pic:spPr bwMode="auto">
                          <a:xfrm>
                            <a:off x="0" y="0"/>
                            <a:ext cx="457200" cy="333375"/>
                          </a:xfrm>
                          <a:prstGeom prst="rect">
                            <a:avLst/>
                          </a:prstGeom>
                          <a:noFill/>
                          <a:ln w="9525">
                            <a:noFill/>
                            <a:miter lim="800000"/>
                            <a:headEnd/>
                            <a:tailEnd/>
                          </a:ln>
                        </pic:spPr>
                      </pic:pic>
                    </a:graphicData>
                  </a:graphic>
                </wp:anchor>
              </w:drawing>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3819A2" w:rsidRDefault="003819A2">
            <w:pPr>
              <w:jc w:val="center"/>
              <w:rPr>
                <w:rFonts w:ascii="Times New Roman" w:hAnsi="Times New Roman" w:cs="Times New Roman"/>
                <w:sz w:val="18"/>
                <w:szCs w:val="18"/>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819A2" w:rsidRDefault="003819A2">
            <w:pPr>
              <w:jc w:val="center"/>
              <w:rPr>
                <w:rFonts w:ascii="Times New Roman" w:hAnsi="Times New Roman" w:cs="Times New Roman"/>
                <w:sz w:val="18"/>
                <w:szCs w:val="18"/>
              </w:rPr>
            </w:pPr>
          </w:p>
        </w:tc>
        <w:tc>
          <w:tcPr>
            <w:tcW w:w="1134" w:type="dxa"/>
            <w:tcBorders>
              <w:top w:val="single" w:sz="4" w:space="0" w:color="auto"/>
              <w:left w:val="nil"/>
              <w:bottom w:val="single" w:sz="4" w:space="0" w:color="auto"/>
              <w:right w:val="single" w:sz="4" w:space="0" w:color="auto"/>
            </w:tcBorders>
            <w:shd w:val="clear" w:color="auto" w:fill="auto"/>
            <w:hideMark/>
          </w:tcPr>
          <w:p w:rsidR="003819A2" w:rsidRDefault="00153AA5">
            <w:pPr>
              <w:jc w:val="center"/>
              <w:rPr>
                <w:rFonts w:ascii="Times New Roman" w:hAnsi="Times New Roman" w:cs="Times New Roman"/>
                <w:sz w:val="18"/>
                <w:szCs w:val="18"/>
              </w:rPr>
            </w:pPr>
            <w:r>
              <w:rPr>
                <w:rFonts w:ascii="Times New Roman" w:hAnsi="Times New Roman" w:cs="Times New Roman"/>
                <w:b/>
                <w:bCs/>
                <w:sz w:val="18"/>
                <w:szCs w:val="18"/>
              </w:rPr>
              <w:t>&lt;ц&gt;</w:t>
            </w:r>
            <w:r>
              <w:rPr>
                <w:rFonts w:ascii="Times New Roman" w:hAnsi="Times New Roman" w:cs="Times New Roman"/>
                <w:b/>
                <w:bCs/>
                <w:sz w:val="18"/>
                <w:szCs w:val="18"/>
              </w:rPr>
              <w:t xml:space="preserve"> - средн. арифм. величина цены единицы прод-ции, руб.</w:t>
            </w:r>
          </w:p>
        </w:tc>
        <w:tc>
          <w:tcPr>
            <w:tcW w:w="1418" w:type="dxa"/>
            <w:tcBorders>
              <w:top w:val="single" w:sz="4" w:space="0" w:color="auto"/>
              <w:left w:val="nil"/>
              <w:bottom w:val="single" w:sz="4" w:space="0" w:color="auto"/>
              <w:right w:val="single" w:sz="4" w:space="0" w:color="auto"/>
            </w:tcBorders>
            <w:shd w:val="clear" w:color="auto" w:fill="auto"/>
            <w:hideMark/>
          </w:tcPr>
          <w:p w:rsidR="003819A2" w:rsidRDefault="00153AA5">
            <w:pPr>
              <w:jc w:val="center"/>
              <w:rPr>
                <w:rFonts w:ascii="Times New Roman" w:hAnsi="Times New Roman" w:cs="Times New Roman"/>
                <w:sz w:val="18"/>
                <w:szCs w:val="18"/>
              </w:rPr>
            </w:pPr>
            <w:r>
              <w:rPr>
                <w:rFonts w:ascii="Times New Roman" w:hAnsi="Times New Roman" w:cs="Times New Roman"/>
                <w:noProof/>
                <w:sz w:val="18"/>
                <w:szCs w:val="18"/>
                <w:lang w:bidi="ar-SA"/>
              </w:rPr>
              <w:drawing>
                <wp:anchor distT="0" distB="0" distL="114300" distR="114300" simplePos="0" relativeHeight="251671552" behindDoc="0" locked="0" layoutInCell="1" allowOverlap="1">
                  <wp:simplePos x="0" y="0"/>
                  <wp:positionH relativeFrom="column">
                    <wp:posOffset>81915</wp:posOffset>
                  </wp:positionH>
                  <wp:positionV relativeFrom="paragraph">
                    <wp:posOffset>464185</wp:posOffset>
                  </wp:positionV>
                  <wp:extent cx="725170" cy="333375"/>
                  <wp:effectExtent l="0" t="0" r="0" b="9525"/>
                  <wp:wrapNone/>
                  <wp:docPr id="13" name="Рисунок 13" descr="C:\Temp\KClipboardExport\sssqsznq.gif"/>
                  <wp:cNvGraphicFramePr/>
                  <a:graphic xmlns:a="http://schemas.openxmlformats.org/drawingml/2006/main">
                    <a:graphicData uri="http://schemas.openxmlformats.org/drawingml/2006/picture">
                      <pic:pic xmlns:pic="http://schemas.openxmlformats.org/drawingml/2006/picture">
                        <pic:nvPicPr>
                          <pic:cNvPr id="11546" name="Picture 21" descr="C:\Temp\KClipboardExport\sssqsznq.gif"/>
                          <pic:cNvPicPr>
                            <a:picLocks noChangeAspect="1" noChangeArrowheads="1"/>
                          </pic:cNvPicPr>
                        </pic:nvPicPr>
                        <pic:blipFill>
                          <a:blip r:embed="rId10" cstate="print"/>
                          <a:srcRect/>
                          <a:stretch>
                            <a:fillRect/>
                          </a:stretch>
                        </pic:blipFill>
                        <pic:spPr bwMode="auto">
                          <a:xfrm>
                            <a:off x="0" y="0"/>
                            <a:ext cx="725170" cy="333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18"/>
                <w:szCs w:val="18"/>
              </w:rPr>
              <w:t>Среднее квадратичное отклонение</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noProof/>
                <w:sz w:val="18"/>
                <w:szCs w:val="18"/>
                <w:lang w:bidi="ar-SA"/>
              </w:rPr>
              <w:drawing>
                <wp:anchor distT="0" distB="0" distL="114300" distR="114300" simplePos="0" relativeHeight="251672576" behindDoc="0" locked="0" layoutInCell="1" allowOverlap="1">
                  <wp:simplePos x="0" y="0"/>
                  <wp:positionH relativeFrom="column">
                    <wp:posOffset>-2540</wp:posOffset>
                  </wp:positionH>
                  <wp:positionV relativeFrom="paragraph">
                    <wp:posOffset>289560</wp:posOffset>
                  </wp:positionV>
                  <wp:extent cx="657225" cy="333375"/>
                  <wp:effectExtent l="0" t="0" r="0" b="9525"/>
                  <wp:wrapNone/>
                  <wp:docPr id="14" name="Рисунок 14" descr="C:\Temp\KClipboardExport\8c4wnzhy.gif"/>
                  <wp:cNvGraphicFramePr/>
                  <a:graphic xmlns:a="http://schemas.openxmlformats.org/drawingml/2006/main">
                    <a:graphicData uri="http://schemas.openxmlformats.org/drawingml/2006/picture">
                      <pic:pic xmlns:pic="http://schemas.openxmlformats.org/drawingml/2006/picture">
                        <pic:nvPicPr>
                          <pic:cNvPr id="11547" name="Picture 19" descr="C:\Temp\KClipboardExport\8c4wnzhy.gif"/>
                          <pic:cNvPicPr>
                            <a:picLocks noChangeAspect="1" noChangeArrowheads="1"/>
                          </pic:cNvPicPr>
                        </pic:nvPicPr>
                        <pic:blipFill>
                          <a:blip r:embed="rId11" cstate="print"/>
                          <a:srcRect/>
                          <a:stretch>
                            <a:fillRect/>
                          </a:stretch>
                        </pic:blipFill>
                        <pic:spPr bwMode="auto">
                          <a:xfrm>
                            <a:off x="0" y="0"/>
                            <a:ext cx="657225" cy="333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18"/>
                <w:szCs w:val="18"/>
              </w:rPr>
              <w:t>V - коэф-нт вариации</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b/>
                <w:bCs/>
                <w:noProof/>
                <w:sz w:val="18"/>
                <w:szCs w:val="18"/>
                <w:lang w:bidi="ar-SA"/>
              </w:rPr>
              <w:drawing>
                <wp:anchor distT="0" distB="0" distL="114300" distR="114300" simplePos="0" relativeHeight="251670528" behindDoc="0" locked="0" layoutInCell="1" allowOverlap="1">
                  <wp:simplePos x="0" y="0"/>
                  <wp:positionH relativeFrom="column">
                    <wp:posOffset>-45085</wp:posOffset>
                  </wp:positionH>
                  <wp:positionV relativeFrom="paragraph">
                    <wp:posOffset>214630</wp:posOffset>
                  </wp:positionV>
                  <wp:extent cx="695325" cy="247650"/>
                  <wp:effectExtent l="0" t="0" r="0" b="0"/>
                  <wp:wrapNone/>
                  <wp:docPr id="15" name="Рисунок 15" descr="C:\Temp\KClipboardExport\7d4qbwfz.gif"/>
                  <wp:cNvGraphicFramePr/>
                  <a:graphic xmlns:a="http://schemas.openxmlformats.org/drawingml/2006/main">
                    <a:graphicData uri="http://schemas.openxmlformats.org/drawingml/2006/picture">
                      <pic:pic xmlns:pic="http://schemas.openxmlformats.org/drawingml/2006/picture">
                        <pic:nvPicPr>
                          <pic:cNvPr id="11545" name="Picture 1" descr="C:\Temp\KClipboardExport\7d4qbwfz.gif"/>
                          <pic:cNvPicPr>
                            <a:picLocks noChangeAspect="1" noChangeArrowheads="1"/>
                          </pic:cNvPicPr>
                        </pic:nvPicPr>
                        <pic:blipFill>
                          <a:blip r:embed="rId9" cstate="print"/>
                          <a:srcRect t="13635"/>
                          <a:stretch>
                            <a:fillRect/>
                          </a:stretch>
                        </pic:blipFill>
                        <pic:spPr bwMode="auto">
                          <a:xfrm>
                            <a:off x="0" y="0"/>
                            <a:ext cx="695325" cy="247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567" w:type="dxa"/>
            <w:gridSpan w:val="2"/>
            <w:tcBorders>
              <w:left w:val="nil"/>
              <w:bottom w:val="single" w:sz="4" w:space="0" w:color="auto"/>
              <w:right w:val="single" w:sz="4" w:space="0" w:color="auto"/>
            </w:tcBorders>
            <w:shd w:val="clear" w:color="000000" w:fill="FFFFFF"/>
            <w:vAlign w:val="center"/>
          </w:tcPr>
          <w:p w:rsidR="003819A2" w:rsidRDefault="003819A2">
            <w:pPr>
              <w:jc w:val="center"/>
              <w:rPr>
                <w:rFonts w:ascii="Times New Roman" w:hAnsi="Times New Roman" w:cs="Times New Roman"/>
                <w:b/>
                <w:bCs/>
                <w:sz w:val="18"/>
                <w:szCs w:val="18"/>
              </w:rPr>
            </w:pPr>
          </w:p>
        </w:tc>
      </w:tr>
      <w:tr w:rsidR="003819A2">
        <w:trPr>
          <w:trHeight w:val="300"/>
        </w:trPr>
        <w:tc>
          <w:tcPr>
            <w:tcW w:w="454" w:type="dxa"/>
            <w:tcBorders>
              <w:top w:val="nil"/>
              <w:left w:val="single" w:sz="4" w:space="0" w:color="auto"/>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1</w:t>
            </w:r>
          </w:p>
        </w:tc>
        <w:tc>
          <w:tcPr>
            <w:tcW w:w="1985" w:type="dxa"/>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2</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3</w:t>
            </w:r>
          </w:p>
        </w:tc>
        <w:tc>
          <w:tcPr>
            <w:tcW w:w="992" w:type="dxa"/>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4</w:t>
            </w:r>
          </w:p>
        </w:tc>
        <w:tc>
          <w:tcPr>
            <w:tcW w:w="992" w:type="dxa"/>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5</w:t>
            </w:r>
          </w:p>
        </w:tc>
        <w:tc>
          <w:tcPr>
            <w:tcW w:w="993" w:type="dxa"/>
            <w:tcBorders>
              <w:top w:val="single" w:sz="4" w:space="0" w:color="auto"/>
              <w:left w:val="nil"/>
              <w:bottom w:val="single" w:sz="4" w:space="0" w:color="auto"/>
              <w:right w:val="single" w:sz="4" w:space="0" w:color="auto"/>
            </w:tcBorders>
            <w:vAlign w:val="center"/>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7=3+4+5+6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8</w:t>
            </w:r>
          </w:p>
        </w:tc>
        <w:tc>
          <w:tcPr>
            <w:tcW w:w="850" w:type="dxa"/>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9= кол-во ответов ИЦИ</w:t>
            </w:r>
          </w:p>
        </w:tc>
        <w:tc>
          <w:tcPr>
            <w:tcW w:w="1134" w:type="dxa"/>
            <w:tcBorders>
              <w:top w:val="nil"/>
              <w:left w:val="nil"/>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sz w:val="18"/>
                <w:szCs w:val="18"/>
              </w:rPr>
            </w:pPr>
            <w:r>
              <w:rPr>
                <w:rFonts w:ascii="Times New Roman" w:hAnsi="Times New Roman" w:cs="Times New Roman"/>
                <w:b/>
                <w:bCs/>
                <w:i/>
                <w:iCs/>
                <w:sz w:val="18"/>
                <w:szCs w:val="18"/>
              </w:rPr>
              <w:t>10</w:t>
            </w:r>
          </w:p>
        </w:tc>
        <w:tc>
          <w:tcPr>
            <w:tcW w:w="1418" w:type="dxa"/>
            <w:tcBorders>
              <w:top w:val="nil"/>
              <w:left w:val="nil"/>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11</w:t>
            </w:r>
          </w:p>
        </w:tc>
        <w:tc>
          <w:tcPr>
            <w:tcW w:w="1417" w:type="dxa"/>
            <w:gridSpan w:val="2"/>
            <w:tcBorders>
              <w:top w:val="nil"/>
              <w:left w:val="nil"/>
              <w:bottom w:val="single" w:sz="4" w:space="0" w:color="auto"/>
              <w:right w:val="single" w:sz="4" w:space="0" w:color="auto"/>
            </w:tcBorders>
            <w:shd w:val="clear" w:color="auto" w:fill="auto"/>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12</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13=7*8/9</w:t>
            </w:r>
          </w:p>
        </w:tc>
        <w:tc>
          <w:tcPr>
            <w:tcW w:w="567" w:type="dxa"/>
            <w:gridSpan w:val="2"/>
            <w:tcBorders>
              <w:top w:val="nil"/>
              <w:left w:val="nil"/>
              <w:bottom w:val="single" w:sz="4" w:space="0" w:color="auto"/>
              <w:right w:val="single" w:sz="4" w:space="0" w:color="auto"/>
            </w:tcBorders>
            <w:shd w:val="clear" w:color="000000" w:fill="FFFFFF"/>
            <w:vAlign w:val="center"/>
          </w:tcPr>
          <w:p w:rsidR="003819A2" w:rsidRDefault="00153AA5">
            <w:pPr>
              <w:jc w:val="center"/>
              <w:rPr>
                <w:rFonts w:ascii="Times New Roman" w:hAnsi="Times New Roman" w:cs="Times New Roman"/>
                <w:b/>
                <w:bCs/>
                <w:i/>
                <w:iCs/>
                <w:sz w:val="18"/>
                <w:szCs w:val="18"/>
              </w:rPr>
            </w:pPr>
            <w:r>
              <w:rPr>
                <w:rFonts w:ascii="Times New Roman" w:hAnsi="Times New Roman" w:cs="Times New Roman"/>
                <w:b/>
                <w:bCs/>
                <w:i/>
                <w:iCs/>
                <w:sz w:val="18"/>
                <w:szCs w:val="18"/>
              </w:rPr>
              <w:t>13</w:t>
            </w:r>
          </w:p>
        </w:tc>
      </w:tr>
      <w:tr w:rsidR="003819A2">
        <w:trPr>
          <w:trHeight w:val="300"/>
        </w:trPr>
        <w:tc>
          <w:tcPr>
            <w:tcW w:w="454" w:type="dxa"/>
            <w:tcBorders>
              <w:top w:val="nil"/>
              <w:left w:val="single" w:sz="4" w:space="0" w:color="auto"/>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b/>
                <w:bCs/>
                <w:iCs/>
                <w:sz w:val="18"/>
                <w:szCs w:val="18"/>
              </w:rPr>
            </w:pPr>
            <w:r>
              <w:rPr>
                <w:rFonts w:ascii="Times New Roman" w:hAnsi="Times New Roman" w:cs="Times New Roman"/>
                <w:b/>
                <w:bCs/>
                <w:iCs/>
                <w:sz w:val="18"/>
                <w:szCs w:val="18"/>
              </w:rPr>
              <w:t>1</w:t>
            </w:r>
          </w:p>
        </w:tc>
        <w:tc>
          <w:tcPr>
            <w:tcW w:w="1985" w:type="dxa"/>
            <w:tcBorders>
              <w:top w:val="single" w:sz="4" w:space="0" w:color="auto"/>
              <w:left w:val="nil"/>
              <w:bottom w:val="single" w:sz="4" w:space="0" w:color="auto"/>
              <w:right w:val="single" w:sz="4" w:space="0" w:color="auto"/>
            </w:tcBorders>
            <w:shd w:val="clear" w:color="auto" w:fill="auto"/>
            <w:vAlign w:val="center"/>
          </w:tcPr>
          <w:p w:rsidR="003819A2" w:rsidRDefault="00153AA5">
            <w:pPr>
              <w:rPr>
                <w:rFonts w:ascii="Times New Roman" w:hAnsi="Times New Roman" w:cs="Times New Roman"/>
                <w:sz w:val="18"/>
                <w:szCs w:val="18"/>
              </w:rPr>
            </w:pPr>
            <w:r>
              <w:rPr>
                <w:rFonts w:ascii="Times New Roman" w:hAnsi="Times New Roman" w:cs="Times New Roman"/>
                <w:sz w:val="18"/>
                <w:szCs w:val="18"/>
              </w:rPr>
              <w:t>Дальномер лазерный</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19A2" w:rsidRDefault="00153AA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4490,00</w:t>
            </w:r>
          </w:p>
        </w:tc>
        <w:tc>
          <w:tcPr>
            <w:tcW w:w="992" w:type="dxa"/>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4490,00</w:t>
            </w:r>
          </w:p>
        </w:tc>
        <w:tc>
          <w:tcPr>
            <w:tcW w:w="992" w:type="dxa"/>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4633,44</w:t>
            </w:r>
          </w:p>
        </w:tc>
        <w:tc>
          <w:tcPr>
            <w:tcW w:w="993" w:type="dxa"/>
            <w:tcBorders>
              <w:top w:val="single" w:sz="4" w:space="0" w:color="auto"/>
              <w:left w:val="nil"/>
              <w:bottom w:val="single" w:sz="4" w:space="0" w:color="auto"/>
              <w:right w:val="single" w:sz="4" w:space="0" w:color="auto"/>
            </w:tcBorders>
            <w:shd w:val="clear" w:color="auto" w:fill="auto"/>
            <w:vAlign w:val="center"/>
          </w:tcPr>
          <w:p w:rsidR="003819A2" w:rsidRDefault="003819A2">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13613,44</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19A2" w:rsidRDefault="00153AA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4537,81</w:t>
            </w:r>
          </w:p>
        </w:tc>
        <w:tc>
          <w:tcPr>
            <w:tcW w:w="1418" w:type="dxa"/>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82,82</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20"/>
                <w:szCs w:val="20"/>
              </w:rPr>
            </w:pPr>
            <w:r>
              <w:rPr>
                <w:rFonts w:ascii="Times New Roman" w:hAnsi="Times New Roman" w:cs="Times New Roman"/>
                <w:sz w:val="20"/>
                <w:szCs w:val="20"/>
              </w:rPr>
              <w:t>1,83%</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18"/>
                <w:szCs w:val="18"/>
              </w:rPr>
            </w:pPr>
            <w:r>
              <w:rPr>
                <w:rFonts w:ascii="Times New Roman" w:hAnsi="Times New Roman" w:cs="Times New Roman"/>
                <w:sz w:val="18"/>
                <w:szCs w:val="18"/>
              </w:rPr>
              <w:t>9075,62</w:t>
            </w:r>
          </w:p>
        </w:tc>
        <w:tc>
          <w:tcPr>
            <w:tcW w:w="567" w:type="dxa"/>
            <w:gridSpan w:val="2"/>
            <w:tcBorders>
              <w:top w:val="single" w:sz="4" w:space="0" w:color="auto"/>
              <w:left w:val="nil"/>
              <w:bottom w:val="single" w:sz="4" w:space="0" w:color="auto"/>
              <w:right w:val="single" w:sz="4" w:space="0" w:color="auto"/>
            </w:tcBorders>
            <w:shd w:val="clear" w:color="auto" w:fill="auto"/>
            <w:vAlign w:val="center"/>
          </w:tcPr>
          <w:p w:rsidR="003819A2" w:rsidRDefault="00153AA5">
            <w:pPr>
              <w:jc w:val="center"/>
              <w:rPr>
                <w:rFonts w:ascii="Times New Roman" w:hAnsi="Times New Roman" w:cs="Times New Roman"/>
                <w:sz w:val="18"/>
                <w:szCs w:val="18"/>
              </w:rPr>
            </w:pPr>
            <w:r>
              <w:rPr>
                <w:rFonts w:ascii="Times New Roman" w:hAnsi="Times New Roman" w:cs="Times New Roman"/>
                <w:sz w:val="18"/>
                <w:szCs w:val="18"/>
              </w:rPr>
              <w:t>шт</w:t>
            </w:r>
          </w:p>
        </w:tc>
      </w:tr>
      <w:tr w:rsidR="003819A2">
        <w:trPr>
          <w:trHeight w:val="510"/>
        </w:trPr>
        <w:tc>
          <w:tcPr>
            <w:tcW w:w="12078" w:type="dxa"/>
            <w:gridSpan w:val="13"/>
            <w:tcBorders>
              <w:top w:val="single" w:sz="4" w:space="0" w:color="auto"/>
              <w:left w:val="single" w:sz="4" w:space="0" w:color="auto"/>
              <w:bottom w:val="single" w:sz="4" w:space="0" w:color="auto"/>
              <w:right w:val="nil"/>
            </w:tcBorders>
          </w:tcPr>
          <w:p w:rsidR="003819A2" w:rsidRDefault="00153AA5">
            <w:pPr>
              <w:jc w:val="right"/>
              <w:rPr>
                <w:rFonts w:ascii="Times New Roman" w:hAnsi="Times New Roman" w:cs="Times New Roman"/>
                <w:b/>
                <w:bCs/>
                <w:sz w:val="18"/>
                <w:szCs w:val="18"/>
              </w:rPr>
            </w:pPr>
            <w:r>
              <w:rPr>
                <w:rFonts w:ascii="Times New Roman" w:hAnsi="Times New Roman" w:cs="Times New Roman"/>
                <w:b/>
                <w:bCs/>
                <w:sz w:val="18"/>
                <w:szCs w:val="18"/>
              </w:rPr>
              <w:t>Начальная (максимальная) цена контракта, руб.</w:t>
            </w:r>
          </w:p>
        </w:tc>
        <w:tc>
          <w:tcPr>
            <w:tcW w:w="1417" w:type="dxa"/>
            <w:gridSpan w:val="2"/>
            <w:tcBorders>
              <w:top w:val="nil"/>
              <w:left w:val="nil"/>
              <w:bottom w:val="single" w:sz="4" w:space="0" w:color="auto"/>
              <w:right w:val="single" w:sz="4" w:space="0" w:color="auto"/>
            </w:tcBorders>
            <w:shd w:val="clear" w:color="auto" w:fill="auto"/>
            <w:vAlign w:val="center"/>
            <w:hideMark/>
          </w:tcPr>
          <w:p w:rsidR="003819A2" w:rsidRDefault="003819A2">
            <w:pPr>
              <w:jc w:val="center"/>
              <w:rPr>
                <w:rFonts w:ascii="Times New Roman" w:hAnsi="Times New Roman" w:cs="Times New Roman"/>
                <w:b/>
                <w:bCs/>
                <w:sz w:val="18"/>
                <w:szCs w:val="18"/>
              </w:rPr>
            </w:pPr>
          </w:p>
        </w:tc>
        <w:tc>
          <w:tcPr>
            <w:tcW w:w="1418" w:type="dxa"/>
            <w:gridSpan w:val="2"/>
            <w:tcBorders>
              <w:top w:val="nil"/>
              <w:left w:val="nil"/>
              <w:bottom w:val="single" w:sz="4" w:space="0" w:color="auto"/>
              <w:right w:val="single" w:sz="4" w:space="0" w:color="auto"/>
            </w:tcBorders>
            <w:shd w:val="clear" w:color="000000" w:fill="FFFFFF"/>
            <w:vAlign w:val="center"/>
          </w:tcPr>
          <w:p w:rsidR="003819A2" w:rsidRDefault="00153AA5">
            <w:pPr>
              <w:jc w:val="center"/>
              <w:rPr>
                <w:rFonts w:ascii="Times New Roman" w:hAnsi="Times New Roman" w:cs="Times New Roman"/>
                <w:b/>
                <w:bCs/>
                <w:sz w:val="18"/>
                <w:szCs w:val="18"/>
              </w:rPr>
            </w:pPr>
            <w:r>
              <w:rPr>
                <w:rFonts w:ascii="Times New Roman" w:hAnsi="Times New Roman" w:cs="Times New Roman"/>
                <w:b/>
                <w:sz w:val="18"/>
                <w:szCs w:val="18"/>
              </w:rPr>
              <w:t>9075,62</w:t>
            </w:r>
          </w:p>
        </w:tc>
        <w:tc>
          <w:tcPr>
            <w:tcW w:w="567" w:type="dxa"/>
            <w:gridSpan w:val="2"/>
            <w:tcBorders>
              <w:top w:val="nil"/>
              <w:left w:val="nil"/>
              <w:bottom w:val="single" w:sz="4" w:space="0" w:color="auto"/>
              <w:right w:val="single" w:sz="4" w:space="0" w:color="auto"/>
            </w:tcBorders>
            <w:shd w:val="clear" w:color="000000" w:fill="FFFFFF"/>
          </w:tcPr>
          <w:p w:rsidR="003819A2" w:rsidRDefault="003819A2">
            <w:pPr>
              <w:jc w:val="center"/>
              <w:rPr>
                <w:rFonts w:ascii="Times New Roman" w:hAnsi="Times New Roman" w:cs="Times New Roman"/>
                <w:b/>
                <w:bCs/>
                <w:sz w:val="18"/>
                <w:szCs w:val="18"/>
              </w:rPr>
            </w:pPr>
          </w:p>
        </w:tc>
      </w:tr>
    </w:tbl>
    <w:p w:rsidR="003819A2" w:rsidRDefault="003819A2">
      <w:pPr>
        <w:autoSpaceDE w:val="0"/>
        <w:autoSpaceDN w:val="0"/>
        <w:adjustRightInd w:val="0"/>
        <w:spacing w:before="240"/>
        <w:jc w:val="both"/>
        <w:rPr>
          <w:rFonts w:ascii="Times New Roman" w:hAnsi="Times New Roman" w:cs="Times New Roman"/>
        </w:rPr>
      </w:pPr>
    </w:p>
    <w:sectPr w:rsidR="003819A2">
      <w:headerReference w:type="default" r:id="rId12"/>
      <w:type w:val="continuous"/>
      <w:pgSz w:w="16838" w:h="11906" w:orient="landscape" w:code="9"/>
      <w:pgMar w:top="1134" w:right="820" w:bottom="567" w:left="1134" w:header="397" w:footer="39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AA5" w:rsidRDefault="00153AA5">
      <w:r>
        <w:separator/>
      </w:r>
    </w:p>
  </w:endnote>
  <w:endnote w:type="continuationSeparator" w:id="0">
    <w:p w:rsidR="00153AA5" w:rsidRDefault="0015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AA5" w:rsidRDefault="00153AA5">
      <w:r>
        <w:separator/>
      </w:r>
    </w:p>
  </w:footnote>
  <w:footnote w:type="continuationSeparator" w:id="0">
    <w:p w:rsidR="00153AA5" w:rsidRDefault="00153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9A2" w:rsidRDefault="00153AA5">
    <w:pPr>
      <w:pStyle w:val="a5"/>
      <w:jc w:val="center"/>
    </w:pPr>
    <w:r>
      <w:fldChar w:fldCharType="begin"/>
    </w:r>
    <w:r>
      <w:instrText>PAGE   \* MERGEFORMAT</w:instrText>
    </w:r>
    <w:r>
      <w:fldChar w:fldCharType="separate"/>
    </w:r>
    <w:r>
      <w:rPr>
        <w:noProof/>
      </w:rPr>
      <w:t>4</w:t>
    </w:r>
    <w:r>
      <w:fldChar w:fldCharType="end"/>
    </w:r>
  </w:p>
  <w:p w:rsidR="003819A2" w:rsidRDefault="003819A2">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770353845"/>
      <w:docPartObj>
        <w:docPartGallery w:val="Page Numbers (Top of Page)"/>
        <w:docPartUnique/>
      </w:docPartObj>
    </w:sdtPr>
    <w:sdtEndPr/>
    <w:sdtContent>
      <w:p w:rsidR="003819A2" w:rsidRDefault="00153AA5">
        <w:pPr>
          <w:pStyle w:val="a5"/>
          <w:jc w:val="right"/>
          <w:rPr>
            <w:sz w:val="20"/>
            <w:szCs w:val="20"/>
          </w:rPr>
        </w:pPr>
        <w:r>
          <w:rPr>
            <w:sz w:val="20"/>
            <w:szCs w:val="20"/>
          </w:rPr>
          <w:fldChar w:fldCharType="begin"/>
        </w:r>
        <w:r>
          <w:rPr>
            <w:sz w:val="20"/>
            <w:szCs w:val="20"/>
          </w:rPr>
          <w:instrText>PAGE   \* MERGEFORMAT</w:instrText>
        </w:r>
        <w:r>
          <w:rPr>
            <w:sz w:val="20"/>
            <w:szCs w:val="20"/>
          </w:rPr>
          <w:fldChar w:fldCharType="separate"/>
        </w:r>
        <w:r w:rsidR="00612200">
          <w:rPr>
            <w:noProof/>
            <w:sz w:val="20"/>
            <w:szCs w:val="20"/>
          </w:rPr>
          <w:t>1</w:t>
        </w:r>
        <w:r>
          <w:rPr>
            <w:sz w:val="20"/>
            <w:szCs w:val="20"/>
          </w:rPr>
          <w:fldChar w:fldCharType="end"/>
        </w:r>
      </w:p>
    </w:sdtContent>
  </w:sdt>
  <w:p w:rsidR="003819A2" w:rsidRDefault="003819A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9A2" w:rsidRDefault="003819A2">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9A2"/>
    <w:rsid w:val="00153AA5"/>
    <w:rsid w:val="003819A2"/>
    <w:rsid w:val="00612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98A17B-66B7-4BB5-AB53-87BFC3E07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iPriority w:val="9"/>
    <w:unhideWhenUsed/>
    <w:qFormat/>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1,Текст сноски Знак2,Текст сноски Знак1 Знак1,Текст сноски Знак Знак Знак1,Знак4 Знак Знак Знак1,Текст сноски Знак1 Знак Знак"/>
    <w:basedOn w:val="a"/>
    <w:link w:val="a4"/>
    <w:uiPriority w:val="99"/>
    <w:qFormat/>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1 Знак,Текст сноски Знак2 Знак,Текст сноски Знак1 Знак1 Знак,Знак4 Знак Знак Знак1 Знак"/>
    <w:basedOn w:val="a0"/>
    <w:link w:val="a3"/>
    <w:uiPriority w:val="99"/>
    <w:rPr>
      <w:rFonts w:ascii="Times New Roman" w:eastAsia="Times New Roman" w:hAnsi="Times New Roman" w:cs="Times New Roman"/>
      <w:sz w:val="20"/>
      <w:szCs w:val="20"/>
    </w:rPr>
  </w:style>
  <w:style w:type="character" w:customStyle="1" w:styleId="30">
    <w:name w:val="Заголовок 3 Знак"/>
    <w:basedOn w:val="a0"/>
    <w:link w:val="3"/>
    <w:uiPriority w:val="9"/>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Courier New" w:eastAsia="Courier New" w:hAnsi="Courier New" w:cs="Courier New"/>
      <w:color w:val="000000"/>
      <w:sz w:val="24"/>
      <w:szCs w:val="24"/>
      <w:lang w:eastAsia="ru-RU" w:bidi="ru-RU"/>
    </w:rPr>
  </w:style>
  <w:style w:type="character" w:styleId="a9">
    <w:name w:val="Hyperlink"/>
    <w:basedOn w:val="a0"/>
    <w:uiPriority w:val="99"/>
    <w:unhideWhenUsed/>
    <w:rPr>
      <w:color w:val="0563C1" w:themeColor="hyperlink"/>
      <w:u w:val="single"/>
    </w:rPr>
  </w:style>
  <w:style w:type="character" w:styleId="aa">
    <w:name w:val="footnote reference"/>
    <w:basedOn w:val="a0"/>
    <w:uiPriority w:val="99"/>
    <w:semiHidden/>
    <w:unhideWhenUsed/>
    <w:rPr>
      <w:vertAlign w:val="superscript"/>
    </w:rPr>
  </w:style>
  <w:style w:type="character" w:styleId="ab">
    <w:name w:val="FollowedHyperlink"/>
    <w:basedOn w:val="a0"/>
    <w:uiPriority w:val="99"/>
    <w:semiHidden/>
    <w:unhideWhenUsed/>
    <w:rPr>
      <w:color w:val="954F72" w:themeColor="followedHyperlink"/>
      <w:u w:val="single"/>
    </w:rPr>
  </w:style>
  <w:style w:type="paragraph" w:styleId="ac">
    <w:name w:val="Balloon Text"/>
    <w:basedOn w:val="a"/>
    <w:link w:val="ad"/>
    <w:uiPriority w:val="99"/>
    <w:semiHidden/>
    <w:unhideWhenUsed/>
    <w:rPr>
      <w:rFonts w:ascii="Segoe UI" w:hAnsi="Segoe UI" w:cs="Segoe UI"/>
      <w:sz w:val="18"/>
      <w:szCs w:val="18"/>
    </w:rPr>
  </w:style>
  <w:style w:type="character" w:customStyle="1" w:styleId="ad">
    <w:name w:val="Текст выноски Знак"/>
    <w:basedOn w:val="a0"/>
    <w:link w:val="ac"/>
    <w:uiPriority w:val="99"/>
    <w:semiHidden/>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8292">
      <w:bodyDiv w:val="1"/>
      <w:marLeft w:val="0"/>
      <w:marRight w:val="0"/>
      <w:marTop w:val="0"/>
      <w:marBottom w:val="0"/>
      <w:divBdr>
        <w:top w:val="none" w:sz="0" w:space="0" w:color="auto"/>
        <w:left w:val="none" w:sz="0" w:space="0" w:color="auto"/>
        <w:bottom w:val="none" w:sz="0" w:space="0" w:color="auto"/>
        <w:right w:val="none" w:sz="0" w:space="0" w:color="auto"/>
      </w:divBdr>
    </w:div>
    <w:div w:id="324482238">
      <w:bodyDiv w:val="1"/>
      <w:marLeft w:val="0"/>
      <w:marRight w:val="0"/>
      <w:marTop w:val="0"/>
      <w:marBottom w:val="0"/>
      <w:divBdr>
        <w:top w:val="none" w:sz="0" w:space="0" w:color="auto"/>
        <w:left w:val="none" w:sz="0" w:space="0" w:color="auto"/>
        <w:bottom w:val="none" w:sz="0" w:space="0" w:color="auto"/>
        <w:right w:val="none" w:sz="0" w:space="0" w:color="auto"/>
      </w:divBdr>
    </w:div>
    <w:div w:id="675153686">
      <w:bodyDiv w:val="1"/>
      <w:marLeft w:val="0"/>
      <w:marRight w:val="0"/>
      <w:marTop w:val="0"/>
      <w:marBottom w:val="0"/>
      <w:divBdr>
        <w:top w:val="none" w:sz="0" w:space="0" w:color="auto"/>
        <w:left w:val="none" w:sz="0" w:space="0" w:color="auto"/>
        <w:bottom w:val="none" w:sz="0" w:space="0" w:color="auto"/>
        <w:right w:val="none" w:sz="0" w:space="0" w:color="auto"/>
      </w:divBdr>
    </w:div>
    <w:div w:id="726420213">
      <w:bodyDiv w:val="1"/>
      <w:marLeft w:val="0"/>
      <w:marRight w:val="0"/>
      <w:marTop w:val="0"/>
      <w:marBottom w:val="0"/>
      <w:divBdr>
        <w:top w:val="none" w:sz="0" w:space="0" w:color="auto"/>
        <w:left w:val="none" w:sz="0" w:space="0" w:color="auto"/>
        <w:bottom w:val="none" w:sz="0" w:space="0" w:color="auto"/>
        <w:right w:val="none" w:sz="0" w:space="0" w:color="auto"/>
      </w:divBdr>
    </w:div>
    <w:div w:id="746849056">
      <w:bodyDiv w:val="1"/>
      <w:marLeft w:val="0"/>
      <w:marRight w:val="0"/>
      <w:marTop w:val="0"/>
      <w:marBottom w:val="0"/>
      <w:divBdr>
        <w:top w:val="none" w:sz="0" w:space="0" w:color="auto"/>
        <w:left w:val="none" w:sz="0" w:space="0" w:color="auto"/>
        <w:bottom w:val="none" w:sz="0" w:space="0" w:color="auto"/>
        <w:right w:val="none" w:sz="0" w:space="0" w:color="auto"/>
      </w:divBdr>
    </w:div>
    <w:div w:id="748582407">
      <w:bodyDiv w:val="1"/>
      <w:marLeft w:val="0"/>
      <w:marRight w:val="0"/>
      <w:marTop w:val="0"/>
      <w:marBottom w:val="0"/>
      <w:divBdr>
        <w:top w:val="none" w:sz="0" w:space="0" w:color="auto"/>
        <w:left w:val="none" w:sz="0" w:space="0" w:color="auto"/>
        <w:bottom w:val="none" w:sz="0" w:space="0" w:color="auto"/>
        <w:right w:val="none" w:sz="0" w:space="0" w:color="auto"/>
      </w:divBdr>
    </w:div>
    <w:div w:id="1655794721">
      <w:bodyDiv w:val="1"/>
      <w:marLeft w:val="0"/>
      <w:marRight w:val="0"/>
      <w:marTop w:val="0"/>
      <w:marBottom w:val="0"/>
      <w:divBdr>
        <w:top w:val="none" w:sz="0" w:space="0" w:color="auto"/>
        <w:left w:val="none" w:sz="0" w:space="0" w:color="auto"/>
        <w:bottom w:val="none" w:sz="0" w:space="0" w:color="auto"/>
        <w:right w:val="none" w:sz="0" w:space="0" w:color="auto"/>
      </w:divBdr>
    </w:div>
    <w:div w:id="1765804185">
      <w:bodyDiv w:val="1"/>
      <w:marLeft w:val="0"/>
      <w:marRight w:val="0"/>
      <w:marTop w:val="0"/>
      <w:marBottom w:val="0"/>
      <w:divBdr>
        <w:top w:val="none" w:sz="0" w:space="0" w:color="auto"/>
        <w:left w:val="none" w:sz="0" w:space="0" w:color="auto"/>
        <w:bottom w:val="none" w:sz="0" w:space="0" w:color="auto"/>
        <w:right w:val="none" w:sz="0" w:space="0" w:color="auto"/>
      </w:divBdr>
    </w:div>
    <w:div w:id="1826319404">
      <w:bodyDiv w:val="1"/>
      <w:marLeft w:val="0"/>
      <w:marRight w:val="0"/>
      <w:marTop w:val="0"/>
      <w:marBottom w:val="0"/>
      <w:divBdr>
        <w:top w:val="none" w:sz="0" w:space="0" w:color="auto"/>
        <w:left w:val="none" w:sz="0" w:space="0" w:color="auto"/>
        <w:bottom w:val="none" w:sz="0" w:space="0" w:color="auto"/>
        <w:right w:val="none" w:sz="0" w:space="0" w:color="auto"/>
      </w:divBdr>
    </w:div>
    <w:div w:id="201132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E673C-7EFD-4E79-9826-0B727C4A7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Pages>
  <Words>497</Words>
  <Characters>2837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57</cp:revision>
  <cp:lastPrinted>2026-03-06T07:43:00Z</cp:lastPrinted>
  <dcterms:created xsi:type="dcterms:W3CDTF">2024-03-04T11:05:00Z</dcterms:created>
  <dcterms:modified xsi:type="dcterms:W3CDTF">2026-03-18T09:37:00Z</dcterms:modified>
</cp:coreProperties>
</file>