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3"/>
        <w:tabs>
          <w:tab w:val="left" w:pos="5670"/>
        </w:tabs>
        <w:spacing w:before="0" w:line="240" w:lineRule="auto"/>
        <w:rPr>
          <w:rFonts w:ascii="Times New Roman" w:hAnsi="Times New Roman" w:cs="Times New Roman"/>
          <w:color w:val="auto"/>
        </w:rPr>
      </w:pPr>
      <w:r>
        <w:rPr>
          <w:rFonts w:ascii="Times New Roman" w:hAnsi="Times New Roman" w:cs="Times New Roman"/>
          <w:color w:val="auto"/>
        </w:rPr>
        <w:t>Приложение № 2</w:t>
      </w:r>
    </w:p>
    <w:p>
      <w:pPr>
        <w:tabs>
          <w:tab w:val="left" w:pos="12165"/>
        </w:tabs>
        <w:autoSpaceDE w:val="0"/>
        <w:autoSpaceDN w:val="0"/>
        <w:adjustRightInd w:val="0"/>
        <w:rPr>
          <w:rFonts w:ascii="Times New Roman" w:hAnsi="Times New Roman" w:cs="Times New Roman"/>
          <w:b/>
          <w:color w:val="auto"/>
        </w:rPr>
      </w:pPr>
      <w:r>
        <w:rPr>
          <w:rFonts w:ascii="Times New Roman" w:hAnsi="Times New Roman" w:cs="Times New Roman"/>
          <w:b/>
          <w:color w:val="auto"/>
        </w:rPr>
        <w:tab/>
      </w:r>
    </w:p>
    <w:p>
      <w:pPr>
        <w:autoSpaceDE w:val="0"/>
        <w:autoSpaceDN w:val="0"/>
        <w:adjustRightInd w:val="0"/>
        <w:jc w:val="center"/>
        <w:rPr>
          <w:rFonts w:ascii="Times New Roman" w:hAnsi="Times New Roman" w:cs="Times New Roman"/>
          <w:b/>
          <w:color w:val="auto"/>
        </w:rPr>
      </w:pPr>
      <w:r>
        <w:rPr>
          <w:rFonts w:ascii="Times New Roman" w:hAnsi="Times New Roman" w:cs="Times New Roman"/>
          <w:b/>
          <w:color w:val="auto"/>
        </w:rPr>
        <w:t>ОБОСНОВАНИЕ НАЧАЛЬНОЙ (МАКСИМАЛЬНОЙ) ЦЕНЫ КОНТРАКТА</w:t>
      </w:r>
    </w:p>
    <w:p>
      <w:pPr>
        <w:tabs>
          <w:tab w:val="left" w:pos="12165"/>
        </w:tabs>
        <w:autoSpaceDE w:val="0"/>
        <w:autoSpaceDN w:val="0"/>
        <w:adjustRightInd w:val="0"/>
        <w:rPr>
          <w:rFonts w:ascii="Times New Roman" w:hAnsi="Times New Roman" w:cs="Times New Roman"/>
          <w:b/>
          <w:color w:val="auto"/>
        </w:rPr>
      </w:pPr>
    </w:p>
    <w:tbl>
      <w:tblPr>
        <w:tblW w:w="9632"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111"/>
        <w:gridCol w:w="5953"/>
      </w:tblGrid>
      <w:tr>
        <w:trPr>
          <w:trHeight w:val="4387"/>
        </w:trPr>
        <w:tc>
          <w:tcPr>
            <w:tcW w:w="568" w:type="dxa"/>
            <w:vAlign w:val="center"/>
          </w:tcPr>
          <w:p>
            <w:pPr>
              <w:outlineLvl w:val="0"/>
              <w:rPr>
                <w:rFonts w:ascii="Times New Roman" w:hAnsi="Times New Roman"/>
                <w:bCs/>
              </w:rPr>
            </w:pPr>
            <w:r>
              <w:rPr>
                <w:rFonts w:ascii="Times New Roman" w:hAnsi="Times New Roman"/>
                <w:bCs/>
              </w:rPr>
              <w:t>1</w:t>
            </w:r>
          </w:p>
        </w:tc>
        <w:tc>
          <w:tcPr>
            <w:tcW w:w="3111" w:type="dxa"/>
            <w:vAlign w:val="center"/>
          </w:tcPr>
          <w:p>
            <w:pPr>
              <w:jc w:val="center"/>
              <w:outlineLvl w:val="0"/>
              <w:rPr>
                <w:rFonts w:ascii="Times New Roman" w:hAnsi="Times New Roman"/>
                <w:bCs/>
              </w:rPr>
            </w:pPr>
            <w:r>
              <w:rPr>
                <w:rFonts w:ascii="Times New Roman" w:hAnsi="Times New Roman"/>
                <w:bCs/>
              </w:rPr>
              <w:t>Используемый метод определения начальной (максимальной) цены контракта</w:t>
            </w:r>
          </w:p>
        </w:tc>
        <w:tc>
          <w:tcPr>
            <w:tcW w:w="5953" w:type="dxa"/>
            <w:vAlign w:val="center"/>
          </w:tcPr>
          <w:p>
            <w:pPr>
              <w:pStyle w:val="a3"/>
              <w:jc w:val="both"/>
              <w:rPr>
                <w:color w:val="000000"/>
                <w:sz w:val="24"/>
                <w:szCs w:val="24"/>
                <w:lang w:eastAsia="ru-RU"/>
              </w:rPr>
            </w:pPr>
            <w:r>
              <w:rPr>
                <w:color w:val="000000"/>
                <w:sz w:val="24"/>
                <w:szCs w:val="24"/>
                <w:lang w:eastAsia="ru-RU"/>
              </w:rPr>
              <w:t>Метод сопоставимых рыночных цен (анализ рынка) – сбор и анализ общедоступной ценовой информации, к которой относится в том числе:</w:t>
            </w:r>
          </w:p>
          <w:p>
            <w:pPr>
              <w:pStyle w:val="a3"/>
              <w:jc w:val="both"/>
              <w:rPr>
                <w:color w:val="000000"/>
                <w:sz w:val="24"/>
                <w:szCs w:val="24"/>
                <w:lang w:eastAsia="ru-RU"/>
              </w:rPr>
            </w:pPr>
            <w:r>
              <w:rPr>
                <w:color w:val="000000"/>
                <w:sz w:val="24"/>
                <w:szCs w:val="24"/>
                <w:lang w:eastAsia="ru-RU"/>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  (п.3.7.4.1 Приказа МЭР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r>
      <w:tr>
        <w:trPr>
          <w:trHeight w:val="2806"/>
        </w:trPr>
        <w:tc>
          <w:tcPr>
            <w:tcW w:w="568" w:type="dxa"/>
            <w:vAlign w:val="center"/>
          </w:tcPr>
          <w:p>
            <w:pPr>
              <w:outlineLvl w:val="0"/>
              <w:rPr>
                <w:rFonts w:ascii="Times New Roman" w:hAnsi="Times New Roman"/>
                <w:bCs/>
              </w:rPr>
            </w:pPr>
            <w:r>
              <w:rPr>
                <w:rFonts w:ascii="Times New Roman" w:hAnsi="Times New Roman"/>
                <w:bCs/>
              </w:rPr>
              <w:t>2</w:t>
            </w:r>
          </w:p>
        </w:tc>
        <w:tc>
          <w:tcPr>
            <w:tcW w:w="3111" w:type="dxa"/>
            <w:vAlign w:val="center"/>
          </w:tcPr>
          <w:p>
            <w:pPr>
              <w:jc w:val="center"/>
              <w:outlineLvl w:val="0"/>
              <w:rPr>
                <w:rFonts w:ascii="Times New Roman" w:hAnsi="Times New Roman"/>
                <w:bCs/>
              </w:rPr>
            </w:pPr>
            <w:r>
              <w:rPr>
                <w:rFonts w:ascii="Times New Roman" w:hAnsi="Times New Roman"/>
                <w:bCs/>
              </w:rPr>
              <w:t>Порядок формирования начальной (максимальной) цены контракта</w:t>
            </w:r>
          </w:p>
        </w:tc>
        <w:tc>
          <w:tcPr>
            <w:tcW w:w="5953" w:type="dxa"/>
            <w:vAlign w:val="center"/>
          </w:tcPr>
          <w:p>
            <w:pPr>
              <w:pStyle w:val="a3"/>
              <w:jc w:val="both"/>
              <w:rPr>
                <w:sz w:val="24"/>
                <w:szCs w:val="24"/>
              </w:rPr>
            </w:pPr>
            <w:r>
              <w:rPr>
                <w:bCs/>
                <w:sz w:val="24"/>
                <w:szCs w:val="24"/>
              </w:rPr>
              <w:t xml:space="preserve">В начальную (максимальную) цену контракта включены </w:t>
            </w:r>
            <w:r>
              <w:rPr>
                <w:sz w:val="24"/>
                <w:szCs w:val="24"/>
              </w:rPr>
              <w:t>все расходы, в том числе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tc>
      </w:tr>
      <w:tr>
        <w:trPr>
          <w:trHeight w:val="971"/>
        </w:trPr>
        <w:tc>
          <w:tcPr>
            <w:tcW w:w="568" w:type="dxa"/>
            <w:vAlign w:val="center"/>
          </w:tcPr>
          <w:p>
            <w:pPr>
              <w:outlineLvl w:val="0"/>
              <w:rPr>
                <w:rFonts w:ascii="Times New Roman" w:hAnsi="Times New Roman"/>
                <w:bCs/>
              </w:rPr>
            </w:pPr>
            <w:r>
              <w:rPr>
                <w:rFonts w:ascii="Times New Roman" w:hAnsi="Times New Roman"/>
                <w:bCs/>
              </w:rPr>
              <w:t>3</w:t>
            </w:r>
          </w:p>
        </w:tc>
        <w:tc>
          <w:tcPr>
            <w:tcW w:w="3111" w:type="dxa"/>
            <w:vAlign w:val="center"/>
          </w:tcPr>
          <w:p>
            <w:pPr>
              <w:jc w:val="center"/>
              <w:outlineLvl w:val="0"/>
              <w:rPr>
                <w:rFonts w:ascii="Times New Roman" w:hAnsi="Times New Roman"/>
                <w:bCs/>
              </w:rPr>
            </w:pPr>
            <w:r>
              <w:rPr>
                <w:rFonts w:ascii="Times New Roman" w:hAnsi="Times New Roman"/>
                <w:bCs/>
              </w:rPr>
              <w:t xml:space="preserve">Начальная (максимальная) цена контракта, руб. </w:t>
            </w:r>
          </w:p>
        </w:tc>
        <w:tc>
          <w:tcPr>
            <w:tcW w:w="5953" w:type="dxa"/>
            <w:vAlign w:val="center"/>
          </w:tcPr>
          <w:p>
            <w:pPr>
              <w:jc w:val="center"/>
              <w:outlineLvl w:val="0"/>
              <w:rPr>
                <w:rFonts w:ascii="Times New Roman" w:hAnsi="Times New Roman"/>
                <w:bCs/>
                <w:sz w:val="28"/>
                <w:szCs w:val="28"/>
              </w:rPr>
            </w:pPr>
            <w:r>
              <w:rPr>
                <w:rFonts w:ascii="Times New Roman" w:hAnsi="Times New Roman" w:cs="Times New Roman"/>
                <w:sz w:val="28"/>
                <w:szCs w:val="28"/>
              </w:rPr>
              <w:t>53661,50</w:t>
            </w:r>
          </w:p>
        </w:tc>
      </w:tr>
    </w:tbl>
    <w:p>
      <w:pPr>
        <w:autoSpaceDE w:val="0"/>
        <w:autoSpaceDN w:val="0"/>
        <w:adjustRightInd w:val="0"/>
        <w:jc w:val="both"/>
        <w:rPr>
          <w:rFonts w:ascii="Times New Roman" w:hAnsi="Times New Roman" w:cs="Times New Roman"/>
        </w:rPr>
      </w:pPr>
    </w:p>
    <w:p>
      <w:pPr>
        <w:autoSpaceDE w:val="0"/>
        <w:autoSpaceDN w:val="0"/>
        <w:adjustRightInd w:val="0"/>
        <w:jc w:val="both"/>
        <w:rPr>
          <w:rFonts w:ascii="Times New Roman" w:hAnsi="Times New Roman" w:cs="Times New Roman"/>
        </w:rPr>
      </w:pPr>
      <w:r>
        <w:rPr>
          <w:rFonts w:ascii="Times New Roman" w:hAnsi="Times New Roman" w:cs="Times New Roman"/>
        </w:rPr>
        <w:t>Должностное лицо Заказчика, ответственное</w:t>
      </w:r>
    </w:p>
    <w:p>
      <w:pPr>
        <w:autoSpaceDE w:val="0"/>
        <w:autoSpaceDN w:val="0"/>
        <w:adjustRightInd w:val="0"/>
        <w:jc w:val="both"/>
        <w:rPr>
          <w:rFonts w:ascii="Times New Roman" w:hAnsi="Times New Roman" w:cs="Times New Roman"/>
        </w:rPr>
      </w:pPr>
      <w:r>
        <w:rPr>
          <w:rFonts w:ascii="Times New Roman" w:hAnsi="Times New Roman" w:cs="Times New Roman"/>
        </w:rPr>
        <w:t xml:space="preserve">за соблюдение требований при обосновании </w:t>
      </w:r>
    </w:p>
    <w:p>
      <w:pPr>
        <w:autoSpaceDE w:val="0"/>
        <w:autoSpaceDN w:val="0"/>
        <w:adjustRightInd w:val="0"/>
        <w:jc w:val="both"/>
        <w:rPr>
          <w:rFonts w:ascii="Times New Roman" w:hAnsi="Times New Roman" w:cs="Times New Roman"/>
        </w:rPr>
      </w:pPr>
      <w:r>
        <w:rPr>
          <w:rFonts w:ascii="Times New Roman" w:hAnsi="Times New Roman" w:cs="Times New Roman"/>
        </w:rPr>
        <w:t xml:space="preserve">начальной (максимальной) цены контракта, </w:t>
      </w:r>
    </w:p>
    <w:p>
      <w:pPr>
        <w:autoSpaceDE w:val="0"/>
        <w:autoSpaceDN w:val="0"/>
        <w:adjustRightInd w:val="0"/>
        <w:jc w:val="both"/>
        <w:rPr>
          <w:rFonts w:ascii="Times New Roman" w:hAnsi="Times New Roman" w:cs="Times New Roman"/>
        </w:rPr>
      </w:pPr>
      <w:r>
        <w:rPr>
          <w:rFonts w:ascii="Times New Roman" w:hAnsi="Times New Roman" w:cs="Times New Roman"/>
        </w:rPr>
        <w:t xml:space="preserve">установленных законодательством Российской Федерации </w:t>
      </w:r>
    </w:p>
    <w:p>
      <w:pPr>
        <w:autoSpaceDE w:val="0"/>
        <w:autoSpaceDN w:val="0"/>
        <w:adjustRightInd w:val="0"/>
        <w:jc w:val="both"/>
        <w:rPr>
          <w:rFonts w:ascii="Times New Roman" w:hAnsi="Times New Roman" w:cs="Times New Roman"/>
        </w:rPr>
      </w:pPr>
      <w:r>
        <w:rPr>
          <w:rFonts w:ascii="Times New Roman" w:hAnsi="Times New Roman" w:cs="Times New Roman"/>
        </w:rPr>
        <w:t>о контрактной системе в сфере закупок:</w:t>
      </w:r>
    </w:p>
    <w:p>
      <w:pPr>
        <w:autoSpaceDE w:val="0"/>
        <w:autoSpaceDN w:val="0"/>
        <w:adjustRightInd w:val="0"/>
        <w:jc w:val="both"/>
        <w:rPr>
          <w:rFonts w:ascii="Times New Roman" w:hAnsi="Times New Roman" w:cs="Times New Roman"/>
        </w:rPr>
      </w:pPr>
    </w:p>
    <w:p>
      <w:pPr>
        <w:autoSpaceDE w:val="0"/>
        <w:autoSpaceDN w:val="0"/>
        <w:adjustRightInd w:val="0"/>
        <w:jc w:val="both"/>
        <w:rPr>
          <w:rFonts w:ascii="Times New Roman" w:hAnsi="Times New Roman" w:cs="Times New Roman"/>
        </w:rPr>
      </w:pPr>
    </w:p>
    <w:p>
      <w:pPr>
        <w:autoSpaceDE w:val="0"/>
        <w:autoSpaceDN w:val="0"/>
        <w:adjustRightInd w:val="0"/>
        <w:jc w:val="both"/>
        <w:rPr>
          <w:rFonts w:ascii="Times New Roman" w:hAnsi="Times New Roman" w:cs="Times New Roman"/>
        </w:rPr>
      </w:pPr>
      <w:r>
        <w:rPr>
          <w:rFonts w:ascii="Times New Roman" w:hAnsi="Times New Roman" w:cs="Times New Roman"/>
        </w:rPr>
        <w:t xml:space="preserve">И. о. зам. начальника ОМТО _______________ / </w:t>
      </w:r>
      <w:r>
        <w:rPr>
          <w:rFonts w:ascii="Times New Roman" w:hAnsi="Times New Roman" w:cs="Times New Roman"/>
          <w:iCs/>
        </w:rPr>
        <w:t>Соловьева В.А.</w:t>
      </w:r>
    </w:p>
    <w:p>
      <w:pPr>
        <w:tabs>
          <w:tab w:val="left" w:pos="12165"/>
        </w:tabs>
        <w:autoSpaceDE w:val="0"/>
        <w:autoSpaceDN w:val="0"/>
        <w:adjustRightInd w:val="0"/>
        <w:rPr>
          <w:rFonts w:ascii="Times New Roman" w:hAnsi="Times New Roman" w:cs="Times New Roman"/>
        </w:rPr>
      </w:pPr>
      <w:r>
        <w:rPr>
          <w:rFonts w:ascii="Times New Roman" w:hAnsi="Times New Roman" w:cs="Times New Roman"/>
        </w:rPr>
        <w:t>«___»  марта  2026 г</w:t>
      </w:r>
    </w:p>
    <w:p>
      <w:pPr>
        <w:jc w:val="center"/>
        <w:rPr>
          <w:rFonts w:ascii="Times New Roman" w:hAnsi="Times New Roman" w:cs="Times New Roman"/>
          <w:b/>
        </w:rPr>
      </w:pPr>
    </w:p>
    <w:p>
      <w:pPr>
        <w:jc w:val="center"/>
        <w:rPr>
          <w:rFonts w:ascii="Times New Roman" w:hAnsi="Times New Roman" w:cs="Times New Roman"/>
          <w:b/>
        </w:rPr>
        <w:sectPr>
          <w:headerReference w:type="default" r:id="rId9"/>
          <w:headerReference w:type="first" r:id="rId10"/>
          <w:type w:val="continuous"/>
          <w:pgSz w:w="11906" w:h="16838" w:code="9"/>
          <w:pgMar w:top="284" w:right="567" w:bottom="1134" w:left="1134" w:header="397" w:footer="397" w:gutter="0"/>
          <w:cols w:space="720"/>
          <w:titlePg/>
          <w:docGrid w:linePitch="299"/>
        </w:sectPr>
      </w:pPr>
    </w:p>
    <w:p>
      <w:pPr>
        <w:jc w:val="center"/>
        <w:rPr>
          <w:rFonts w:ascii="Times New Roman" w:hAnsi="Times New Roman" w:cs="Times New Roman"/>
          <w:b/>
        </w:rPr>
      </w:pPr>
      <w:r>
        <w:rPr>
          <w:rFonts w:ascii="Times New Roman" w:hAnsi="Times New Roman" w:cs="Times New Roman"/>
          <w:b/>
        </w:rPr>
        <w:lastRenderedPageBreak/>
        <w:t>Обоснование и расчет начальной (максимальной) цены контракта</w:t>
      </w:r>
    </w:p>
    <w:p>
      <w:pPr>
        <w:ind w:firstLine="567"/>
        <w:jc w:val="center"/>
        <w:rPr>
          <w:rFonts w:ascii="Times New Roman" w:hAnsi="Times New Roman" w:cs="Times New Roman"/>
          <w:sz w:val="22"/>
        </w:rPr>
      </w:pPr>
      <w:r>
        <w:rPr>
          <w:rFonts w:ascii="Times New Roman" w:hAnsi="Times New Roman" w:cs="Times New Roman"/>
          <w:sz w:val="22"/>
        </w:rPr>
        <w:t xml:space="preserve">на поставку </w:t>
      </w:r>
      <w:r>
        <w:rPr>
          <w:rFonts w:ascii="Times New Roman" w:hAnsi="Times New Roman" w:cs="Times New Roman"/>
          <w:b/>
          <w:sz w:val="22"/>
        </w:rPr>
        <w:t>эмали</w:t>
      </w:r>
      <w:r>
        <w:rPr>
          <w:rFonts w:ascii="Times New Roman" w:hAnsi="Times New Roman" w:cs="Times New Roman"/>
          <w:sz w:val="22"/>
        </w:rPr>
        <w:t xml:space="preserve"> Красногвардейскому РЖА для нужд Санкт-Петербурга в 2026 году.</w:t>
      </w:r>
    </w:p>
    <w:p>
      <w:pPr>
        <w:ind w:firstLine="567"/>
        <w:jc w:val="center"/>
        <w:rPr>
          <w:rFonts w:ascii="Times New Roman" w:hAnsi="Times New Roman" w:cs="Times New Roman"/>
          <w:b/>
          <w:sz w:val="22"/>
        </w:rPr>
      </w:pPr>
      <w:r>
        <w:rPr>
          <w:rFonts w:ascii="Times New Roman" w:hAnsi="Times New Roman" w:cs="Times New Roman"/>
          <w:b/>
        </w:rPr>
        <w:t>Метод сопоставимых рыночных цен (анализ рынка)</w:t>
      </w:r>
    </w:p>
    <w:p>
      <w:pPr>
        <w:widowControl/>
        <w:shd w:val="clear" w:color="auto" w:fill="FFFFFF"/>
        <w:jc w:val="center"/>
        <w:outlineLvl w:val="0"/>
        <w:rPr>
          <w:rFonts w:ascii="Times New Roman" w:eastAsia="Times New Roman" w:hAnsi="Times New Roman" w:cs="Times New Roman"/>
          <w:bCs/>
          <w:color w:val="auto"/>
          <w:lang w:eastAsia="en-US" w:bidi="ar-SA"/>
        </w:rPr>
      </w:pPr>
      <w:r>
        <w:rPr>
          <w:rFonts w:ascii="Times New Roman" w:eastAsia="Times New Roman" w:hAnsi="Times New Roman" w:cs="Times New Roman"/>
          <w:bCs/>
          <w:color w:val="auto"/>
          <w:lang w:eastAsia="en-US" w:bidi="ar-SA"/>
        </w:rPr>
        <w:t>сбор и анализ общедоступной ценовой информации, к которой относится в том числе:</w:t>
      </w:r>
    </w:p>
    <w:p>
      <w:pPr>
        <w:widowControl/>
        <w:shd w:val="clear" w:color="auto" w:fill="FFFFFF"/>
        <w:jc w:val="center"/>
        <w:outlineLvl w:val="0"/>
        <w:rPr>
          <w:rFonts w:ascii="Times New Roman" w:eastAsia="Times New Roman" w:hAnsi="Times New Roman" w:cs="Times New Roman"/>
          <w:bCs/>
          <w:color w:val="auto"/>
          <w:lang w:eastAsia="en-US" w:bidi="ar-SA"/>
        </w:rPr>
      </w:pPr>
      <w:r>
        <w:rPr>
          <w:rFonts w:ascii="Times New Roman" w:eastAsia="Times New Roman" w:hAnsi="Times New Roman" w:cs="Times New Roman"/>
          <w:bCs/>
          <w:color w:val="auto"/>
          <w:lang w:eastAsia="en-US" w:bidi="ar-SA"/>
        </w:rPr>
        <w:t xml:space="preserve">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 </w:t>
      </w:r>
    </w:p>
    <w:p>
      <w:pPr>
        <w:jc w:val="center"/>
        <w:outlineLvl w:val="0"/>
        <w:rPr>
          <w:rFonts w:ascii="Times New Roman" w:hAnsi="Times New Roman"/>
          <w:b/>
          <w:bCs/>
        </w:rPr>
      </w:pPr>
    </w:p>
    <w:p>
      <w:pPr>
        <w:jc w:val="center"/>
        <w:outlineLvl w:val="0"/>
        <w:rPr>
          <w:rFonts w:ascii="Times New Roman" w:hAnsi="Times New Roman"/>
          <w:b/>
          <w:bCs/>
        </w:rPr>
      </w:pPr>
      <w:r>
        <w:rPr>
          <w:rFonts w:ascii="Times New Roman" w:hAnsi="Times New Roman"/>
          <w:b/>
          <w:bCs/>
        </w:rPr>
        <w:t>Заказчиком была получена информация которая имеется в свободном доступе в частности, размещенная на сайтах в сети "Интернет", проведено исследование сайтов поставщиков, обладающих опытом поставок соответствующих товаров,</w:t>
      </w:r>
    </w:p>
    <w:p>
      <w:pPr>
        <w:jc w:val="center"/>
        <w:outlineLvl w:val="0"/>
      </w:pPr>
      <w:r>
        <w:rPr>
          <w:rFonts w:ascii="Times New Roman" w:hAnsi="Times New Roman"/>
          <w:b/>
          <w:bCs/>
        </w:rPr>
        <w:t>(информация использована с 4 сайтов сети Интернет) 17.03.2026</w:t>
      </w:r>
    </w:p>
    <w:tbl>
      <w:tblPr>
        <w:tblW w:w="14743" w:type="dxa"/>
        <w:tblInd w:w="-176" w:type="dxa"/>
        <w:tblLayout w:type="fixed"/>
        <w:tblLook w:val="04A0" w:firstRow="1" w:lastRow="0" w:firstColumn="1" w:lastColumn="0" w:noHBand="0" w:noVBand="1"/>
      </w:tblPr>
      <w:tblGrid>
        <w:gridCol w:w="585"/>
        <w:gridCol w:w="1811"/>
        <w:gridCol w:w="976"/>
        <w:gridCol w:w="976"/>
        <w:gridCol w:w="976"/>
        <w:gridCol w:w="976"/>
        <w:gridCol w:w="1119"/>
        <w:gridCol w:w="828"/>
        <w:gridCol w:w="851"/>
        <w:gridCol w:w="1110"/>
        <w:gridCol w:w="1121"/>
        <w:gridCol w:w="1096"/>
        <w:gridCol w:w="1463"/>
        <w:gridCol w:w="855"/>
      </w:tblGrid>
      <w:tr>
        <w:trPr>
          <w:trHeight w:val="1028"/>
        </w:trPr>
        <w:tc>
          <w:tcPr>
            <w:tcW w:w="5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w:t>
            </w:r>
            <w:proofErr w:type="gramStart"/>
            <w:r>
              <w:rPr>
                <w:rFonts w:ascii="Times New Roman" w:eastAsia="Times New Roman" w:hAnsi="Times New Roman" w:cs="Times New Roman"/>
                <w:b/>
                <w:bCs/>
                <w:sz w:val="18"/>
                <w:szCs w:val="18"/>
              </w:rPr>
              <w:t>п</w:t>
            </w:r>
            <w:proofErr w:type="gramEnd"/>
            <w:r>
              <w:rPr>
                <w:rFonts w:ascii="Times New Roman" w:eastAsia="Times New Roman" w:hAnsi="Times New Roman" w:cs="Times New Roman"/>
                <w:b/>
                <w:bCs/>
                <w:sz w:val="18"/>
                <w:szCs w:val="18"/>
              </w:rPr>
              <w:t>/п</w:t>
            </w:r>
          </w:p>
        </w:tc>
        <w:tc>
          <w:tcPr>
            <w:tcW w:w="1813" w:type="dxa"/>
            <w:vMerge w:val="restart"/>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Наименование товара (работы, услуги)</w:t>
            </w:r>
          </w:p>
        </w:tc>
        <w:tc>
          <w:tcPr>
            <w:tcW w:w="977" w:type="dxa"/>
            <w:tcBorders>
              <w:top w:val="single" w:sz="4" w:space="0" w:color="auto"/>
              <w:left w:val="nil"/>
              <w:bottom w:val="single" w:sz="4" w:space="0" w:color="auto"/>
              <w:right w:val="nil"/>
            </w:tcBorders>
            <w:shd w:val="clear" w:color="000000" w:fill="FFFFFF"/>
          </w:tcPr>
          <w:p>
            <w:pPr>
              <w:jc w:val="center"/>
              <w:rPr>
                <w:rFonts w:ascii="Times New Roman" w:eastAsia="Times New Roman" w:hAnsi="Times New Roman" w:cs="Times New Roman"/>
                <w:b/>
                <w:bCs/>
                <w:sz w:val="18"/>
                <w:szCs w:val="18"/>
              </w:rPr>
            </w:pPr>
          </w:p>
        </w:tc>
        <w:tc>
          <w:tcPr>
            <w:tcW w:w="4047" w:type="dxa"/>
            <w:gridSpan w:val="4"/>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Номер источника ценовой информации (ИЦИ №i) и цена единицы товара, работы, услуги, представленная i-</w:t>
            </w:r>
            <w:proofErr w:type="spellStart"/>
            <w:r>
              <w:rPr>
                <w:rFonts w:ascii="Times New Roman" w:eastAsia="Times New Roman" w:hAnsi="Times New Roman" w:cs="Times New Roman"/>
                <w:b/>
                <w:bCs/>
                <w:sz w:val="18"/>
                <w:szCs w:val="18"/>
              </w:rPr>
              <w:t>тым</w:t>
            </w:r>
            <w:proofErr w:type="spellEnd"/>
            <w:r>
              <w:rPr>
                <w:rFonts w:ascii="Times New Roman" w:eastAsia="Times New Roman" w:hAnsi="Times New Roman" w:cs="Times New Roman"/>
                <w:b/>
                <w:bCs/>
                <w:sz w:val="18"/>
                <w:szCs w:val="18"/>
              </w:rPr>
              <w:t xml:space="preserve"> ИЦИ (</w:t>
            </w:r>
            <w:proofErr w:type="spellStart"/>
            <w:r>
              <w:rPr>
                <w:rFonts w:ascii="Times New Roman" w:eastAsia="Times New Roman" w:hAnsi="Times New Roman" w:cs="Times New Roman"/>
                <w:b/>
                <w:bCs/>
                <w:sz w:val="18"/>
                <w:szCs w:val="18"/>
              </w:rPr>
              <w:t>Цi</w:t>
            </w:r>
            <w:proofErr w:type="spellEnd"/>
            <w:r>
              <w:rPr>
                <w:rFonts w:ascii="Times New Roman" w:eastAsia="Times New Roman" w:hAnsi="Times New Roman" w:cs="Times New Roman"/>
                <w:b/>
                <w:bCs/>
                <w:sz w:val="18"/>
                <w:szCs w:val="18"/>
              </w:rPr>
              <w:t>), руб.</w:t>
            </w:r>
          </w:p>
        </w:tc>
        <w:tc>
          <w:tcPr>
            <w:tcW w:w="828" w:type="dxa"/>
            <w:vMerge w:val="restart"/>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v - кол-во (объем) закупаемого товара (работы, услуги), ед.</w:t>
            </w:r>
          </w:p>
        </w:tc>
        <w:tc>
          <w:tcPr>
            <w:tcW w:w="851" w:type="dxa"/>
            <w:vMerge w:val="restart"/>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n - кол-во значений, используемых в расчете</w:t>
            </w:r>
          </w:p>
        </w:tc>
        <w:tc>
          <w:tcPr>
            <w:tcW w:w="3327" w:type="dxa"/>
            <w:gridSpan w:val="3"/>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Определение однородности совокупности значений выявленных цен</w:t>
            </w:r>
          </w:p>
        </w:tc>
        <w:tc>
          <w:tcPr>
            <w:tcW w:w="1459" w:type="dxa"/>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noProof/>
                <w:sz w:val="18"/>
                <w:szCs w:val="18"/>
                <w:lang w:bidi="ar-SA"/>
              </w:rPr>
              <w:drawing>
                <wp:anchor distT="0" distB="0" distL="114300" distR="114300" simplePos="0" relativeHeight="251665408" behindDoc="0" locked="0" layoutInCell="1" allowOverlap="1">
                  <wp:simplePos x="0" y="0"/>
                  <wp:positionH relativeFrom="column">
                    <wp:posOffset>236220</wp:posOffset>
                  </wp:positionH>
                  <wp:positionV relativeFrom="paragraph">
                    <wp:posOffset>47625</wp:posOffset>
                  </wp:positionV>
                  <wp:extent cx="480060" cy="277495"/>
                  <wp:effectExtent l="0" t="0" r="0" b="0"/>
                  <wp:wrapNone/>
                  <wp:docPr id="29" name="Рисунок 29" descr="C:\Temp\KClipboardExport\7d4qbwfz.gif"/>
                  <wp:cNvGraphicFramePr/>
                  <a:graphic xmlns:a="http://schemas.openxmlformats.org/drawingml/2006/main">
                    <a:graphicData uri="http://schemas.openxmlformats.org/drawingml/2006/picture">
                      <pic:pic xmlns:pic="http://schemas.openxmlformats.org/drawingml/2006/picture">
                        <pic:nvPicPr>
                          <pic:cNvPr id="11549" name="Picture 1" descr="C:\Temp\KClipboardExport\7d4qbwfz.gif"/>
                          <pic:cNvPicPr>
                            <a:picLocks noChangeAspect="1" noChangeArrowheads="1"/>
                          </pic:cNvPicPr>
                        </pic:nvPicPr>
                        <pic:blipFill>
                          <a:blip r:embed="rId11"/>
                          <a:srcRect t="13635" r="56836" b="28496"/>
                          <a:stretch>
                            <a:fillRect/>
                          </a:stretch>
                        </pic:blipFill>
                        <pic:spPr bwMode="auto">
                          <a:xfrm>
                            <a:off x="0" y="0"/>
                            <a:ext cx="600075" cy="333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55" w:type="dxa"/>
            <w:vMerge w:val="restart"/>
            <w:tcBorders>
              <w:top w:val="single" w:sz="4" w:space="0" w:color="auto"/>
              <w:left w:val="nil"/>
              <w:right w:val="single" w:sz="4" w:space="0" w:color="auto"/>
            </w:tcBorders>
            <w:shd w:val="clear" w:color="000000" w:fill="FFFFFF"/>
          </w:tcPr>
          <w:p>
            <w:pPr>
              <w:jc w:val="center"/>
              <w:rPr>
                <w:rFonts w:ascii="Times New Roman" w:eastAsia="Times New Roman" w:hAnsi="Times New Roman" w:cs="Times New Roman"/>
                <w:noProof/>
                <w:sz w:val="18"/>
                <w:szCs w:val="18"/>
                <w:lang w:bidi="ar-SA"/>
              </w:rPr>
            </w:pPr>
          </w:p>
          <w:p>
            <w:pPr>
              <w:jc w:val="center"/>
              <w:rPr>
                <w:rFonts w:ascii="Times New Roman" w:eastAsia="Times New Roman" w:hAnsi="Times New Roman" w:cs="Times New Roman"/>
                <w:noProof/>
                <w:sz w:val="18"/>
                <w:szCs w:val="18"/>
                <w:lang w:bidi="ar-SA"/>
              </w:rPr>
            </w:pPr>
          </w:p>
          <w:p>
            <w:pPr>
              <w:jc w:val="center"/>
              <w:rPr>
                <w:rFonts w:ascii="Times New Roman" w:eastAsia="Times New Roman" w:hAnsi="Times New Roman" w:cs="Times New Roman"/>
                <w:noProof/>
                <w:sz w:val="18"/>
                <w:szCs w:val="18"/>
                <w:lang w:bidi="ar-SA"/>
              </w:rPr>
            </w:pPr>
          </w:p>
          <w:p>
            <w:pPr>
              <w:jc w:val="center"/>
              <w:rPr>
                <w:rFonts w:ascii="Times New Roman" w:eastAsia="Times New Roman" w:hAnsi="Times New Roman" w:cs="Times New Roman"/>
                <w:noProof/>
                <w:sz w:val="18"/>
                <w:szCs w:val="18"/>
                <w:lang w:bidi="ar-SA"/>
              </w:rPr>
            </w:pPr>
          </w:p>
          <w:p>
            <w:pPr>
              <w:jc w:val="center"/>
              <w:rPr>
                <w:rFonts w:ascii="Times New Roman" w:eastAsia="Times New Roman" w:hAnsi="Times New Roman" w:cs="Times New Roman"/>
                <w:noProof/>
                <w:sz w:val="18"/>
                <w:szCs w:val="18"/>
                <w:lang w:bidi="ar-SA"/>
              </w:rPr>
            </w:pPr>
          </w:p>
          <w:p>
            <w:pPr>
              <w:jc w:val="center"/>
              <w:rPr>
                <w:rFonts w:ascii="Times New Roman" w:eastAsia="Times New Roman" w:hAnsi="Times New Roman" w:cs="Times New Roman"/>
                <w:noProof/>
                <w:sz w:val="18"/>
                <w:szCs w:val="18"/>
                <w:lang w:bidi="ar-SA"/>
              </w:rPr>
            </w:pPr>
            <w:r>
              <w:rPr>
                <w:rFonts w:ascii="Times New Roman" w:eastAsia="Times New Roman" w:hAnsi="Times New Roman" w:cs="Times New Roman"/>
                <w:noProof/>
                <w:sz w:val="18"/>
                <w:szCs w:val="18"/>
                <w:lang w:bidi="ar-SA"/>
              </w:rPr>
              <w:t>Ед. измерения</w:t>
            </w:r>
          </w:p>
        </w:tc>
      </w:tr>
      <w:tr>
        <w:trPr>
          <w:trHeight w:val="1887"/>
        </w:trPr>
        <w:tc>
          <w:tcPr>
            <w:tcW w:w="586"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i/>
                <w:iCs/>
                <w:sz w:val="18"/>
                <w:szCs w:val="18"/>
              </w:rPr>
            </w:pPr>
          </w:p>
        </w:tc>
        <w:tc>
          <w:tcPr>
            <w:tcW w:w="1813" w:type="dxa"/>
            <w:vMerge/>
            <w:tcBorders>
              <w:top w:val="single" w:sz="4" w:space="0" w:color="auto"/>
              <w:left w:val="nil"/>
              <w:bottom w:val="single" w:sz="4" w:space="0" w:color="auto"/>
              <w:right w:val="single" w:sz="4" w:space="0" w:color="auto"/>
            </w:tcBorders>
            <w:shd w:val="clear" w:color="000000" w:fill="FFFFFF"/>
            <w:vAlign w:val="center"/>
            <w:hideMark/>
          </w:tcPr>
          <w:p>
            <w:pPr>
              <w:rPr>
                <w:rFonts w:ascii="Times New Roman" w:eastAsia="Times New Roman" w:hAnsi="Times New Roman" w:cs="Times New Roman"/>
                <w:sz w:val="18"/>
                <w:szCs w:val="18"/>
              </w:rPr>
            </w:pPr>
          </w:p>
        </w:tc>
        <w:tc>
          <w:tcPr>
            <w:tcW w:w="977" w:type="dxa"/>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ИЦИ №1</w:t>
            </w:r>
          </w:p>
        </w:tc>
        <w:tc>
          <w:tcPr>
            <w:tcW w:w="976" w:type="dxa"/>
            <w:tcBorders>
              <w:top w:val="single" w:sz="4" w:space="0" w:color="auto"/>
              <w:left w:val="nil"/>
              <w:bottom w:val="single" w:sz="4" w:space="0" w:color="auto"/>
              <w:right w:val="single" w:sz="4" w:space="0" w:color="auto"/>
            </w:tcBorders>
            <w:shd w:val="clear" w:color="000000" w:fill="FFFFFF"/>
            <w:vAlign w:val="center"/>
          </w:tcPr>
          <w:p>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ИЦИ №2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pPr>
              <w:jc w:val="center"/>
              <w:rPr>
                <w:rFonts w:ascii="Times New Roman" w:eastAsia="Times New Roman" w:hAnsi="Times New Roman" w:cs="Times New Roman"/>
                <w:b/>
                <w:bCs/>
                <w:sz w:val="18"/>
                <w:szCs w:val="18"/>
              </w:rPr>
            </w:pPr>
          </w:p>
          <w:p>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ИЦИ №3</w:t>
            </w:r>
          </w:p>
          <w:p>
            <w:pPr>
              <w:jc w:val="center"/>
              <w:rPr>
                <w:rFonts w:ascii="Times New Roman" w:eastAsia="Times New Roman" w:hAnsi="Times New Roman" w:cs="Times New Roman"/>
                <w:b/>
                <w:bCs/>
                <w:sz w:val="18"/>
                <w:szCs w:val="18"/>
              </w:rPr>
            </w:pPr>
          </w:p>
        </w:tc>
        <w:tc>
          <w:tcPr>
            <w:tcW w:w="976" w:type="dxa"/>
            <w:tcBorders>
              <w:top w:val="single" w:sz="4" w:space="0" w:color="auto"/>
              <w:left w:val="nil"/>
              <w:bottom w:val="single" w:sz="4" w:space="0" w:color="auto"/>
              <w:right w:val="single" w:sz="4" w:space="0" w:color="auto"/>
            </w:tcBorders>
            <w:shd w:val="clear" w:color="000000" w:fill="FFFFFF"/>
            <w:vAlign w:val="center"/>
          </w:tcPr>
          <w:p>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ИЦИ №4</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noProof/>
                <w:sz w:val="18"/>
                <w:szCs w:val="18"/>
                <w:lang w:bidi="ar-SA"/>
              </w:rPr>
              <w:drawing>
                <wp:anchor distT="0" distB="0" distL="114300" distR="114300" simplePos="0" relativeHeight="251666432" behindDoc="0" locked="0" layoutInCell="1" allowOverlap="1">
                  <wp:simplePos x="0" y="0"/>
                  <wp:positionH relativeFrom="column">
                    <wp:posOffset>117475</wp:posOffset>
                  </wp:positionH>
                  <wp:positionV relativeFrom="paragraph">
                    <wp:posOffset>323850</wp:posOffset>
                  </wp:positionV>
                  <wp:extent cx="457200" cy="333375"/>
                  <wp:effectExtent l="0" t="0" r="0" b="9525"/>
                  <wp:wrapNone/>
                  <wp:docPr id="30" name="Рисунок 30" descr="C:\Temp\KClipboardExport\l41eo45a.gif"/>
                  <wp:cNvGraphicFramePr/>
                  <a:graphic xmlns:a="http://schemas.openxmlformats.org/drawingml/2006/main">
                    <a:graphicData uri="http://schemas.openxmlformats.org/drawingml/2006/picture">
                      <pic:pic xmlns:pic="http://schemas.openxmlformats.org/drawingml/2006/picture">
                        <pic:nvPicPr>
                          <pic:cNvPr id="11544" name="Рисунок 1" descr="C:\Temp\KClipboardExport\l41eo45a.gif"/>
                          <pic:cNvPicPr>
                            <a:picLocks noChangeAspect="1" noChangeArrowheads="1"/>
                          </pic:cNvPicPr>
                        </pic:nvPicPr>
                        <pic:blipFill>
                          <a:blip r:embed="rId11"/>
                          <a:srcRect l="68182" t="17999" b="24001"/>
                          <a:stretch>
                            <a:fillRect/>
                          </a:stretch>
                        </pic:blipFill>
                        <pic:spPr bwMode="auto">
                          <a:xfrm>
                            <a:off x="0" y="0"/>
                            <a:ext cx="447675" cy="333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28" w:type="dxa"/>
            <w:vMerge/>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p>
        </w:tc>
        <w:tc>
          <w:tcPr>
            <w:tcW w:w="851" w:type="dxa"/>
            <w:vMerge/>
            <w:tcBorders>
              <w:top w:val="single" w:sz="4" w:space="0" w:color="auto"/>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p>
        </w:tc>
        <w:tc>
          <w:tcPr>
            <w:tcW w:w="1110"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 xml:space="preserve">&lt;ц&gt; - </w:t>
            </w:r>
            <w:proofErr w:type="spellStart"/>
            <w:r>
              <w:rPr>
                <w:rFonts w:ascii="Times New Roman" w:eastAsia="Times New Roman" w:hAnsi="Times New Roman" w:cs="Times New Roman"/>
                <w:b/>
                <w:bCs/>
                <w:sz w:val="18"/>
                <w:szCs w:val="18"/>
              </w:rPr>
              <w:t>средн</w:t>
            </w:r>
            <w:proofErr w:type="spellEnd"/>
            <w:r>
              <w:rPr>
                <w:rFonts w:ascii="Times New Roman" w:eastAsia="Times New Roman" w:hAnsi="Times New Roman" w:cs="Times New Roman"/>
                <w:b/>
                <w:bCs/>
                <w:sz w:val="18"/>
                <w:szCs w:val="18"/>
              </w:rPr>
              <w:t xml:space="preserve">. </w:t>
            </w:r>
            <w:proofErr w:type="spellStart"/>
            <w:r>
              <w:rPr>
                <w:rFonts w:ascii="Times New Roman" w:eastAsia="Times New Roman" w:hAnsi="Times New Roman" w:cs="Times New Roman"/>
                <w:b/>
                <w:bCs/>
                <w:sz w:val="18"/>
                <w:szCs w:val="18"/>
              </w:rPr>
              <w:t>арифм</w:t>
            </w:r>
            <w:proofErr w:type="spellEnd"/>
            <w:r>
              <w:rPr>
                <w:rFonts w:ascii="Times New Roman" w:eastAsia="Times New Roman" w:hAnsi="Times New Roman" w:cs="Times New Roman"/>
                <w:b/>
                <w:bCs/>
                <w:sz w:val="18"/>
                <w:szCs w:val="18"/>
              </w:rPr>
              <w:t xml:space="preserve">. величина цены единицы </w:t>
            </w:r>
            <w:proofErr w:type="spellStart"/>
            <w:r>
              <w:rPr>
                <w:rFonts w:ascii="Times New Roman" w:eastAsia="Times New Roman" w:hAnsi="Times New Roman" w:cs="Times New Roman"/>
                <w:b/>
                <w:bCs/>
                <w:sz w:val="18"/>
                <w:szCs w:val="18"/>
              </w:rPr>
              <w:t>прод-ции</w:t>
            </w:r>
            <w:proofErr w:type="spellEnd"/>
            <w:r>
              <w:rPr>
                <w:rFonts w:ascii="Times New Roman" w:eastAsia="Times New Roman" w:hAnsi="Times New Roman" w:cs="Times New Roman"/>
                <w:b/>
                <w:bCs/>
                <w:sz w:val="18"/>
                <w:szCs w:val="18"/>
              </w:rPr>
              <w:t>, руб.</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noProof/>
                <w:sz w:val="18"/>
                <w:szCs w:val="18"/>
                <w:lang w:bidi="ar-SA"/>
              </w:rPr>
              <w:drawing>
                <wp:anchor distT="0" distB="0" distL="114300" distR="114300" simplePos="0" relativeHeight="251667456" behindDoc="0" locked="0" layoutInCell="1" allowOverlap="1">
                  <wp:simplePos x="0" y="0"/>
                  <wp:positionH relativeFrom="column">
                    <wp:posOffset>30480</wp:posOffset>
                  </wp:positionH>
                  <wp:positionV relativeFrom="paragraph">
                    <wp:posOffset>614045</wp:posOffset>
                  </wp:positionV>
                  <wp:extent cx="561975" cy="278130"/>
                  <wp:effectExtent l="0" t="0" r="9525" b="7620"/>
                  <wp:wrapNone/>
                  <wp:docPr id="31" name="Рисунок 31" descr="C:\Temp\KClipboardExport\sssqsznq.gif"/>
                  <wp:cNvGraphicFramePr/>
                  <a:graphic xmlns:a="http://schemas.openxmlformats.org/drawingml/2006/main">
                    <a:graphicData uri="http://schemas.openxmlformats.org/drawingml/2006/picture">
                      <pic:pic xmlns:pic="http://schemas.openxmlformats.org/drawingml/2006/picture">
                        <pic:nvPicPr>
                          <pic:cNvPr id="11546" name="Picture 21" descr="C:\Temp\KClipboardExport\sssqsznq.gif"/>
                          <pic:cNvPicPr>
                            <a:picLocks noChangeAspect="1" noChangeArrowheads="1"/>
                          </pic:cNvPicPr>
                        </pic:nvPicPr>
                        <pic:blipFill>
                          <a:blip r:embed="rId12"/>
                          <a:srcRect/>
                          <a:stretch>
                            <a:fillRect/>
                          </a:stretch>
                        </pic:blipFill>
                        <pic:spPr bwMode="auto">
                          <a:xfrm>
                            <a:off x="0" y="0"/>
                            <a:ext cx="561975" cy="2781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sz w:val="18"/>
                <w:szCs w:val="18"/>
              </w:rPr>
              <w:t>Среднее квадратичное отклонение</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noProof/>
                <w:sz w:val="18"/>
                <w:szCs w:val="18"/>
                <w:lang w:bidi="ar-SA"/>
              </w:rPr>
              <w:drawing>
                <wp:anchor distT="0" distB="0" distL="114300" distR="114300" simplePos="0" relativeHeight="251668480" behindDoc="0" locked="0" layoutInCell="1" allowOverlap="1">
                  <wp:simplePos x="0" y="0"/>
                  <wp:positionH relativeFrom="column">
                    <wp:posOffset>-54610</wp:posOffset>
                  </wp:positionH>
                  <wp:positionV relativeFrom="paragraph">
                    <wp:posOffset>680085</wp:posOffset>
                  </wp:positionV>
                  <wp:extent cx="657225" cy="333375"/>
                  <wp:effectExtent l="0" t="0" r="9525" b="9525"/>
                  <wp:wrapNone/>
                  <wp:docPr id="11520" name="Рисунок 11520" descr="C:\Temp\KClipboardExport\8c4wnzhy.gif"/>
                  <wp:cNvGraphicFramePr/>
                  <a:graphic xmlns:a="http://schemas.openxmlformats.org/drawingml/2006/main">
                    <a:graphicData uri="http://schemas.openxmlformats.org/drawingml/2006/picture">
                      <pic:pic xmlns:pic="http://schemas.openxmlformats.org/drawingml/2006/picture">
                        <pic:nvPicPr>
                          <pic:cNvPr id="11547" name="Picture 19" descr="C:\Temp\KClipboardExport\8c4wnzhy.gif"/>
                          <pic:cNvPicPr>
                            <a:picLocks noChangeAspect="1" noChangeArrowheads="1"/>
                          </pic:cNvPicPr>
                        </pic:nvPicPr>
                        <pic:blipFill>
                          <a:blip r:embed="rId13"/>
                          <a:srcRect/>
                          <a:stretch>
                            <a:fillRect/>
                          </a:stretch>
                        </pic:blipFill>
                        <pic:spPr bwMode="auto">
                          <a:xfrm>
                            <a:off x="0" y="0"/>
                            <a:ext cx="657225" cy="333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sz w:val="18"/>
                <w:szCs w:val="18"/>
              </w:rPr>
              <w:t xml:space="preserve">V - </w:t>
            </w:r>
            <w:proofErr w:type="spellStart"/>
            <w:r>
              <w:rPr>
                <w:rFonts w:ascii="Times New Roman" w:eastAsia="Times New Roman" w:hAnsi="Times New Roman" w:cs="Times New Roman"/>
                <w:b/>
                <w:bCs/>
                <w:sz w:val="18"/>
                <w:szCs w:val="18"/>
              </w:rPr>
              <w:t>коэф-нт</w:t>
            </w:r>
            <w:proofErr w:type="spellEnd"/>
            <w:r>
              <w:rPr>
                <w:rFonts w:ascii="Times New Roman" w:eastAsia="Times New Roman" w:hAnsi="Times New Roman" w:cs="Times New Roman"/>
                <w:b/>
                <w:bCs/>
                <w:sz w:val="18"/>
                <w:szCs w:val="18"/>
              </w:rPr>
              <w:t xml:space="preserve"> вариации</w:t>
            </w:r>
          </w:p>
        </w:tc>
        <w:tc>
          <w:tcPr>
            <w:tcW w:w="1459"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b/>
                <w:bCs/>
                <w:noProof/>
                <w:sz w:val="18"/>
                <w:szCs w:val="18"/>
                <w:lang w:bidi="ar-SA"/>
              </w:rPr>
              <w:drawing>
                <wp:anchor distT="0" distB="0" distL="114300" distR="114300" simplePos="0" relativeHeight="251669504" behindDoc="0" locked="0" layoutInCell="1" allowOverlap="1">
                  <wp:simplePos x="0" y="0"/>
                  <wp:positionH relativeFrom="column">
                    <wp:posOffset>-52705</wp:posOffset>
                  </wp:positionH>
                  <wp:positionV relativeFrom="paragraph">
                    <wp:posOffset>450215</wp:posOffset>
                  </wp:positionV>
                  <wp:extent cx="882015" cy="327660"/>
                  <wp:effectExtent l="0" t="0" r="0" b="0"/>
                  <wp:wrapNone/>
                  <wp:docPr id="11521" name="Рисунок 11521" descr="C:\Temp\KClipboardExport\7d4qbwfz.gif"/>
                  <wp:cNvGraphicFramePr/>
                  <a:graphic xmlns:a="http://schemas.openxmlformats.org/drawingml/2006/main">
                    <a:graphicData uri="http://schemas.openxmlformats.org/drawingml/2006/picture">
                      <pic:pic xmlns:pic="http://schemas.openxmlformats.org/drawingml/2006/picture">
                        <pic:nvPicPr>
                          <pic:cNvPr id="11545" name="Picture 1" descr="C:\Temp\KClipboardExport\7d4qbwfz.gif"/>
                          <pic:cNvPicPr>
                            <a:picLocks noChangeAspect="1" noChangeArrowheads="1"/>
                          </pic:cNvPicPr>
                        </pic:nvPicPr>
                        <pic:blipFill>
                          <a:blip r:embed="rId11"/>
                          <a:srcRect t="13635"/>
                          <a:stretch>
                            <a:fillRect/>
                          </a:stretch>
                        </pic:blipFill>
                        <pic:spPr bwMode="auto">
                          <a:xfrm>
                            <a:off x="0" y="0"/>
                            <a:ext cx="981075" cy="3524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55" w:type="dxa"/>
            <w:vMerge/>
            <w:tcBorders>
              <w:left w:val="nil"/>
              <w:bottom w:val="single" w:sz="4" w:space="0" w:color="auto"/>
              <w:right w:val="single" w:sz="4" w:space="0" w:color="auto"/>
            </w:tcBorders>
            <w:shd w:val="clear" w:color="000000" w:fill="FFFFFF"/>
          </w:tcPr>
          <w:p>
            <w:pPr>
              <w:jc w:val="center"/>
              <w:rPr>
                <w:rFonts w:ascii="Times New Roman" w:eastAsia="Times New Roman" w:hAnsi="Times New Roman" w:cs="Times New Roman"/>
                <w:b/>
                <w:bCs/>
                <w:noProof/>
                <w:sz w:val="18"/>
                <w:szCs w:val="18"/>
                <w:lang w:bidi="ar-SA"/>
              </w:rPr>
            </w:pPr>
          </w:p>
        </w:tc>
      </w:tr>
      <w:tr>
        <w:trPr>
          <w:trHeight w:val="994"/>
        </w:trPr>
        <w:tc>
          <w:tcPr>
            <w:tcW w:w="586" w:type="dxa"/>
            <w:tcBorders>
              <w:top w:val="nil"/>
              <w:left w:val="single" w:sz="4" w:space="0" w:color="auto"/>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1</w:t>
            </w:r>
          </w:p>
        </w:tc>
        <w:tc>
          <w:tcPr>
            <w:tcW w:w="1813"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2</w:t>
            </w:r>
          </w:p>
        </w:tc>
        <w:tc>
          <w:tcPr>
            <w:tcW w:w="977"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3</w:t>
            </w:r>
          </w:p>
        </w:tc>
        <w:tc>
          <w:tcPr>
            <w:tcW w:w="976" w:type="dxa"/>
            <w:tcBorders>
              <w:top w:val="single" w:sz="4" w:space="0" w:color="auto"/>
              <w:left w:val="nil"/>
              <w:bottom w:val="single" w:sz="4" w:space="0" w:color="auto"/>
              <w:right w:val="single" w:sz="4" w:space="0" w:color="auto"/>
            </w:tcBorders>
            <w:shd w:val="clear" w:color="000000" w:fill="FFFFFF"/>
          </w:tcPr>
          <w:p>
            <w:pPr>
              <w:jc w:val="center"/>
              <w:rPr>
                <w:rFonts w:ascii="Times New Roman" w:eastAsia="Times New Roman" w:hAnsi="Times New Roman" w:cs="Times New Roman"/>
                <w:b/>
                <w:bCs/>
                <w:i/>
                <w:iCs/>
                <w:sz w:val="18"/>
                <w:szCs w:val="18"/>
              </w:rPr>
            </w:pP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4</w:t>
            </w:r>
          </w:p>
        </w:tc>
        <w:tc>
          <w:tcPr>
            <w:tcW w:w="976"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5</w:t>
            </w:r>
          </w:p>
        </w:tc>
        <w:tc>
          <w:tcPr>
            <w:tcW w:w="1119" w:type="dxa"/>
            <w:tcBorders>
              <w:top w:val="nil"/>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6=3+4+5</w:t>
            </w:r>
          </w:p>
        </w:tc>
        <w:tc>
          <w:tcPr>
            <w:tcW w:w="828"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7</w:t>
            </w:r>
          </w:p>
        </w:tc>
        <w:tc>
          <w:tcPr>
            <w:tcW w:w="851"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8 = кол-во ответов ИЦИ</w:t>
            </w:r>
          </w:p>
        </w:tc>
        <w:tc>
          <w:tcPr>
            <w:tcW w:w="1110" w:type="dxa"/>
            <w:tcBorders>
              <w:top w:val="nil"/>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sz w:val="18"/>
                <w:szCs w:val="18"/>
              </w:rPr>
            </w:pPr>
            <w:r>
              <w:rPr>
                <w:rFonts w:ascii="Times New Roman" w:eastAsia="Times New Roman" w:hAnsi="Times New Roman" w:cs="Times New Roman"/>
                <w:b/>
                <w:bCs/>
                <w:i/>
                <w:iCs/>
                <w:sz w:val="18"/>
                <w:szCs w:val="18"/>
              </w:rPr>
              <w:t>9</w:t>
            </w:r>
          </w:p>
        </w:tc>
        <w:tc>
          <w:tcPr>
            <w:tcW w:w="1121" w:type="dxa"/>
            <w:tcBorders>
              <w:top w:val="nil"/>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10</w:t>
            </w:r>
          </w:p>
        </w:tc>
        <w:tc>
          <w:tcPr>
            <w:tcW w:w="1096" w:type="dxa"/>
            <w:tcBorders>
              <w:top w:val="nil"/>
              <w:left w:val="nil"/>
              <w:bottom w:val="single" w:sz="4" w:space="0" w:color="auto"/>
              <w:right w:val="single" w:sz="4" w:space="0" w:color="auto"/>
            </w:tcBorders>
            <w:shd w:val="clear" w:color="auto" w:fill="auto"/>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11</w:t>
            </w:r>
          </w:p>
        </w:tc>
        <w:tc>
          <w:tcPr>
            <w:tcW w:w="1459" w:type="dxa"/>
            <w:tcBorders>
              <w:top w:val="nil"/>
              <w:left w:val="nil"/>
              <w:bottom w:val="single" w:sz="4" w:space="0" w:color="auto"/>
              <w:right w:val="single" w:sz="4" w:space="0" w:color="auto"/>
            </w:tcBorders>
            <w:shd w:val="clear" w:color="000000" w:fill="FFFFFF"/>
            <w:vAlign w:val="center"/>
            <w:hideMark/>
          </w:tcPr>
          <w:p>
            <w:pPr>
              <w:jc w:val="center"/>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12=6*8/9</w:t>
            </w:r>
          </w:p>
        </w:tc>
        <w:tc>
          <w:tcPr>
            <w:tcW w:w="855" w:type="dxa"/>
            <w:tcBorders>
              <w:top w:val="nil"/>
              <w:left w:val="nil"/>
              <w:bottom w:val="single" w:sz="4" w:space="0" w:color="auto"/>
              <w:right w:val="single" w:sz="4" w:space="0" w:color="auto"/>
            </w:tcBorders>
            <w:shd w:val="clear" w:color="000000" w:fill="FFFFFF"/>
          </w:tcPr>
          <w:p>
            <w:pPr>
              <w:jc w:val="center"/>
              <w:rPr>
                <w:rFonts w:ascii="Times New Roman" w:eastAsia="Times New Roman" w:hAnsi="Times New Roman" w:cs="Times New Roman"/>
                <w:b/>
                <w:bCs/>
                <w:i/>
                <w:iCs/>
                <w:sz w:val="18"/>
                <w:szCs w:val="18"/>
              </w:rPr>
            </w:pPr>
          </w:p>
          <w:p>
            <w:pPr>
              <w:jc w:val="center"/>
              <w:rPr>
                <w:rFonts w:ascii="Times New Roman" w:eastAsia="Times New Roman" w:hAnsi="Times New Roman" w:cs="Times New Roman"/>
                <w:b/>
                <w:bCs/>
                <w:i/>
                <w:iCs/>
                <w:sz w:val="18"/>
                <w:szCs w:val="18"/>
              </w:rPr>
            </w:pPr>
          </w:p>
          <w:p>
            <w:pPr>
              <w:jc w:val="center"/>
              <w:rPr>
                <w:rFonts w:ascii="Times New Roman" w:eastAsia="Times New Roman" w:hAnsi="Times New Roman" w:cs="Times New Roman"/>
                <w:b/>
                <w:bCs/>
                <w:i/>
                <w:iCs/>
                <w:sz w:val="18"/>
                <w:szCs w:val="18"/>
              </w:rPr>
            </w:pPr>
          </w:p>
        </w:tc>
      </w:tr>
      <w:tr>
        <w:trPr>
          <w:trHeight w:val="1138"/>
        </w:trPr>
        <w:tc>
          <w:tcPr>
            <w:tcW w:w="586" w:type="dxa"/>
            <w:tcBorders>
              <w:top w:val="nil"/>
              <w:left w:val="single" w:sz="4" w:space="0" w:color="auto"/>
              <w:bottom w:val="single" w:sz="4" w:space="0" w:color="auto"/>
              <w:right w:val="single" w:sz="4" w:space="0" w:color="auto"/>
            </w:tcBorders>
            <w:shd w:val="clear" w:color="000000" w:fill="FFFFFF"/>
            <w:vAlign w:val="center"/>
          </w:tcPr>
          <w:p>
            <w:pPr>
              <w:pStyle w:val="ae"/>
              <w:numPr>
                <w:ilvl w:val="0"/>
                <w:numId w:val="1"/>
              </w:numPr>
              <w:rPr>
                <w:rFonts w:ascii="Times New Roman" w:eastAsia="Times New Roman" w:hAnsi="Times New Roman" w:cs="Times New Roman"/>
                <w:b/>
                <w:bCs/>
                <w:sz w:val="18"/>
                <w:szCs w:val="18"/>
              </w:rPr>
            </w:pPr>
          </w:p>
        </w:tc>
        <w:tc>
          <w:tcPr>
            <w:tcW w:w="1813" w:type="dxa"/>
            <w:tcBorders>
              <w:top w:val="nil"/>
              <w:left w:val="nil"/>
              <w:bottom w:val="single" w:sz="4" w:space="0" w:color="auto"/>
              <w:right w:val="single" w:sz="4" w:space="0" w:color="auto"/>
            </w:tcBorders>
            <w:shd w:val="clear" w:color="000000" w:fill="FFFFFF"/>
            <w:vAlign w:val="center"/>
          </w:tcPr>
          <w:p>
            <w:pPr>
              <w:widowControl/>
              <w:jc w:val="center"/>
              <w:rPr>
                <w:rFonts w:ascii="Times New Roman" w:hAnsi="Times New Roman" w:cs="Times New Roman"/>
                <w:b/>
                <w:bCs/>
                <w:i/>
                <w:iCs/>
                <w:sz w:val="18"/>
                <w:szCs w:val="18"/>
              </w:rPr>
            </w:pPr>
            <w:r>
              <w:rPr>
                <w:rFonts w:ascii="Times New Roman" w:hAnsi="Times New Roman" w:cs="Times New Roman"/>
                <w:b/>
                <w:bCs/>
                <w:i/>
                <w:iCs/>
                <w:sz w:val="18"/>
                <w:szCs w:val="18"/>
              </w:rPr>
              <w:t xml:space="preserve">Эмаль </w:t>
            </w:r>
          </w:p>
        </w:tc>
        <w:tc>
          <w:tcPr>
            <w:tcW w:w="977"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529,00</w:t>
            </w:r>
          </w:p>
        </w:tc>
        <w:tc>
          <w:tcPr>
            <w:tcW w:w="976" w:type="dxa"/>
            <w:tcBorders>
              <w:top w:val="single" w:sz="4" w:space="0" w:color="auto"/>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465,00</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529,00</w:t>
            </w:r>
          </w:p>
        </w:tc>
        <w:tc>
          <w:tcPr>
            <w:tcW w:w="976"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386,10</w:t>
            </w:r>
          </w:p>
        </w:tc>
        <w:tc>
          <w:tcPr>
            <w:tcW w:w="1119"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sz w:val="18"/>
                <w:szCs w:val="18"/>
              </w:rPr>
            </w:pPr>
          </w:p>
        </w:tc>
        <w:tc>
          <w:tcPr>
            <w:tcW w:w="828"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s="Times New Roman"/>
                <w:sz w:val="18"/>
                <w:szCs w:val="18"/>
              </w:rPr>
            </w:pPr>
            <w:r>
              <w:rPr>
                <w:rFonts w:ascii="Times New Roman" w:hAnsi="Times New Roman" w:cs="Times New Roman"/>
                <w:sz w:val="18"/>
                <w:szCs w:val="18"/>
              </w:rPr>
              <w:t>477,28</w:t>
            </w:r>
          </w:p>
        </w:tc>
        <w:tc>
          <w:tcPr>
            <w:tcW w:w="1121" w:type="dxa"/>
            <w:tcBorders>
              <w:top w:val="single" w:sz="4" w:space="0" w:color="auto"/>
              <w:left w:val="nil"/>
              <w:bottom w:val="single" w:sz="4" w:space="0" w:color="auto"/>
              <w:right w:val="single" w:sz="4" w:space="0" w:color="auto"/>
            </w:tcBorders>
            <w:shd w:val="clear" w:color="auto" w:fill="auto"/>
            <w:vAlign w:val="center"/>
          </w:tcPr>
          <w:p>
            <w:pPr>
              <w:jc w:val="center"/>
              <w:rPr>
                <w:rFonts w:ascii="Times New Roman" w:hAnsi="Times New Roman" w:cs="Times New Roman"/>
                <w:sz w:val="18"/>
                <w:szCs w:val="18"/>
              </w:rPr>
            </w:pPr>
            <w:r>
              <w:rPr>
                <w:rFonts w:ascii="Times New Roman" w:hAnsi="Times New Roman" w:cs="Times New Roman"/>
                <w:sz w:val="18"/>
                <w:szCs w:val="18"/>
              </w:rPr>
              <w:t>67,86</w:t>
            </w:r>
          </w:p>
        </w:tc>
        <w:tc>
          <w:tcPr>
            <w:tcW w:w="1096" w:type="dxa"/>
            <w:tcBorders>
              <w:top w:val="single" w:sz="4" w:space="0" w:color="auto"/>
              <w:left w:val="nil"/>
              <w:bottom w:val="single" w:sz="4" w:space="0" w:color="auto"/>
              <w:right w:val="single" w:sz="4" w:space="0" w:color="auto"/>
            </w:tcBorders>
            <w:shd w:val="clear" w:color="auto" w:fill="auto"/>
            <w:vAlign w:val="center"/>
          </w:tcPr>
          <w:p>
            <w:pPr>
              <w:jc w:val="center"/>
              <w:rPr>
                <w:rFonts w:ascii="Times New Roman" w:hAnsi="Times New Roman" w:cs="Times New Roman"/>
                <w:sz w:val="18"/>
                <w:szCs w:val="18"/>
              </w:rPr>
            </w:pPr>
            <w:r>
              <w:rPr>
                <w:rFonts w:ascii="Times New Roman" w:hAnsi="Times New Roman" w:cs="Times New Roman"/>
                <w:sz w:val="18"/>
                <w:szCs w:val="18"/>
              </w:rPr>
              <w:t>14,22%</w:t>
            </w:r>
          </w:p>
        </w:tc>
        <w:tc>
          <w:tcPr>
            <w:tcW w:w="1459" w:type="dxa"/>
            <w:tcBorders>
              <w:top w:val="single" w:sz="4" w:space="0" w:color="auto"/>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23 864,00</w:t>
            </w:r>
          </w:p>
        </w:tc>
        <w:tc>
          <w:tcPr>
            <w:tcW w:w="855" w:type="dxa"/>
            <w:tcBorders>
              <w:top w:val="nil"/>
              <w:left w:val="nil"/>
              <w:bottom w:val="single" w:sz="4" w:space="0" w:color="auto"/>
              <w:right w:val="single" w:sz="4" w:space="0" w:color="auto"/>
            </w:tcBorders>
            <w:shd w:val="clear" w:color="000000" w:fill="FFFFFF"/>
            <w:vAlign w:val="center"/>
          </w:tcPr>
          <w:p>
            <w:pPr>
              <w:widowControl/>
              <w:jc w:val="center"/>
              <w:rPr>
                <w:rFonts w:ascii="Times New Roman" w:hAnsi="Times New Roman" w:cs="Times New Roman"/>
                <w:b/>
                <w:bCs/>
                <w:i/>
                <w:iCs/>
                <w:sz w:val="18"/>
                <w:szCs w:val="18"/>
              </w:rPr>
            </w:pPr>
            <w:proofErr w:type="spellStart"/>
            <w:proofErr w:type="gramStart"/>
            <w:r>
              <w:rPr>
                <w:rFonts w:ascii="Times New Roman" w:hAnsi="Times New Roman" w:cs="Times New Roman"/>
                <w:b/>
                <w:bCs/>
                <w:i/>
                <w:iCs/>
                <w:sz w:val="18"/>
                <w:szCs w:val="18"/>
              </w:rPr>
              <w:t>шт</w:t>
            </w:r>
            <w:proofErr w:type="spellEnd"/>
            <w:proofErr w:type="gramEnd"/>
          </w:p>
        </w:tc>
      </w:tr>
      <w:tr>
        <w:trPr>
          <w:trHeight w:val="1233"/>
        </w:trPr>
        <w:tc>
          <w:tcPr>
            <w:tcW w:w="586" w:type="dxa"/>
            <w:tcBorders>
              <w:top w:val="nil"/>
              <w:left w:val="single" w:sz="4" w:space="0" w:color="auto"/>
              <w:bottom w:val="single" w:sz="4" w:space="0" w:color="auto"/>
              <w:right w:val="single" w:sz="4" w:space="0" w:color="auto"/>
            </w:tcBorders>
            <w:shd w:val="clear" w:color="000000" w:fill="FFFFFF"/>
            <w:vAlign w:val="center"/>
          </w:tcPr>
          <w:p>
            <w:pPr>
              <w:pStyle w:val="ae"/>
              <w:numPr>
                <w:ilvl w:val="0"/>
                <w:numId w:val="1"/>
              </w:numPr>
              <w:rPr>
                <w:rFonts w:ascii="Times New Roman" w:eastAsia="Times New Roman" w:hAnsi="Times New Roman" w:cs="Times New Roman"/>
                <w:b/>
                <w:bCs/>
                <w:sz w:val="18"/>
                <w:szCs w:val="18"/>
              </w:rPr>
            </w:pPr>
          </w:p>
        </w:tc>
        <w:tc>
          <w:tcPr>
            <w:tcW w:w="1813" w:type="dxa"/>
            <w:tcBorders>
              <w:top w:val="nil"/>
              <w:left w:val="nil"/>
              <w:bottom w:val="single" w:sz="4" w:space="0" w:color="auto"/>
              <w:right w:val="single" w:sz="4" w:space="0" w:color="auto"/>
            </w:tcBorders>
            <w:shd w:val="clear" w:color="000000" w:fill="FFFFFF"/>
            <w:vAlign w:val="center"/>
          </w:tcPr>
          <w:p>
            <w:pPr>
              <w:widowControl/>
              <w:jc w:val="center"/>
              <w:rPr>
                <w:rFonts w:ascii="Times New Roman" w:hAnsi="Times New Roman" w:cs="Times New Roman"/>
                <w:b/>
                <w:bCs/>
                <w:i/>
                <w:iCs/>
                <w:sz w:val="18"/>
                <w:szCs w:val="18"/>
              </w:rPr>
            </w:pPr>
            <w:r>
              <w:rPr>
                <w:rFonts w:ascii="Times New Roman" w:hAnsi="Times New Roman" w:cs="Times New Roman"/>
                <w:b/>
                <w:bCs/>
                <w:i/>
                <w:iCs/>
                <w:sz w:val="18"/>
                <w:szCs w:val="18"/>
              </w:rPr>
              <w:t xml:space="preserve"> </w:t>
            </w:r>
            <w:proofErr w:type="spellStart"/>
            <w:r>
              <w:rPr>
                <w:rFonts w:ascii="Times New Roman" w:hAnsi="Times New Roman" w:cs="Times New Roman"/>
                <w:b/>
                <w:bCs/>
                <w:i/>
                <w:iCs/>
                <w:sz w:val="18"/>
                <w:szCs w:val="18"/>
              </w:rPr>
              <w:t>уай</w:t>
            </w:r>
            <w:proofErr w:type="gramStart"/>
            <w:r>
              <w:rPr>
                <w:rFonts w:ascii="Times New Roman" w:hAnsi="Times New Roman" w:cs="Times New Roman"/>
                <w:b/>
                <w:bCs/>
                <w:i/>
                <w:iCs/>
                <w:sz w:val="18"/>
                <w:szCs w:val="18"/>
              </w:rPr>
              <w:t>т</w:t>
            </w:r>
            <w:proofErr w:type="spellEnd"/>
            <w:r>
              <w:rPr>
                <w:rFonts w:ascii="Times New Roman" w:hAnsi="Times New Roman" w:cs="Times New Roman"/>
                <w:b/>
                <w:bCs/>
                <w:i/>
                <w:iCs/>
                <w:sz w:val="18"/>
                <w:szCs w:val="18"/>
              </w:rPr>
              <w:t>-</w:t>
            </w:r>
            <w:proofErr w:type="gramEnd"/>
            <w:r>
              <w:rPr>
                <w:rFonts w:ascii="Times New Roman" w:hAnsi="Times New Roman" w:cs="Times New Roman"/>
                <w:b/>
                <w:bCs/>
                <w:i/>
                <w:iCs/>
                <w:sz w:val="18"/>
                <w:szCs w:val="18"/>
              </w:rPr>
              <w:t xml:space="preserve"> спирит</w:t>
            </w:r>
          </w:p>
        </w:tc>
        <w:tc>
          <w:tcPr>
            <w:tcW w:w="977"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1068,00</w:t>
            </w:r>
          </w:p>
        </w:tc>
        <w:tc>
          <w:tcPr>
            <w:tcW w:w="976" w:type="dxa"/>
            <w:tcBorders>
              <w:top w:val="single" w:sz="4" w:space="0" w:color="auto"/>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1023,00</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1018,00</w:t>
            </w:r>
          </w:p>
        </w:tc>
        <w:tc>
          <w:tcPr>
            <w:tcW w:w="976"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864,00</w:t>
            </w:r>
          </w:p>
        </w:tc>
        <w:tc>
          <w:tcPr>
            <w:tcW w:w="1119"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sz w:val="18"/>
                <w:szCs w:val="18"/>
              </w:rPr>
            </w:pPr>
          </w:p>
        </w:tc>
        <w:tc>
          <w:tcPr>
            <w:tcW w:w="828"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30</w:t>
            </w:r>
          </w:p>
        </w:tc>
        <w:tc>
          <w:tcPr>
            <w:tcW w:w="851" w:type="dxa"/>
            <w:tcBorders>
              <w:top w:val="nil"/>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s="Times New Roman"/>
                <w:sz w:val="18"/>
                <w:szCs w:val="18"/>
              </w:rPr>
            </w:pPr>
            <w:r>
              <w:rPr>
                <w:rFonts w:ascii="Times New Roman" w:hAnsi="Times New Roman" w:cs="Times New Roman"/>
                <w:sz w:val="18"/>
                <w:szCs w:val="18"/>
              </w:rPr>
              <w:t>993,25</w:t>
            </w:r>
          </w:p>
        </w:tc>
        <w:tc>
          <w:tcPr>
            <w:tcW w:w="1121" w:type="dxa"/>
            <w:tcBorders>
              <w:top w:val="single" w:sz="4" w:space="0" w:color="auto"/>
              <w:left w:val="nil"/>
              <w:bottom w:val="single" w:sz="4" w:space="0" w:color="auto"/>
              <w:right w:val="single" w:sz="4" w:space="0" w:color="auto"/>
            </w:tcBorders>
            <w:shd w:val="clear" w:color="auto" w:fill="auto"/>
            <w:vAlign w:val="center"/>
          </w:tcPr>
          <w:p>
            <w:pPr>
              <w:jc w:val="center"/>
              <w:rPr>
                <w:rFonts w:ascii="Times New Roman" w:hAnsi="Times New Roman" w:cs="Times New Roman"/>
                <w:sz w:val="18"/>
                <w:szCs w:val="18"/>
              </w:rPr>
            </w:pPr>
            <w:r>
              <w:rPr>
                <w:rFonts w:ascii="Times New Roman" w:hAnsi="Times New Roman" w:cs="Times New Roman"/>
                <w:sz w:val="18"/>
                <w:szCs w:val="18"/>
              </w:rPr>
              <w:t>89,05</w:t>
            </w:r>
          </w:p>
        </w:tc>
        <w:tc>
          <w:tcPr>
            <w:tcW w:w="1096" w:type="dxa"/>
            <w:tcBorders>
              <w:top w:val="single" w:sz="4" w:space="0" w:color="auto"/>
              <w:left w:val="nil"/>
              <w:bottom w:val="single" w:sz="4" w:space="0" w:color="auto"/>
              <w:right w:val="single" w:sz="4" w:space="0" w:color="auto"/>
            </w:tcBorders>
            <w:shd w:val="clear" w:color="auto" w:fill="auto"/>
            <w:vAlign w:val="center"/>
          </w:tcPr>
          <w:p>
            <w:pPr>
              <w:jc w:val="center"/>
              <w:rPr>
                <w:rFonts w:ascii="Times New Roman" w:hAnsi="Times New Roman" w:cs="Times New Roman"/>
                <w:sz w:val="18"/>
                <w:szCs w:val="18"/>
              </w:rPr>
            </w:pPr>
            <w:r>
              <w:rPr>
                <w:rFonts w:ascii="Times New Roman" w:hAnsi="Times New Roman" w:cs="Times New Roman"/>
                <w:sz w:val="18"/>
                <w:szCs w:val="18"/>
              </w:rPr>
              <w:t>8,97%</w:t>
            </w:r>
          </w:p>
        </w:tc>
        <w:tc>
          <w:tcPr>
            <w:tcW w:w="1459" w:type="dxa"/>
            <w:tcBorders>
              <w:top w:val="single" w:sz="4" w:space="0" w:color="auto"/>
              <w:left w:val="nil"/>
              <w:bottom w:val="single" w:sz="4" w:space="0" w:color="auto"/>
              <w:right w:val="single" w:sz="4" w:space="0" w:color="auto"/>
            </w:tcBorders>
            <w:shd w:val="clear" w:color="000000" w:fill="FFFFFF"/>
            <w:vAlign w:val="center"/>
          </w:tcPr>
          <w:p>
            <w:pPr>
              <w:jc w:val="center"/>
              <w:rPr>
                <w:rFonts w:ascii="Times New Roman" w:hAnsi="Times New Roman" w:cs="Times New Roman"/>
                <w:sz w:val="18"/>
                <w:szCs w:val="18"/>
              </w:rPr>
            </w:pPr>
            <w:r>
              <w:rPr>
                <w:rFonts w:ascii="Times New Roman" w:hAnsi="Times New Roman" w:cs="Times New Roman"/>
                <w:sz w:val="18"/>
                <w:szCs w:val="18"/>
              </w:rPr>
              <w:t>29 797,50</w:t>
            </w:r>
          </w:p>
        </w:tc>
        <w:tc>
          <w:tcPr>
            <w:tcW w:w="855" w:type="dxa"/>
            <w:tcBorders>
              <w:top w:val="nil"/>
              <w:left w:val="nil"/>
              <w:bottom w:val="single" w:sz="4" w:space="0" w:color="auto"/>
              <w:right w:val="single" w:sz="4" w:space="0" w:color="auto"/>
            </w:tcBorders>
            <w:shd w:val="clear" w:color="000000" w:fill="FFFFFF"/>
            <w:vAlign w:val="center"/>
          </w:tcPr>
          <w:p>
            <w:pPr>
              <w:widowControl/>
              <w:jc w:val="center"/>
              <w:rPr>
                <w:rFonts w:ascii="Times New Roman" w:hAnsi="Times New Roman" w:cs="Times New Roman"/>
                <w:b/>
                <w:bCs/>
                <w:i/>
                <w:iCs/>
                <w:sz w:val="18"/>
                <w:szCs w:val="18"/>
              </w:rPr>
            </w:pPr>
            <w:r>
              <w:rPr>
                <w:rFonts w:ascii="Times New Roman" w:hAnsi="Times New Roman" w:cs="Times New Roman"/>
                <w:b/>
                <w:bCs/>
                <w:i/>
                <w:iCs/>
                <w:sz w:val="18"/>
                <w:szCs w:val="18"/>
              </w:rPr>
              <w:t>упак</w:t>
            </w:r>
            <w:bookmarkStart w:id="0" w:name="_GoBack"/>
            <w:bookmarkEnd w:id="0"/>
          </w:p>
        </w:tc>
      </w:tr>
      <w:tr>
        <w:trPr>
          <w:trHeight w:val="544"/>
        </w:trPr>
        <w:tc>
          <w:tcPr>
            <w:tcW w:w="11333" w:type="dxa"/>
            <w:gridSpan w:val="11"/>
            <w:tcBorders>
              <w:top w:val="single" w:sz="4" w:space="0" w:color="auto"/>
              <w:left w:val="single" w:sz="4" w:space="0" w:color="auto"/>
              <w:bottom w:val="single" w:sz="4" w:space="0" w:color="auto"/>
              <w:right w:val="nil"/>
            </w:tcBorders>
            <w:vAlign w:val="center"/>
          </w:tcPr>
          <w:p>
            <w:pPr>
              <w:ind w:firstLine="426"/>
              <w:jc w:val="center"/>
              <w:rPr>
                <w:rFonts w:ascii="Times New Roman" w:hAnsi="Times New Roman" w:cs="Times New Roman"/>
                <w:sz w:val="20"/>
                <w:szCs w:val="20"/>
              </w:rPr>
            </w:pPr>
            <w:r>
              <w:rPr>
                <w:rFonts w:ascii="Times New Roman" w:hAnsi="Times New Roman" w:cs="Times New Roman"/>
                <w:sz w:val="20"/>
                <w:szCs w:val="20"/>
              </w:rPr>
              <w:t>Начальная (максимальная) цена контракта, руб.</w:t>
            </w:r>
          </w:p>
        </w:tc>
        <w:tc>
          <w:tcPr>
            <w:tcW w:w="1096" w:type="dxa"/>
            <w:tcBorders>
              <w:top w:val="nil"/>
              <w:left w:val="nil"/>
              <w:bottom w:val="single" w:sz="4" w:space="0" w:color="auto"/>
              <w:right w:val="single" w:sz="4" w:space="0" w:color="auto"/>
            </w:tcBorders>
            <w:shd w:val="clear" w:color="auto" w:fill="auto"/>
            <w:vAlign w:val="center"/>
            <w:hideMark/>
          </w:tcPr>
          <w:p>
            <w:pPr>
              <w:ind w:firstLine="426"/>
              <w:jc w:val="center"/>
              <w:rPr>
                <w:rFonts w:ascii="Times New Roman" w:hAnsi="Times New Roman" w:cs="Times New Roman"/>
                <w:sz w:val="20"/>
                <w:szCs w:val="20"/>
              </w:rPr>
            </w:pPr>
          </w:p>
        </w:tc>
        <w:tc>
          <w:tcPr>
            <w:tcW w:w="1463" w:type="dxa"/>
            <w:tcBorders>
              <w:top w:val="single" w:sz="4" w:space="0" w:color="auto"/>
              <w:bottom w:val="single" w:sz="4" w:space="0" w:color="auto"/>
              <w:right w:val="single" w:sz="4" w:space="0" w:color="auto"/>
            </w:tcBorders>
            <w:shd w:val="clear" w:color="auto" w:fill="auto"/>
          </w:tcPr>
          <w:p>
            <w:pPr>
              <w:widowControl/>
              <w:spacing w:after="160" w:line="259" w:lineRule="auto"/>
              <w:rPr>
                <w:rFonts w:ascii="Times New Roman" w:hAnsi="Times New Roman" w:cs="Times New Roman"/>
              </w:rPr>
            </w:pPr>
            <w:r>
              <w:rPr>
                <w:rFonts w:ascii="Times New Roman" w:hAnsi="Times New Roman" w:cs="Times New Roman"/>
              </w:rPr>
              <w:t>53661,50</w:t>
            </w:r>
          </w:p>
        </w:tc>
        <w:tc>
          <w:tcPr>
            <w:tcW w:w="851" w:type="dxa"/>
            <w:tcBorders>
              <w:top w:val="single" w:sz="4" w:space="0" w:color="auto"/>
              <w:bottom w:val="single" w:sz="4" w:space="0" w:color="auto"/>
              <w:right w:val="single" w:sz="4" w:space="0" w:color="auto"/>
            </w:tcBorders>
            <w:shd w:val="clear" w:color="auto" w:fill="auto"/>
          </w:tcPr>
          <w:p>
            <w:pPr>
              <w:widowControl/>
              <w:spacing w:after="160" w:line="259" w:lineRule="auto"/>
            </w:pPr>
          </w:p>
        </w:tc>
      </w:tr>
    </w:tbl>
    <w:p>
      <w:pPr>
        <w:autoSpaceDE w:val="0"/>
        <w:autoSpaceDN w:val="0"/>
        <w:adjustRightInd w:val="0"/>
        <w:spacing w:before="240"/>
        <w:jc w:val="both"/>
        <w:rPr>
          <w:rFonts w:ascii="Times New Roman" w:hAnsi="Times New Roman" w:cs="Times New Roman"/>
        </w:rPr>
      </w:pPr>
    </w:p>
    <w:p>
      <w:pPr>
        <w:autoSpaceDE w:val="0"/>
        <w:autoSpaceDN w:val="0"/>
        <w:adjustRightInd w:val="0"/>
        <w:spacing w:before="240"/>
        <w:jc w:val="both"/>
        <w:rPr>
          <w:rFonts w:ascii="Times New Roman" w:hAnsi="Times New Roman" w:cs="Times New Roman"/>
        </w:rPr>
      </w:pPr>
    </w:p>
    <w:p>
      <w:pPr>
        <w:autoSpaceDE w:val="0"/>
        <w:autoSpaceDN w:val="0"/>
        <w:adjustRightInd w:val="0"/>
        <w:jc w:val="both"/>
        <w:rPr>
          <w:rFonts w:ascii="Times New Roman" w:hAnsi="Times New Roman"/>
        </w:rPr>
      </w:pPr>
      <w:r>
        <w:rPr>
          <w:rFonts w:ascii="Times New Roman" w:hAnsi="Times New Roman"/>
        </w:rPr>
        <w:t xml:space="preserve">    </w:t>
      </w:r>
    </w:p>
    <w:p>
      <w:pPr>
        <w:autoSpaceDE w:val="0"/>
        <w:autoSpaceDN w:val="0"/>
        <w:adjustRightInd w:val="0"/>
        <w:spacing w:before="240"/>
        <w:jc w:val="both"/>
        <w:rPr>
          <w:rFonts w:ascii="Times New Roman" w:hAnsi="Times New Roman" w:cs="Times New Roman"/>
        </w:rPr>
      </w:pPr>
    </w:p>
    <w:sectPr>
      <w:headerReference w:type="default" r:id="rId14"/>
      <w:type w:val="continuous"/>
      <w:pgSz w:w="16838" w:h="11906" w:orient="landscape" w:code="9"/>
      <w:pgMar w:top="1134" w:right="536" w:bottom="567" w:left="1134" w:header="397" w:footer="39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5"/>
      <w:jc w:val="center"/>
    </w:pPr>
    <w:r>
      <w:fldChar w:fldCharType="begin"/>
    </w:r>
    <w:r>
      <w:instrText>PAGE   \* MERGEFORMAT</w:instrText>
    </w:r>
    <w:r>
      <w:fldChar w:fldCharType="separate"/>
    </w:r>
    <w:r>
      <w:rPr>
        <w:noProof/>
      </w:rPr>
      <w:t>4</w:t>
    </w:r>
    <w:r>
      <w:fldChar w:fldCharType="end"/>
    </w:r>
  </w:p>
  <w:p>
    <w:pPr>
      <w:pStyle w:val="a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770353845"/>
      <w:docPartObj>
        <w:docPartGallery w:val="Page Numbers (Top of Page)"/>
        <w:docPartUnique/>
      </w:docPartObj>
    </w:sdtPr>
    <w:sdtContent>
      <w:p>
        <w:pPr>
          <w:pStyle w:val="a5"/>
          <w:jc w:val="right"/>
          <w:rPr>
            <w:sz w:val="20"/>
            <w:szCs w:val="20"/>
          </w:rPr>
        </w:pPr>
        <w:r>
          <w:rPr>
            <w:sz w:val="20"/>
            <w:szCs w:val="20"/>
          </w:rPr>
          <w:fldChar w:fldCharType="begin"/>
        </w:r>
        <w:r>
          <w:rPr>
            <w:sz w:val="20"/>
            <w:szCs w:val="20"/>
          </w:rPr>
          <w:instrText>PAGE   \* MERGEFORMAT</w:instrText>
        </w:r>
        <w:r>
          <w:rPr>
            <w:sz w:val="20"/>
            <w:szCs w:val="20"/>
          </w:rPr>
          <w:fldChar w:fldCharType="separate"/>
        </w:r>
        <w:r>
          <w:rPr>
            <w:noProof/>
            <w:sz w:val="20"/>
            <w:szCs w:val="20"/>
          </w:rPr>
          <w:t>2</w:t>
        </w:r>
        <w:r>
          <w:rPr>
            <w:sz w:val="20"/>
            <w:szCs w:val="20"/>
          </w:rPr>
          <w:fldChar w:fldCharType="end"/>
        </w:r>
      </w:p>
    </w:sdtContent>
  </w:sdt>
  <w:p>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96829"/>
    <w:multiLevelType w:val="hybridMultilevel"/>
    <w:tmpl w:val="5B1478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iPriority w:val="9"/>
    <w:unhideWhenUsed/>
    <w:qFormat/>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1,Текст сноски Знак2,Текст сноски Знак1 Знак1,Текст сноски Знак Знак Знак1,Знак4 Знак Знак Знак1,Текст сноски Знак1 Знак Знак"/>
    <w:basedOn w:val="a"/>
    <w:link w:val="a4"/>
    <w:uiPriority w:val="99"/>
    <w:qFormat/>
    <w:pPr>
      <w:widowControl/>
    </w:pPr>
    <w:rPr>
      <w:rFonts w:ascii="Times New Roman" w:eastAsia="Times New Roman" w:hAnsi="Times New Roman" w:cs="Times New Roman"/>
      <w:color w:val="auto"/>
      <w:sz w:val="20"/>
      <w:szCs w:val="20"/>
      <w:lang w:eastAsia="en-US" w:bidi="ar-SA"/>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1 Знак,Текст сноски Знак2 Знак,Текст сноски Знак1 Знак1 Знак,Знак4 Знак Знак Знак1 Знак"/>
    <w:basedOn w:val="a0"/>
    <w:link w:val="a3"/>
    <w:uiPriority w:val="99"/>
    <w:rPr>
      <w:rFonts w:ascii="Times New Roman" w:eastAsia="Times New Roman" w:hAnsi="Times New Roman" w:cs="Times New Roman"/>
      <w:sz w:val="20"/>
      <w:szCs w:val="20"/>
    </w:rPr>
  </w:style>
  <w:style w:type="character" w:customStyle="1" w:styleId="30">
    <w:name w:val="Заголовок 3 Знак"/>
    <w:basedOn w:val="a0"/>
    <w:link w:val="3"/>
    <w:uiPriority w:val="9"/>
    <w:rPr>
      <w:rFonts w:asciiTheme="majorHAnsi" w:eastAsiaTheme="majorEastAsia" w:hAnsiTheme="majorHAnsi" w:cstheme="majorBidi"/>
      <w:color w:val="1F3763" w:themeColor="accent1" w:themeShade="7F"/>
      <w:sz w:val="24"/>
      <w:szCs w:val="24"/>
    </w:rPr>
  </w:style>
  <w:style w:type="paragraph" w:styleId="a5">
    <w:name w:val="header"/>
    <w:basedOn w:val="a"/>
    <w:link w:val="a6"/>
    <w:uiPriority w:val="99"/>
    <w:pPr>
      <w:widowControl/>
      <w:tabs>
        <w:tab w:val="center" w:pos="4677"/>
        <w:tab w:val="right" w:pos="9355"/>
      </w:tabs>
    </w:pPr>
    <w:rPr>
      <w:rFonts w:ascii="Times New Roman" w:eastAsia="Times New Roman" w:hAnsi="Times New Roman" w:cs="Times New Roman"/>
      <w:color w:val="auto"/>
      <w:lang w:bidi="ar-SA"/>
    </w:r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Courier New" w:eastAsia="Courier New" w:hAnsi="Courier New" w:cs="Courier New"/>
      <w:color w:val="000000"/>
      <w:sz w:val="24"/>
      <w:szCs w:val="24"/>
      <w:lang w:eastAsia="ru-RU" w:bidi="ru-RU"/>
    </w:rPr>
  </w:style>
  <w:style w:type="character" w:styleId="a9">
    <w:name w:val="Hyperlink"/>
    <w:basedOn w:val="a0"/>
    <w:uiPriority w:val="99"/>
    <w:unhideWhenUsed/>
    <w:rPr>
      <w:color w:val="0563C1" w:themeColor="hyperlink"/>
      <w:u w:val="single"/>
    </w:rPr>
  </w:style>
  <w:style w:type="character" w:styleId="aa">
    <w:name w:val="footnote reference"/>
    <w:basedOn w:val="a0"/>
    <w:uiPriority w:val="99"/>
    <w:semiHidden/>
    <w:unhideWhenUsed/>
    <w:rPr>
      <w:vertAlign w:val="superscript"/>
    </w:rPr>
  </w:style>
  <w:style w:type="character" w:styleId="ab">
    <w:name w:val="FollowedHyperlink"/>
    <w:basedOn w:val="a0"/>
    <w:uiPriority w:val="99"/>
    <w:semiHidden/>
    <w:unhideWhenUsed/>
    <w:rPr>
      <w:color w:val="954F72" w:themeColor="followedHyperlink"/>
      <w:u w:val="single"/>
    </w:rPr>
  </w:style>
  <w:style w:type="paragraph" w:styleId="ac">
    <w:name w:val="Balloon Text"/>
    <w:basedOn w:val="a"/>
    <w:link w:val="ad"/>
    <w:uiPriority w:val="99"/>
    <w:semiHidden/>
    <w:unhideWhenUsed/>
    <w:rPr>
      <w:rFonts w:ascii="Segoe UI" w:hAnsi="Segoe UI" w:cs="Segoe UI"/>
      <w:sz w:val="18"/>
      <w:szCs w:val="18"/>
    </w:rPr>
  </w:style>
  <w:style w:type="character" w:customStyle="1" w:styleId="ad">
    <w:name w:val="Текст выноски Знак"/>
    <w:basedOn w:val="a0"/>
    <w:link w:val="ac"/>
    <w:uiPriority w:val="99"/>
    <w:semiHidden/>
    <w:rPr>
      <w:rFonts w:ascii="Segoe UI" w:eastAsia="Courier New" w:hAnsi="Segoe UI" w:cs="Segoe UI"/>
      <w:color w:val="000000"/>
      <w:sz w:val="18"/>
      <w:szCs w:val="18"/>
      <w:lang w:eastAsia="ru-RU" w:bidi="ru-RU"/>
    </w:rPr>
  </w:style>
  <w:style w:type="paragraph" w:styleId="ae">
    <w:name w:val="List Paragraph"/>
    <w:basedOn w:val="a"/>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iPriority w:val="9"/>
    <w:unhideWhenUsed/>
    <w:qFormat/>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1,Текст сноски Знак2,Текст сноски Знак1 Знак1,Текст сноски Знак Знак Знак1,Знак4 Знак Знак Знак1,Текст сноски Знак1 Знак Знак"/>
    <w:basedOn w:val="a"/>
    <w:link w:val="a4"/>
    <w:uiPriority w:val="99"/>
    <w:qFormat/>
    <w:pPr>
      <w:widowControl/>
    </w:pPr>
    <w:rPr>
      <w:rFonts w:ascii="Times New Roman" w:eastAsia="Times New Roman" w:hAnsi="Times New Roman" w:cs="Times New Roman"/>
      <w:color w:val="auto"/>
      <w:sz w:val="20"/>
      <w:szCs w:val="20"/>
      <w:lang w:eastAsia="en-US" w:bidi="ar-SA"/>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1 Знак,Текст сноски Знак2 Знак,Текст сноски Знак1 Знак1 Знак,Знак4 Знак Знак Знак1 Знак"/>
    <w:basedOn w:val="a0"/>
    <w:link w:val="a3"/>
    <w:uiPriority w:val="99"/>
    <w:rPr>
      <w:rFonts w:ascii="Times New Roman" w:eastAsia="Times New Roman" w:hAnsi="Times New Roman" w:cs="Times New Roman"/>
      <w:sz w:val="20"/>
      <w:szCs w:val="20"/>
    </w:rPr>
  </w:style>
  <w:style w:type="character" w:customStyle="1" w:styleId="30">
    <w:name w:val="Заголовок 3 Знак"/>
    <w:basedOn w:val="a0"/>
    <w:link w:val="3"/>
    <w:uiPriority w:val="9"/>
    <w:rPr>
      <w:rFonts w:asciiTheme="majorHAnsi" w:eastAsiaTheme="majorEastAsia" w:hAnsiTheme="majorHAnsi" w:cstheme="majorBidi"/>
      <w:color w:val="1F3763" w:themeColor="accent1" w:themeShade="7F"/>
      <w:sz w:val="24"/>
      <w:szCs w:val="24"/>
    </w:rPr>
  </w:style>
  <w:style w:type="paragraph" w:styleId="a5">
    <w:name w:val="header"/>
    <w:basedOn w:val="a"/>
    <w:link w:val="a6"/>
    <w:uiPriority w:val="99"/>
    <w:pPr>
      <w:widowControl/>
      <w:tabs>
        <w:tab w:val="center" w:pos="4677"/>
        <w:tab w:val="right" w:pos="9355"/>
      </w:tabs>
    </w:pPr>
    <w:rPr>
      <w:rFonts w:ascii="Times New Roman" w:eastAsia="Times New Roman" w:hAnsi="Times New Roman" w:cs="Times New Roman"/>
      <w:color w:val="auto"/>
      <w:lang w:bidi="ar-SA"/>
    </w:r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Courier New" w:eastAsia="Courier New" w:hAnsi="Courier New" w:cs="Courier New"/>
      <w:color w:val="000000"/>
      <w:sz w:val="24"/>
      <w:szCs w:val="24"/>
      <w:lang w:eastAsia="ru-RU" w:bidi="ru-RU"/>
    </w:rPr>
  </w:style>
  <w:style w:type="character" w:styleId="a9">
    <w:name w:val="Hyperlink"/>
    <w:basedOn w:val="a0"/>
    <w:uiPriority w:val="99"/>
    <w:unhideWhenUsed/>
    <w:rPr>
      <w:color w:val="0563C1" w:themeColor="hyperlink"/>
      <w:u w:val="single"/>
    </w:rPr>
  </w:style>
  <w:style w:type="character" w:styleId="aa">
    <w:name w:val="footnote reference"/>
    <w:basedOn w:val="a0"/>
    <w:uiPriority w:val="99"/>
    <w:semiHidden/>
    <w:unhideWhenUsed/>
    <w:rPr>
      <w:vertAlign w:val="superscript"/>
    </w:rPr>
  </w:style>
  <w:style w:type="character" w:styleId="ab">
    <w:name w:val="FollowedHyperlink"/>
    <w:basedOn w:val="a0"/>
    <w:uiPriority w:val="99"/>
    <w:semiHidden/>
    <w:unhideWhenUsed/>
    <w:rPr>
      <w:color w:val="954F72" w:themeColor="followedHyperlink"/>
      <w:u w:val="single"/>
    </w:rPr>
  </w:style>
  <w:style w:type="paragraph" w:styleId="ac">
    <w:name w:val="Balloon Text"/>
    <w:basedOn w:val="a"/>
    <w:link w:val="ad"/>
    <w:uiPriority w:val="99"/>
    <w:semiHidden/>
    <w:unhideWhenUsed/>
    <w:rPr>
      <w:rFonts w:ascii="Segoe UI" w:hAnsi="Segoe UI" w:cs="Segoe UI"/>
      <w:sz w:val="18"/>
      <w:szCs w:val="18"/>
    </w:rPr>
  </w:style>
  <w:style w:type="character" w:customStyle="1" w:styleId="ad">
    <w:name w:val="Текст выноски Знак"/>
    <w:basedOn w:val="a0"/>
    <w:link w:val="ac"/>
    <w:uiPriority w:val="99"/>
    <w:semiHidden/>
    <w:rPr>
      <w:rFonts w:ascii="Segoe UI" w:eastAsia="Courier New" w:hAnsi="Segoe UI" w:cs="Segoe UI"/>
      <w:color w:val="000000"/>
      <w:sz w:val="18"/>
      <w:szCs w:val="18"/>
      <w:lang w:eastAsia="ru-RU" w:bidi="ru-RU"/>
    </w:rPr>
  </w:style>
  <w:style w:type="paragraph" w:styleId="ae">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8292">
      <w:bodyDiv w:val="1"/>
      <w:marLeft w:val="0"/>
      <w:marRight w:val="0"/>
      <w:marTop w:val="0"/>
      <w:marBottom w:val="0"/>
      <w:divBdr>
        <w:top w:val="none" w:sz="0" w:space="0" w:color="auto"/>
        <w:left w:val="none" w:sz="0" w:space="0" w:color="auto"/>
        <w:bottom w:val="none" w:sz="0" w:space="0" w:color="auto"/>
        <w:right w:val="none" w:sz="0" w:space="0" w:color="auto"/>
      </w:divBdr>
    </w:div>
    <w:div w:id="126747466">
      <w:bodyDiv w:val="1"/>
      <w:marLeft w:val="0"/>
      <w:marRight w:val="0"/>
      <w:marTop w:val="0"/>
      <w:marBottom w:val="0"/>
      <w:divBdr>
        <w:top w:val="none" w:sz="0" w:space="0" w:color="auto"/>
        <w:left w:val="none" w:sz="0" w:space="0" w:color="auto"/>
        <w:bottom w:val="none" w:sz="0" w:space="0" w:color="auto"/>
        <w:right w:val="none" w:sz="0" w:space="0" w:color="auto"/>
      </w:divBdr>
    </w:div>
    <w:div w:id="675153686">
      <w:bodyDiv w:val="1"/>
      <w:marLeft w:val="0"/>
      <w:marRight w:val="0"/>
      <w:marTop w:val="0"/>
      <w:marBottom w:val="0"/>
      <w:divBdr>
        <w:top w:val="none" w:sz="0" w:space="0" w:color="auto"/>
        <w:left w:val="none" w:sz="0" w:space="0" w:color="auto"/>
        <w:bottom w:val="none" w:sz="0" w:space="0" w:color="auto"/>
        <w:right w:val="none" w:sz="0" w:space="0" w:color="auto"/>
      </w:divBdr>
    </w:div>
    <w:div w:id="726420213">
      <w:bodyDiv w:val="1"/>
      <w:marLeft w:val="0"/>
      <w:marRight w:val="0"/>
      <w:marTop w:val="0"/>
      <w:marBottom w:val="0"/>
      <w:divBdr>
        <w:top w:val="none" w:sz="0" w:space="0" w:color="auto"/>
        <w:left w:val="none" w:sz="0" w:space="0" w:color="auto"/>
        <w:bottom w:val="none" w:sz="0" w:space="0" w:color="auto"/>
        <w:right w:val="none" w:sz="0" w:space="0" w:color="auto"/>
      </w:divBdr>
    </w:div>
    <w:div w:id="746849056">
      <w:bodyDiv w:val="1"/>
      <w:marLeft w:val="0"/>
      <w:marRight w:val="0"/>
      <w:marTop w:val="0"/>
      <w:marBottom w:val="0"/>
      <w:divBdr>
        <w:top w:val="none" w:sz="0" w:space="0" w:color="auto"/>
        <w:left w:val="none" w:sz="0" w:space="0" w:color="auto"/>
        <w:bottom w:val="none" w:sz="0" w:space="0" w:color="auto"/>
        <w:right w:val="none" w:sz="0" w:space="0" w:color="auto"/>
      </w:divBdr>
    </w:div>
    <w:div w:id="748582407">
      <w:bodyDiv w:val="1"/>
      <w:marLeft w:val="0"/>
      <w:marRight w:val="0"/>
      <w:marTop w:val="0"/>
      <w:marBottom w:val="0"/>
      <w:divBdr>
        <w:top w:val="none" w:sz="0" w:space="0" w:color="auto"/>
        <w:left w:val="none" w:sz="0" w:space="0" w:color="auto"/>
        <w:bottom w:val="none" w:sz="0" w:space="0" w:color="auto"/>
        <w:right w:val="none" w:sz="0" w:space="0" w:color="auto"/>
      </w:divBdr>
    </w:div>
    <w:div w:id="1291790574">
      <w:bodyDiv w:val="1"/>
      <w:marLeft w:val="0"/>
      <w:marRight w:val="0"/>
      <w:marTop w:val="0"/>
      <w:marBottom w:val="0"/>
      <w:divBdr>
        <w:top w:val="none" w:sz="0" w:space="0" w:color="auto"/>
        <w:left w:val="none" w:sz="0" w:space="0" w:color="auto"/>
        <w:bottom w:val="none" w:sz="0" w:space="0" w:color="auto"/>
        <w:right w:val="none" w:sz="0" w:space="0" w:color="auto"/>
      </w:divBdr>
    </w:div>
    <w:div w:id="1366171134">
      <w:bodyDiv w:val="1"/>
      <w:marLeft w:val="0"/>
      <w:marRight w:val="0"/>
      <w:marTop w:val="0"/>
      <w:marBottom w:val="0"/>
      <w:divBdr>
        <w:top w:val="none" w:sz="0" w:space="0" w:color="auto"/>
        <w:left w:val="none" w:sz="0" w:space="0" w:color="auto"/>
        <w:bottom w:val="none" w:sz="0" w:space="0" w:color="auto"/>
        <w:right w:val="none" w:sz="0" w:space="0" w:color="auto"/>
      </w:divBdr>
      <w:divsChild>
        <w:div w:id="1835803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0EB30-1E98-463E-BA03-409A57A96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473</Words>
  <Characters>2697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RePack by Diakov</cp:lastModifiedBy>
  <cp:revision>26</cp:revision>
  <cp:lastPrinted>2026-03-17T10:48:00Z</cp:lastPrinted>
  <dcterms:created xsi:type="dcterms:W3CDTF">2024-03-04T11:05:00Z</dcterms:created>
  <dcterms:modified xsi:type="dcterms:W3CDTF">2026-03-17T13:18:00Z</dcterms:modified>
</cp:coreProperties>
</file>