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sz w:val="22"/>
          <w:szCs w:val="22"/>
        </w:rPr>
      </w:pPr>
      <w:r>
        <w:rPr>
          <w:b/>
          <w:sz w:val="22"/>
          <w:szCs w:val="22"/>
        </w:rPr>
        <w:t>КОНТРАКТ № 1131/20</w:t>
      </w:r>
    </w:p>
    <w:p>
      <w:pPr>
        <w:pStyle w:val="Normal"/>
        <w:jc w:val="center"/>
        <w:rPr>
          <w:b/>
          <w:b/>
          <w:sz w:val="22"/>
          <w:szCs w:val="22"/>
        </w:rPr>
      </w:pPr>
      <w:r>
        <w:rPr>
          <w:b/>
          <w:sz w:val="22"/>
          <w:szCs w:val="22"/>
        </w:rPr>
        <w:t xml:space="preserve">НА ОКАЗАНИЕ УСЛУГ </w:t>
      </w:r>
      <w:bookmarkStart w:id="0" w:name="_GoBack"/>
      <w:bookmarkEnd w:id="0"/>
    </w:p>
    <w:tbl>
      <w:tblPr>
        <w:tblW w:w="9711" w:type="dxa"/>
        <w:jc w:val="left"/>
        <w:tblInd w:w="0" w:type="dxa"/>
        <w:tblCellMar>
          <w:top w:w="0" w:type="dxa"/>
          <w:left w:w="108" w:type="dxa"/>
          <w:bottom w:w="0" w:type="dxa"/>
          <w:right w:w="108" w:type="dxa"/>
        </w:tblCellMar>
        <w:tblLook w:val="04a0"/>
      </w:tblPr>
      <w:tblGrid>
        <w:gridCol w:w="4855"/>
        <w:gridCol w:w="4855"/>
      </w:tblGrid>
      <w:tr>
        <w:trPr/>
        <w:tc>
          <w:tcPr>
            <w:tcW w:w="4855" w:type="dxa"/>
            <w:tcBorders/>
            <w:shd w:fill="auto" w:val="clear"/>
          </w:tcPr>
          <w:p>
            <w:pPr>
              <w:pStyle w:val="Normal"/>
              <w:rPr>
                <w:sz w:val="22"/>
                <w:szCs w:val="22"/>
              </w:rPr>
            </w:pPr>
            <w:r>
              <w:rPr>
                <w:sz w:val="22"/>
                <w:szCs w:val="22"/>
              </w:rPr>
              <w:t>Санкт-Петербург</w:t>
            </w:r>
          </w:p>
        </w:tc>
        <w:tc>
          <w:tcPr>
            <w:tcW w:w="4855" w:type="dxa"/>
            <w:tcBorders/>
            <w:shd w:fill="auto" w:val="clear"/>
          </w:tcPr>
          <w:p>
            <w:pPr>
              <w:pStyle w:val="Normal"/>
              <w:jc w:val="right"/>
              <w:rPr>
                <w:sz w:val="22"/>
                <w:szCs w:val="22"/>
              </w:rPr>
            </w:pPr>
            <w:r>
              <w:rPr>
                <w:sz w:val="22"/>
                <w:szCs w:val="22"/>
              </w:rPr>
              <w:t>"___" _________ 2020 г.</w:t>
            </w:r>
          </w:p>
        </w:tc>
      </w:tr>
    </w:tbl>
    <w:p>
      <w:pPr>
        <w:pStyle w:val="Normal"/>
        <w:shd w:val="clear" w:color="auto" w:fill="FFFFFF"/>
        <w:tabs>
          <w:tab w:val="clear" w:pos="709"/>
          <w:tab w:val="left" w:pos="-284" w:leader="none"/>
        </w:tabs>
        <w:ind w:firstLine="709"/>
        <w:rPr>
          <w:b/>
          <w:b/>
          <w:sz w:val="22"/>
          <w:szCs w:val="22"/>
        </w:rPr>
      </w:pPr>
      <w:r>
        <w:rPr>
          <w:b/>
          <w:sz w:val="22"/>
          <w:szCs w:val="22"/>
        </w:rPr>
      </w:r>
    </w:p>
    <w:p>
      <w:pPr>
        <w:pStyle w:val="Normal"/>
        <w:shd w:val="clear" w:color="auto" w:fill="FFFFFF"/>
        <w:tabs>
          <w:tab w:val="clear" w:pos="709"/>
          <w:tab w:val="left" w:pos="-284" w:leader="none"/>
        </w:tabs>
        <w:ind w:firstLine="540"/>
        <w:rPr/>
      </w:pPr>
      <w:r>
        <w:rPr>
          <w:b/>
          <w:sz w:val="22"/>
          <w:szCs w:val="22"/>
        </w:rPr>
        <w:t>Государственное бюджетное общеобразовательное учреждение школа № 370 Московского района Санкт-Петербурга</w:t>
      </w:r>
      <w:r>
        <w:rPr>
          <w:color w:val="0000FF"/>
          <w:sz w:val="22"/>
          <w:szCs w:val="22"/>
        </w:rPr>
        <w:t>,</w:t>
      </w:r>
      <w:r>
        <w:rPr>
          <w:sz w:val="22"/>
          <w:szCs w:val="22"/>
        </w:rPr>
        <w:t xml:space="preserve"> </w:t>
      </w:r>
      <w:r>
        <w:rPr>
          <w:color w:val="000000"/>
          <w:sz w:val="22"/>
          <w:szCs w:val="22"/>
        </w:rPr>
        <w:t xml:space="preserve">в лице </w:t>
      </w:r>
      <w:r>
        <w:rPr>
          <w:b/>
          <w:color w:val="000000"/>
          <w:sz w:val="22"/>
          <w:szCs w:val="22"/>
        </w:rPr>
        <w:t>Директора Сергеевой Н.М.,</w:t>
      </w:r>
      <w:r>
        <w:rPr>
          <w:sz w:val="22"/>
          <w:szCs w:val="22"/>
        </w:rPr>
        <w:t xml:space="preserve"> действующей на основании </w:t>
      </w:r>
      <w:r>
        <w:rPr>
          <w:b/>
          <w:sz w:val="22"/>
          <w:szCs w:val="22"/>
        </w:rPr>
        <w:t>Устава</w:t>
      </w:r>
      <w:r>
        <w:rPr>
          <w:sz w:val="22"/>
          <w:szCs w:val="22"/>
        </w:rPr>
        <w:t xml:space="preserve"> и  именуемое в дальнейшем «Заказчик», с одной стороны, и __________________________________</w:t>
      </w:r>
      <w:r>
        <w:rPr>
          <w:b/>
          <w:sz w:val="22"/>
          <w:szCs w:val="22"/>
        </w:rPr>
        <w:t>,</w:t>
      </w:r>
      <w:r>
        <w:rPr>
          <w:sz w:val="22"/>
          <w:szCs w:val="22"/>
        </w:rPr>
        <w:t xml:space="preserve"> в лице ________________________________</w:t>
      </w:r>
      <w:r>
        <w:rPr/>
        <w:t xml:space="preserve"> действующей на основании ____________________________</w:t>
      </w:r>
      <w:r>
        <w:rPr>
          <w:b/>
        </w:rPr>
        <w:t>.</w:t>
      </w:r>
      <w:r>
        <w:rPr/>
        <w:t xml:space="preserve">, </w:t>
      </w:r>
      <w:r>
        <w:rPr>
          <w:sz w:val="22"/>
          <w:szCs w:val="22"/>
        </w:rPr>
        <w:t xml:space="preserve">именуемое в дальнейшем «Исполнитель», с другой стороны, далее именуемые «Стороны», заключили настоящий контракт о нижеследующем: </w:t>
      </w:r>
    </w:p>
    <w:p>
      <w:pPr>
        <w:pStyle w:val="Normal"/>
        <w:ind w:firstLine="709"/>
        <w:jc w:val="center"/>
        <w:rPr>
          <w:b/>
          <w:b/>
          <w:bCs/>
          <w:sz w:val="22"/>
          <w:szCs w:val="22"/>
        </w:rPr>
      </w:pPr>
      <w:r>
        <w:rPr>
          <w:b/>
          <w:bCs/>
          <w:sz w:val="22"/>
          <w:szCs w:val="22"/>
        </w:rPr>
      </w:r>
    </w:p>
    <w:p>
      <w:pPr>
        <w:pStyle w:val="Normal"/>
        <w:jc w:val="center"/>
        <w:rPr>
          <w:b/>
          <w:b/>
          <w:bCs/>
          <w:sz w:val="22"/>
          <w:szCs w:val="22"/>
        </w:rPr>
      </w:pPr>
      <w:r>
        <w:rPr>
          <w:b/>
          <w:bCs/>
          <w:sz w:val="22"/>
          <w:szCs w:val="22"/>
        </w:rPr>
        <w:t>1. ПРЕДМЕТ КОНТРАКТА</w:t>
      </w:r>
    </w:p>
    <w:p>
      <w:pPr>
        <w:pStyle w:val="ConsNonformat"/>
        <w:widowControl/>
        <w:numPr>
          <w:ilvl w:val="0"/>
          <w:numId w:val="1"/>
        </w:numPr>
        <w:shd w:val="clear" w:color="auto" w:fill="FFFFFF"/>
        <w:tabs>
          <w:tab w:val="clear" w:pos="709"/>
          <w:tab w:val="left" w:pos="993" w:leader="none"/>
        </w:tabs>
        <w:ind w:left="0" w:firstLine="567"/>
        <w:jc w:val="both"/>
        <w:rPr>
          <w:rFonts w:ascii="Times New Roman" w:hAnsi="Times New Roman" w:cs="Times New Roman"/>
          <w:sz w:val="22"/>
          <w:szCs w:val="22"/>
        </w:rPr>
      </w:pPr>
      <w:r>
        <w:rPr>
          <w:rFonts w:cs="Times New Roman" w:ascii="Times New Roman" w:hAnsi="Times New Roman"/>
          <w:sz w:val="22"/>
          <w:szCs w:val="22"/>
        </w:rPr>
        <w:t>По контракту Исполнитель обязуется оказать услуги по обслуживанию узла учета тепловой энергии и индивидуального теплового пункта (далее - услуги), а Заказчик обязуется принять и оплатить услуги.</w:t>
      </w:r>
    </w:p>
    <w:p>
      <w:pPr>
        <w:pStyle w:val="ConsNonformat"/>
        <w:widowControl/>
        <w:numPr>
          <w:ilvl w:val="0"/>
          <w:numId w:val="1"/>
        </w:numPr>
        <w:shd w:val="clear" w:color="auto" w:fill="FFFFFF"/>
        <w:tabs>
          <w:tab w:val="clear" w:pos="709"/>
          <w:tab w:val="left" w:pos="993" w:leader="none"/>
        </w:tabs>
        <w:ind w:left="0" w:firstLine="567"/>
        <w:jc w:val="both"/>
        <w:rPr>
          <w:rFonts w:ascii="Times New Roman" w:hAnsi="Times New Roman" w:cs="Times New Roman"/>
          <w:sz w:val="22"/>
          <w:szCs w:val="22"/>
        </w:rPr>
      </w:pPr>
      <w:r>
        <w:rPr>
          <w:rFonts w:cs="Times New Roman" w:ascii="Times New Roman" w:hAnsi="Times New Roman"/>
          <w:color w:val="000000"/>
          <w:sz w:val="22"/>
          <w:szCs w:val="22"/>
        </w:rPr>
        <w:t xml:space="preserve">Содержание и объем услуг, а также требования к ним изложены в </w:t>
      </w:r>
      <w:r>
        <w:rPr>
          <w:rFonts w:cs="Times New Roman" w:ascii="Times New Roman" w:hAnsi="Times New Roman"/>
          <w:sz w:val="22"/>
          <w:szCs w:val="22"/>
        </w:rPr>
        <w:t>Перечне услуг (Приложение № 1 к контракту)</w:t>
      </w:r>
      <w:r>
        <w:rPr>
          <w:rFonts w:cs="Times New Roman" w:ascii="Times New Roman" w:hAnsi="Times New Roman"/>
          <w:color w:val="000000"/>
          <w:sz w:val="22"/>
          <w:szCs w:val="22"/>
        </w:rPr>
        <w:t xml:space="preserve">, </w:t>
      </w:r>
      <w:r>
        <w:rPr>
          <w:rFonts w:cs="Times New Roman" w:ascii="Times New Roman" w:hAnsi="Times New Roman"/>
          <w:sz w:val="22"/>
          <w:szCs w:val="22"/>
        </w:rPr>
        <w:t>Расчете цены контракта (Приложение № 2 к контракту)</w:t>
      </w:r>
    </w:p>
    <w:p>
      <w:pPr>
        <w:pStyle w:val="ConsNonformat"/>
        <w:widowControl/>
        <w:shd w:val="clear" w:color="auto" w:fill="FFFFFF"/>
        <w:tabs>
          <w:tab w:val="clear" w:pos="709"/>
          <w:tab w:val="left" w:pos="993" w:leader="none"/>
        </w:tabs>
        <w:jc w:val="both"/>
        <w:rPr>
          <w:rFonts w:ascii="Times New Roman" w:hAnsi="Times New Roman" w:cs="Times New Roman"/>
          <w:sz w:val="22"/>
          <w:szCs w:val="22"/>
        </w:rPr>
      </w:pPr>
      <w:r>
        <w:rPr>
          <w:rFonts w:cs="Times New Roman" w:ascii="Times New Roman" w:hAnsi="Times New Roman"/>
          <w:sz w:val="22"/>
          <w:szCs w:val="22"/>
        </w:rPr>
      </w:r>
    </w:p>
    <w:p>
      <w:pPr>
        <w:pStyle w:val="Normal"/>
        <w:jc w:val="center"/>
        <w:rPr>
          <w:b/>
          <w:b/>
          <w:sz w:val="22"/>
          <w:szCs w:val="22"/>
        </w:rPr>
      </w:pPr>
      <w:r>
        <w:rPr>
          <w:b/>
          <w:sz w:val="22"/>
          <w:szCs w:val="22"/>
        </w:rPr>
        <w:t xml:space="preserve">2. СРОК И ПОРЯДОК </w:t>
      </w:r>
      <w:r>
        <w:rPr>
          <w:b/>
          <w:bCs/>
          <w:sz w:val="22"/>
          <w:szCs w:val="22"/>
        </w:rPr>
        <w:t>ОКАЗАНИЯ УСЛУГ</w:t>
      </w:r>
    </w:p>
    <w:p>
      <w:pPr>
        <w:pStyle w:val="ConsNonformat"/>
        <w:widowControl/>
        <w:numPr>
          <w:ilvl w:val="0"/>
          <w:numId w:val="2"/>
        </w:numPr>
        <w:shd w:val="clear" w:color="auto" w:fill="FFFFFF"/>
        <w:tabs>
          <w:tab w:val="clear" w:pos="709"/>
          <w:tab w:val="left" w:pos="993" w:leader="none"/>
        </w:tabs>
        <w:ind w:left="0" w:firstLine="567"/>
        <w:jc w:val="both"/>
        <w:rPr/>
      </w:pPr>
      <w:r>
        <w:rPr>
          <w:rFonts w:cs="Times New Roman" w:ascii="Times New Roman" w:hAnsi="Times New Roman"/>
          <w:sz w:val="22"/>
          <w:szCs w:val="22"/>
        </w:rPr>
        <w:t>Начало оказания услуг: С момента заключения контракта сторонами до 31.12.2020 года</w:t>
      </w:r>
    </w:p>
    <w:p>
      <w:pPr>
        <w:pStyle w:val="ConsNonformat"/>
        <w:widowControl/>
        <w:numPr>
          <w:ilvl w:val="0"/>
          <w:numId w:val="2"/>
        </w:numPr>
        <w:shd w:val="clear" w:color="auto" w:fill="FFFFFF"/>
        <w:tabs>
          <w:tab w:val="clear" w:pos="709"/>
          <w:tab w:val="left" w:pos="993" w:leader="none"/>
        </w:tabs>
        <w:ind w:left="0" w:firstLine="567"/>
        <w:jc w:val="both"/>
        <w:rPr>
          <w:rFonts w:ascii="Times New Roman" w:hAnsi="Times New Roman" w:cs="Times New Roman"/>
          <w:sz w:val="22"/>
          <w:szCs w:val="22"/>
        </w:rPr>
      </w:pPr>
      <w:r>
        <w:rPr>
          <w:rFonts w:cs="Times New Roman" w:ascii="Times New Roman" w:hAnsi="Times New Roman"/>
          <w:sz w:val="22"/>
          <w:szCs w:val="22"/>
        </w:rPr>
        <w:t>Окончание оказания услуг: 31.12.2020 г.</w:t>
      </w:r>
    </w:p>
    <w:p>
      <w:pPr>
        <w:pStyle w:val="ConsNonformat"/>
        <w:widowControl/>
        <w:numPr>
          <w:ilvl w:val="0"/>
          <w:numId w:val="2"/>
        </w:numPr>
        <w:shd w:val="clear" w:color="auto" w:fill="FFFFFF"/>
        <w:tabs>
          <w:tab w:val="clear" w:pos="709"/>
          <w:tab w:val="left" w:pos="993" w:leader="none"/>
        </w:tabs>
        <w:ind w:left="0" w:firstLine="567"/>
        <w:jc w:val="both"/>
        <w:rPr>
          <w:rFonts w:ascii="Times New Roman" w:hAnsi="Times New Roman" w:cs="Times New Roman"/>
          <w:sz w:val="22"/>
          <w:szCs w:val="22"/>
        </w:rPr>
      </w:pPr>
      <w:r>
        <w:rPr>
          <w:rFonts w:cs="Times New Roman" w:ascii="Times New Roman" w:hAnsi="Times New Roman"/>
          <w:sz w:val="22"/>
          <w:szCs w:val="22"/>
        </w:rPr>
        <w:t xml:space="preserve">Место оказания услуг: г. Санкт-Петербург, </w:t>
      </w:r>
      <w:r>
        <w:rPr>
          <w:rFonts w:cs="Times New Roman" w:ascii="Times New Roman" w:hAnsi="Times New Roman"/>
          <w:iCs/>
          <w:sz w:val="22"/>
          <w:szCs w:val="22"/>
        </w:rPr>
        <w:t>ул. Благодатная, д. 11.</w:t>
      </w:r>
    </w:p>
    <w:p>
      <w:pPr>
        <w:pStyle w:val="ConsNonformat"/>
        <w:widowControl/>
        <w:shd w:val="clear" w:color="auto" w:fill="FFFFFF"/>
        <w:tabs>
          <w:tab w:val="clear" w:pos="709"/>
          <w:tab w:val="left" w:pos="993" w:leader="none"/>
        </w:tabs>
        <w:ind w:left="567" w:hanging="0"/>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9"/>
          <w:tab w:val="left" w:pos="993" w:leader="none"/>
        </w:tabs>
        <w:ind w:firstLine="567"/>
        <w:jc w:val="center"/>
        <w:rPr>
          <w:sz w:val="22"/>
          <w:szCs w:val="22"/>
        </w:rPr>
      </w:pPr>
      <w:r>
        <w:rPr>
          <w:b/>
          <w:sz w:val="22"/>
          <w:szCs w:val="22"/>
        </w:rPr>
        <w:t>3. ЦЕНА КОНТРАКТА И ПОРЯДОК РАСЧЕТОВ</w:t>
      </w:r>
    </w:p>
    <w:p>
      <w:pPr>
        <w:pStyle w:val="ConsNonformat"/>
        <w:widowControl/>
        <w:numPr>
          <w:ilvl w:val="0"/>
          <w:numId w:val="3"/>
        </w:numPr>
        <w:shd w:val="clear" w:color="auto" w:fill="FFFFFF"/>
        <w:tabs>
          <w:tab w:val="clear" w:pos="709"/>
          <w:tab w:val="left" w:pos="993" w:leader="none"/>
          <w:tab w:val="left" w:pos="1134" w:leader="none"/>
        </w:tabs>
        <w:ind w:left="0" w:firstLine="567"/>
        <w:jc w:val="both"/>
        <w:rPr/>
      </w:pPr>
      <w:r>
        <w:rPr>
          <w:rFonts w:cs="Times New Roman" w:ascii="Times New Roman" w:hAnsi="Times New Roman"/>
          <w:sz w:val="22"/>
          <w:szCs w:val="22"/>
        </w:rPr>
        <w:t>Цена контракта (общая стоимость услуг) составляет: ____________</w:t>
      </w:r>
      <w:r>
        <w:rPr>
          <w:rFonts w:cs="Times New Roman" w:ascii="Times New Roman" w:hAnsi="Times New Roman"/>
          <w:b/>
          <w:iCs/>
          <w:sz w:val="22"/>
          <w:szCs w:val="22"/>
        </w:rPr>
        <w:t xml:space="preserve"> (_____________________________ копеек)</w:t>
      </w:r>
      <w:r>
        <w:rPr>
          <w:rFonts w:cs="Times New Roman" w:ascii="Times New Roman" w:hAnsi="Times New Roman"/>
          <w:b/>
          <w:color w:val="000000"/>
          <w:sz w:val="22"/>
          <w:szCs w:val="22"/>
        </w:rPr>
        <w:t xml:space="preserve">, </w:t>
      </w:r>
      <w:r>
        <w:rPr>
          <w:rFonts w:cs="Times New Roman" w:ascii="Times New Roman" w:hAnsi="Times New Roman"/>
          <w:b/>
          <w:sz w:val="22"/>
          <w:szCs w:val="22"/>
        </w:rPr>
        <w:t>НДС ____________</w:t>
      </w:r>
    </w:p>
    <w:p>
      <w:pPr>
        <w:pStyle w:val="ConsNonformat"/>
        <w:widowControl/>
        <w:numPr>
          <w:ilvl w:val="0"/>
          <w:numId w:val="12"/>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Цена контракта является твердой и определяется на весь срок исполнения контракта.</w:t>
      </w:r>
    </w:p>
    <w:p>
      <w:pPr>
        <w:pStyle w:val="ConsNonformat"/>
        <w:widowControl/>
        <w:numPr>
          <w:ilvl w:val="0"/>
          <w:numId w:val="12"/>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Цена контракта может быть снижена по письменному соглашению сторон без изменения предусмотренного контрактом объёма оказанных услуг и иных условий контракта.</w:t>
      </w:r>
    </w:p>
    <w:p>
      <w:pPr>
        <w:pStyle w:val="ConsNonformat"/>
        <w:widowControl/>
        <w:numPr>
          <w:ilvl w:val="0"/>
          <w:numId w:val="12"/>
        </w:numPr>
        <w:shd w:val="clear" w:color="auto" w:fill="FFFFFF"/>
        <w:tabs>
          <w:tab w:val="clear" w:pos="709"/>
          <w:tab w:val="left" w:pos="993" w:leader="none"/>
          <w:tab w:val="left" w:pos="1134" w:leader="none"/>
        </w:tabs>
        <w:ind w:left="0" w:firstLine="567"/>
        <w:jc w:val="both"/>
        <w:rPr/>
      </w:pPr>
      <w:r>
        <w:rPr>
          <w:rFonts w:cs="Times New Roman" w:ascii="Times New Roman" w:hAnsi="Times New Roman"/>
          <w:sz w:val="22"/>
          <w:szCs w:val="22"/>
        </w:rPr>
        <w:t xml:space="preserve">Оплата оказанных Исполнителем услуг осуществляется Заказчиком за счет статей расходов: целевая </w:t>
      </w:r>
      <w:r>
        <w:rPr>
          <w:rFonts w:cs="Times New Roman" w:ascii="Times New Roman" w:hAnsi="Times New Roman"/>
          <w:sz w:val="22"/>
          <w:szCs w:val="22"/>
        </w:rPr>
        <w:t>0220020030</w:t>
      </w:r>
      <w:r>
        <w:rPr>
          <w:rFonts w:cs="Times New Roman" w:ascii="Times New Roman" w:hAnsi="Times New Roman"/>
          <w:sz w:val="22"/>
          <w:szCs w:val="22"/>
        </w:rPr>
        <w:t>, КОСГУ 225, подраздел 0701</w:t>
      </w:r>
      <w:r>
        <w:rPr>
          <w:rFonts w:cs="Times New Roman" w:ascii="Times New Roman" w:hAnsi="Times New Roman"/>
          <w:sz w:val="22"/>
          <w:szCs w:val="22"/>
          <w:u w:val="single"/>
        </w:rPr>
        <w:t>,</w:t>
      </w:r>
      <w:r>
        <w:rPr>
          <w:rFonts w:cs="Times New Roman" w:ascii="Times New Roman" w:hAnsi="Times New Roman"/>
          <w:sz w:val="22"/>
          <w:szCs w:val="22"/>
        </w:rPr>
        <w:t xml:space="preserve"> предусмотренных в приложении 3 к Закону Санкт-Петербурга от </w:t>
      </w:r>
      <w:r>
        <w:rPr>
          <w:rFonts w:cs="Times New Roman" w:ascii="Times New Roman" w:hAnsi="Times New Roman"/>
          <w:sz w:val="22"/>
          <w:szCs w:val="22"/>
        </w:rPr>
        <w:t>29.11.2019 N 614-132</w:t>
      </w:r>
      <w:r>
        <w:rPr>
          <w:rFonts w:cs="Times New Roman" w:ascii="Times New Roman" w:hAnsi="Times New Roman"/>
          <w:sz w:val="22"/>
          <w:szCs w:val="22"/>
        </w:rPr>
        <w:t xml:space="preserve"> «О бюджете Санкт-Петербурга на 2020 год и на плановый период 2021 и 2022 годов» путём перечисления денежных средств платёжным поручением на расчётный счёт Исполнителя в течение 45 дней после подписания комиссией Заказчика по приёмке оказанных услуг (далее – комиссия Заказчика) акта приёмки оказанных услуг. Оплата услуг, оказанных в декабре 2020 года, производится на основании счета, выставленного в срок не позднее 07.12.2020 г., с последующим представлением подтверждающих документов о приемке (кроме счета).</w:t>
      </w:r>
    </w:p>
    <w:p>
      <w:pPr>
        <w:pStyle w:val="ConsNonformat"/>
        <w:widowControl/>
        <w:numPr>
          <w:ilvl w:val="0"/>
          <w:numId w:val="12"/>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Услуги, оказанные Исполнителем с отклонениями от требований 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pPr>
        <w:pStyle w:val="ConsNonformat"/>
        <w:widowControl/>
        <w:numPr>
          <w:ilvl w:val="0"/>
          <w:numId w:val="12"/>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 xml:space="preserve">В случае неисполнения или ненадлежащего исполнения Исполнителем обязательств по контракту </w:t>
      </w:r>
      <w:r>
        <w:rPr>
          <w:rFonts w:cs="Times New Roman" w:ascii="Times New Roman" w:hAnsi="Times New Roman"/>
          <w:spacing w:val="-3"/>
          <w:sz w:val="22"/>
          <w:szCs w:val="22"/>
        </w:rPr>
        <w:t>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w:t>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b/>
          <w:b/>
          <w:sz w:val="22"/>
          <w:szCs w:val="22"/>
        </w:rPr>
      </w:pPr>
      <w:r>
        <w:rPr>
          <w:b/>
          <w:sz w:val="22"/>
          <w:szCs w:val="22"/>
        </w:rPr>
        <w:t>4. ПРАВА И ОБЯЗАННОСТИ СТОРОН</w:t>
      </w:r>
    </w:p>
    <w:p>
      <w:pPr>
        <w:pStyle w:val="ConsNonformat"/>
        <w:widowControl/>
        <w:numPr>
          <w:ilvl w:val="1"/>
          <w:numId w:val="4"/>
        </w:numPr>
        <w:shd w:val="clear" w:color="auto" w:fill="FFFFFF"/>
        <w:tabs>
          <w:tab w:val="clear" w:pos="709"/>
          <w:tab w:val="left" w:pos="993" w:leader="none"/>
          <w:tab w:val="left" w:pos="1134" w:leader="none"/>
        </w:tabs>
        <w:ind w:left="0" w:firstLine="567"/>
        <w:jc w:val="both"/>
        <w:rPr>
          <w:rFonts w:ascii="Times New Roman" w:hAnsi="Times New Roman" w:cs="Times New Roman"/>
          <w:b/>
          <w:b/>
          <w:sz w:val="22"/>
          <w:szCs w:val="22"/>
        </w:rPr>
      </w:pPr>
      <w:r>
        <w:rPr>
          <w:rFonts w:cs="Times New Roman" w:ascii="Times New Roman" w:hAnsi="Times New Roman"/>
          <w:b/>
          <w:sz w:val="22"/>
          <w:szCs w:val="22"/>
        </w:rPr>
        <w:t>Заказчик вправе:</w:t>
      </w:r>
    </w:p>
    <w:p>
      <w:pPr>
        <w:pStyle w:val="ConsNonformat"/>
        <w:widowControl/>
        <w:numPr>
          <w:ilvl w:val="0"/>
          <w:numId w:val="10"/>
        </w:numPr>
        <w:shd w:val="clear" w:color="auto" w:fill="FFFFFF"/>
        <w:tabs>
          <w:tab w:val="clear" w:pos="709"/>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требовать надлежащего исполнения обязательств в соответствии с контрактом;</w:t>
      </w:r>
    </w:p>
    <w:p>
      <w:pPr>
        <w:pStyle w:val="ConsNonformat"/>
        <w:widowControl/>
        <w:numPr>
          <w:ilvl w:val="0"/>
          <w:numId w:val="10"/>
        </w:numPr>
        <w:shd w:val="clear" w:color="auto" w:fill="FFFFFF"/>
        <w:tabs>
          <w:tab w:val="clear" w:pos="709"/>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pPr>
        <w:pStyle w:val="ConsNonformat"/>
        <w:widowControl/>
        <w:numPr>
          <w:ilvl w:val="0"/>
          <w:numId w:val="10"/>
        </w:numPr>
        <w:shd w:val="clear" w:color="auto" w:fill="FFFFFF"/>
        <w:tabs>
          <w:tab w:val="clear" w:pos="709"/>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запрашивать информацию о ходе и состоянии исполнения обязательств по контракту;</w:t>
      </w:r>
    </w:p>
    <w:p>
      <w:pPr>
        <w:pStyle w:val="ConsNonformat"/>
        <w:widowControl/>
        <w:numPr>
          <w:ilvl w:val="0"/>
          <w:numId w:val="10"/>
        </w:numPr>
        <w:shd w:val="clear" w:color="auto" w:fill="FFFFFF"/>
        <w:tabs>
          <w:tab w:val="clear" w:pos="709"/>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 xml:space="preserve">осуществлять контроль за порядком и сроками оказания услуг, не вмешиваясь </w:t>
        <w:br/>
        <w:t>в оперативно-хозяйственную деятельность</w:t>
      </w:r>
      <w:r>
        <w:rPr>
          <w:rFonts w:cs="Times New Roman" w:ascii="Times New Roman" w:hAnsi="Times New Roman"/>
          <w:b/>
          <w:sz w:val="22"/>
          <w:szCs w:val="22"/>
        </w:rPr>
        <w:t xml:space="preserve"> </w:t>
      </w:r>
      <w:r>
        <w:rPr>
          <w:rFonts w:cs="Times New Roman" w:ascii="Times New Roman" w:hAnsi="Times New Roman"/>
          <w:sz w:val="22"/>
          <w:szCs w:val="22"/>
        </w:rPr>
        <w:t>Исполнителя;</w:t>
      </w:r>
    </w:p>
    <w:p>
      <w:pPr>
        <w:pStyle w:val="ConsNonformat"/>
        <w:widowControl/>
        <w:numPr>
          <w:ilvl w:val="0"/>
          <w:numId w:val="10"/>
        </w:numPr>
        <w:shd w:val="clear" w:color="auto" w:fill="FFFFFF"/>
        <w:tabs>
          <w:tab w:val="clear" w:pos="709"/>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отказаться от принятия и оплаты услуг, не соответствующих требованиям контракта;</w:t>
      </w:r>
    </w:p>
    <w:p>
      <w:pPr>
        <w:pStyle w:val="ConsNonformat"/>
        <w:widowControl/>
        <w:numPr>
          <w:ilvl w:val="0"/>
          <w:numId w:val="10"/>
        </w:numPr>
        <w:shd w:val="clear" w:color="auto" w:fill="FFFFFF"/>
        <w:tabs>
          <w:tab w:val="clear" w:pos="709"/>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потребовать возврата уплаченных сумм в случае оплаты услуг, не соответствующего требованиям контракта, до устранения выявленных недостатков, а также выплаты неустойки.</w:t>
      </w:r>
    </w:p>
    <w:p>
      <w:pPr>
        <w:pStyle w:val="ConsNonformat"/>
        <w:widowControl/>
        <w:numPr>
          <w:ilvl w:val="1"/>
          <w:numId w:val="4"/>
        </w:numPr>
        <w:shd w:val="clear" w:color="auto" w:fill="FFFFFF"/>
        <w:tabs>
          <w:tab w:val="clear" w:pos="709"/>
          <w:tab w:val="left" w:pos="993" w:leader="none"/>
          <w:tab w:val="left" w:pos="1134" w:leader="none"/>
        </w:tabs>
        <w:ind w:left="0" w:firstLine="567"/>
        <w:jc w:val="both"/>
        <w:rPr>
          <w:rFonts w:ascii="Times New Roman" w:hAnsi="Times New Roman" w:cs="Times New Roman"/>
          <w:b/>
          <w:b/>
          <w:sz w:val="22"/>
          <w:szCs w:val="22"/>
        </w:rPr>
      </w:pPr>
      <w:r>
        <w:rPr>
          <w:rFonts w:cs="Times New Roman" w:ascii="Times New Roman" w:hAnsi="Times New Roman"/>
          <w:b/>
          <w:sz w:val="22"/>
          <w:szCs w:val="22"/>
        </w:rPr>
        <w:t>Заказчик обязан:</w:t>
      </w:r>
    </w:p>
    <w:p>
      <w:pPr>
        <w:pStyle w:val="ConsNonformat"/>
        <w:widowControl/>
        <w:numPr>
          <w:ilvl w:val="0"/>
          <w:numId w:val="9"/>
        </w:numPr>
        <w:shd w:val="clear" w:color="auto" w:fill="FFFFFF"/>
        <w:tabs>
          <w:tab w:val="clear" w:pos="709"/>
          <w:tab w:val="left" w:pos="851" w:leader="none"/>
        </w:tabs>
        <w:ind w:left="0" w:firstLine="567"/>
        <w:jc w:val="both"/>
        <w:rPr>
          <w:rFonts w:ascii="Times New Roman" w:hAnsi="Times New Roman" w:cs="Times New Roman"/>
          <w:sz w:val="22"/>
          <w:szCs w:val="22"/>
        </w:rPr>
      </w:pPr>
      <w:r>
        <w:rPr>
          <w:rFonts w:cs="Times New Roman" w:ascii="Times New Roman" w:hAnsi="Times New Roman"/>
          <w:spacing w:val="-3"/>
          <w:sz w:val="22"/>
          <w:szCs w:val="22"/>
        </w:rPr>
        <w:t xml:space="preserve">осуществлять контроль за ходом и качеством </w:t>
      </w:r>
      <w:r>
        <w:rPr>
          <w:rFonts w:cs="Times New Roman" w:ascii="Times New Roman" w:hAnsi="Times New Roman"/>
          <w:sz w:val="22"/>
          <w:szCs w:val="22"/>
        </w:rPr>
        <w:t>услуг</w:t>
      </w:r>
      <w:r>
        <w:rPr>
          <w:rFonts w:cs="Times New Roman" w:ascii="Times New Roman" w:hAnsi="Times New Roman"/>
          <w:spacing w:val="-3"/>
          <w:sz w:val="22"/>
          <w:szCs w:val="22"/>
        </w:rPr>
        <w:t xml:space="preserve">, соблюдением сроков их </w:t>
      </w:r>
      <w:r>
        <w:rPr>
          <w:rFonts w:cs="Times New Roman" w:ascii="Times New Roman" w:hAnsi="Times New Roman"/>
          <w:sz w:val="22"/>
          <w:szCs w:val="22"/>
        </w:rPr>
        <w:t xml:space="preserve">оказания </w:t>
      </w:r>
      <w:r>
        <w:rPr>
          <w:rFonts w:cs="Times New Roman" w:ascii="Times New Roman" w:hAnsi="Times New Roman"/>
          <w:spacing w:val="-3"/>
          <w:sz w:val="22"/>
          <w:szCs w:val="22"/>
        </w:rPr>
        <w:t>и соответствием установленной контрактом цене, не вмешиваясь при этом в оперативно-хозяйственную деятельность Исполнителя.</w:t>
      </w:r>
    </w:p>
    <w:p>
      <w:pPr>
        <w:pStyle w:val="ConsNonformat"/>
        <w:widowControl/>
        <w:numPr>
          <w:ilvl w:val="0"/>
          <w:numId w:val="9"/>
        </w:numPr>
        <w:shd w:val="clear" w:color="auto" w:fill="FFFFFF"/>
        <w:tabs>
          <w:tab w:val="clear" w:pos="709"/>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принять услуги в порядке и сроки, предусмотренные контрактом;</w:t>
      </w:r>
    </w:p>
    <w:p>
      <w:pPr>
        <w:pStyle w:val="ConsNonformat"/>
        <w:widowControl/>
        <w:numPr>
          <w:ilvl w:val="0"/>
          <w:numId w:val="9"/>
        </w:numPr>
        <w:shd w:val="clear" w:color="auto" w:fill="FFFFFF"/>
        <w:tabs>
          <w:tab w:val="clear" w:pos="709"/>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оплатить оказанные услуги в случае надлежащего исполнения обязательств по контракту в порядке и на условиях, предусмотренным контрактом.</w:t>
      </w:r>
    </w:p>
    <w:p>
      <w:pPr>
        <w:pStyle w:val="ConsNonformat"/>
        <w:widowControl/>
        <w:numPr>
          <w:ilvl w:val="1"/>
          <w:numId w:val="4"/>
        </w:numPr>
        <w:shd w:val="clear" w:color="auto" w:fill="FFFFFF"/>
        <w:tabs>
          <w:tab w:val="clear" w:pos="709"/>
          <w:tab w:val="left" w:pos="993" w:leader="none"/>
          <w:tab w:val="left" w:pos="1134" w:leader="none"/>
        </w:tabs>
        <w:ind w:left="0" w:firstLine="567"/>
        <w:jc w:val="both"/>
        <w:rPr>
          <w:rFonts w:ascii="Times New Roman" w:hAnsi="Times New Roman" w:cs="Times New Roman"/>
          <w:b/>
          <w:b/>
          <w:sz w:val="22"/>
          <w:szCs w:val="22"/>
        </w:rPr>
      </w:pPr>
      <w:r>
        <w:rPr>
          <w:rFonts w:cs="Times New Roman" w:ascii="Times New Roman" w:hAnsi="Times New Roman"/>
          <w:b/>
          <w:sz w:val="22"/>
          <w:szCs w:val="22"/>
        </w:rPr>
        <w:t>Исполнитель вправе:</w:t>
      </w:r>
    </w:p>
    <w:p>
      <w:pPr>
        <w:pStyle w:val="ConsNonformat"/>
        <w:widowControl/>
        <w:numPr>
          <w:ilvl w:val="0"/>
          <w:numId w:val="8"/>
        </w:numPr>
        <w:shd w:val="clear" w:color="auto" w:fill="FFFFFF"/>
        <w:tabs>
          <w:tab w:val="clear" w:pos="709"/>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 xml:space="preserve">требовать подписания документов об исполнении им обязательств по контракту </w:t>
        <w:br/>
        <w:t>от Заказчика;</w:t>
      </w:r>
    </w:p>
    <w:p>
      <w:pPr>
        <w:pStyle w:val="ConsNonformat"/>
        <w:widowControl/>
        <w:numPr>
          <w:ilvl w:val="0"/>
          <w:numId w:val="8"/>
        </w:numPr>
        <w:shd w:val="clear" w:color="auto" w:fill="FFFFFF"/>
        <w:tabs>
          <w:tab w:val="clear" w:pos="709"/>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требовать оплаты по контракту в случае надлежащего исполнения своих обязательств по контракту.</w:t>
      </w:r>
    </w:p>
    <w:p>
      <w:pPr>
        <w:pStyle w:val="ConsNonformat"/>
        <w:widowControl/>
        <w:numPr>
          <w:ilvl w:val="1"/>
          <w:numId w:val="4"/>
        </w:numPr>
        <w:shd w:val="clear" w:color="auto" w:fill="FFFFFF"/>
        <w:tabs>
          <w:tab w:val="clear" w:pos="709"/>
          <w:tab w:val="left" w:pos="993" w:leader="none"/>
          <w:tab w:val="left" w:pos="1134" w:leader="none"/>
        </w:tabs>
        <w:ind w:left="0" w:firstLine="567"/>
        <w:jc w:val="both"/>
        <w:rPr>
          <w:rFonts w:ascii="Times New Roman" w:hAnsi="Times New Roman" w:cs="Times New Roman"/>
          <w:b/>
          <w:b/>
          <w:sz w:val="22"/>
          <w:szCs w:val="22"/>
        </w:rPr>
      </w:pPr>
      <w:r>
        <w:rPr>
          <w:rFonts w:cs="Times New Roman" w:ascii="Times New Roman" w:hAnsi="Times New Roman"/>
          <w:b/>
          <w:sz w:val="22"/>
          <w:szCs w:val="22"/>
        </w:rPr>
        <w:t>Исполнитель обязан:</w:t>
      </w:r>
    </w:p>
    <w:p>
      <w:pPr>
        <w:pStyle w:val="ConsNonformat"/>
        <w:widowControl/>
        <w:numPr>
          <w:ilvl w:val="0"/>
          <w:numId w:val="7"/>
        </w:numPr>
        <w:shd w:val="clear" w:color="auto" w:fill="FFFFFF"/>
        <w:tabs>
          <w:tab w:val="clear" w:pos="709"/>
          <w:tab w:val="left" w:pos="284" w:leader="none"/>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оказать услуги в соответствии с условиями контракта, обеспечив их надлежащее качество, в установленные контрактом сроки;</w:t>
      </w:r>
    </w:p>
    <w:p>
      <w:pPr>
        <w:pStyle w:val="ConsNonformat"/>
        <w:widowControl/>
        <w:numPr>
          <w:ilvl w:val="0"/>
          <w:numId w:val="7"/>
        </w:numPr>
        <w:shd w:val="clear" w:color="auto" w:fill="FFFFFF"/>
        <w:tabs>
          <w:tab w:val="clear" w:pos="709"/>
          <w:tab w:val="left" w:pos="284" w:leader="none"/>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 xml:space="preserve">исполнять полученные в ходе исполнения </w:t>
      </w:r>
      <w:r>
        <w:rPr>
          <w:rFonts w:cs="Times New Roman" w:ascii="Times New Roman" w:hAnsi="Times New Roman"/>
          <w:bCs/>
          <w:iCs/>
          <w:sz w:val="22"/>
          <w:szCs w:val="22"/>
        </w:rPr>
        <w:t xml:space="preserve">обязательств по контракту </w:t>
      </w:r>
      <w:r>
        <w:rPr>
          <w:rFonts w:cs="Times New Roman" w:ascii="Times New Roman" w:hAnsi="Times New Roman"/>
          <w:sz w:val="22"/>
          <w:szCs w:val="22"/>
        </w:rPr>
        <w:t xml:space="preserve">указания Заказчика, </w:t>
      </w:r>
      <w:r>
        <w:rPr>
          <w:rFonts w:cs="Times New Roman" w:ascii="Times New Roman" w:hAnsi="Times New Roman"/>
          <w:bCs/>
          <w:iCs/>
          <w:sz w:val="22"/>
          <w:szCs w:val="22"/>
        </w:rPr>
        <w:t xml:space="preserve">в том числе в срок, установленный Заказчиком, безвозмездно устранять обнаруженные им недостатки </w:t>
      </w:r>
      <w:r>
        <w:rPr>
          <w:rFonts w:cs="Times New Roman" w:ascii="Times New Roman" w:hAnsi="Times New Roman"/>
          <w:sz w:val="22"/>
          <w:szCs w:val="22"/>
        </w:rPr>
        <w:t>в оказанных услугах;</w:t>
      </w:r>
    </w:p>
    <w:p>
      <w:pPr>
        <w:pStyle w:val="ConsNonformat"/>
        <w:widowControl/>
        <w:numPr>
          <w:ilvl w:val="0"/>
          <w:numId w:val="7"/>
        </w:numPr>
        <w:shd w:val="clear" w:color="auto" w:fill="FFFFFF"/>
        <w:tabs>
          <w:tab w:val="clear" w:pos="709"/>
          <w:tab w:val="left" w:pos="284" w:leader="none"/>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передать надлежащим образом оформленные отчётные и финансовые документы;</w:t>
      </w:r>
    </w:p>
    <w:p>
      <w:pPr>
        <w:pStyle w:val="ConsNonformat"/>
        <w:widowControl/>
        <w:numPr>
          <w:ilvl w:val="0"/>
          <w:numId w:val="7"/>
        </w:numPr>
        <w:shd w:val="clear" w:color="auto" w:fill="FFFFFF"/>
        <w:tabs>
          <w:tab w:val="clear" w:pos="709"/>
          <w:tab w:val="left" w:pos="284" w:leader="none"/>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представить по запросу Заказчика в сроки, указанные в таком запросе, информацию о ходе исполнения обязательств по контракту;</w:t>
      </w:r>
    </w:p>
    <w:p>
      <w:pPr>
        <w:pStyle w:val="ConsNonformat"/>
        <w:widowControl/>
        <w:numPr>
          <w:ilvl w:val="0"/>
          <w:numId w:val="7"/>
        </w:numPr>
        <w:shd w:val="clear" w:color="auto" w:fill="FFFFFF"/>
        <w:tabs>
          <w:tab w:val="clear" w:pos="709"/>
          <w:tab w:val="left" w:pos="284" w:leader="none"/>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pPr>
        <w:pStyle w:val="ConsNonformat"/>
        <w:widowControl/>
        <w:numPr>
          <w:ilvl w:val="0"/>
          <w:numId w:val="7"/>
        </w:numPr>
        <w:shd w:val="clear" w:color="auto" w:fill="FFFFFF"/>
        <w:tabs>
          <w:tab w:val="clear" w:pos="709"/>
          <w:tab w:val="left" w:pos="284" w:leader="none"/>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не раскрывать третьим лицам без письменного согласия Заказчика количество, объём, характер оказанных услуг и условия их оплаты;</w:t>
      </w:r>
    </w:p>
    <w:p>
      <w:pPr>
        <w:pStyle w:val="ConsNonformat"/>
        <w:widowControl/>
        <w:numPr>
          <w:ilvl w:val="0"/>
          <w:numId w:val="7"/>
        </w:numPr>
        <w:shd w:val="clear" w:color="auto" w:fill="FFFFFF"/>
        <w:tabs>
          <w:tab w:val="clear" w:pos="709"/>
          <w:tab w:val="left" w:pos="284" w:leader="none"/>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соблюдать конфиденциальность в отношении всей информации, ставшей известной Исполнителю в связи с исполнением обязательств по контракту;</w:t>
      </w:r>
    </w:p>
    <w:p>
      <w:pPr>
        <w:pStyle w:val="ConsNonformat"/>
        <w:widowControl/>
        <w:numPr>
          <w:ilvl w:val="0"/>
          <w:numId w:val="7"/>
        </w:numPr>
        <w:shd w:val="clear" w:color="auto" w:fill="FFFFFF"/>
        <w:tabs>
          <w:tab w:val="clear" w:pos="709"/>
          <w:tab w:val="left" w:pos="284" w:leader="none"/>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pPr>
        <w:pStyle w:val="ConsNonformat"/>
        <w:widowControl/>
        <w:numPr>
          <w:ilvl w:val="0"/>
          <w:numId w:val="7"/>
        </w:numPr>
        <w:shd w:val="clear" w:color="auto" w:fill="FFFFFF"/>
        <w:tabs>
          <w:tab w:val="clear" w:pos="709"/>
          <w:tab w:val="left" w:pos="284" w:leader="none"/>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оказать услуги с соблюдением норм пожарной безопасности, техники безопасности, охраны окружающей среды;</w:t>
      </w:r>
    </w:p>
    <w:p>
      <w:pPr>
        <w:pStyle w:val="ConsNonformat"/>
        <w:widowControl/>
        <w:numPr>
          <w:ilvl w:val="0"/>
          <w:numId w:val="7"/>
        </w:numPr>
        <w:shd w:val="clear" w:color="auto" w:fill="FFFFFF"/>
        <w:tabs>
          <w:tab w:val="clear" w:pos="709"/>
          <w:tab w:val="left" w:pos="284" w:leader="none"/>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оказать услуги, используя свое оборудование, свой инвентарь и свои материалы;</w:t>
      </w:r>
    </w:p>
    <w:p>
      <w:pPr>
        <w:pStyle w:val="ConsNonformat"/>
        <w:widowControl/>
        <w:numPr>
          <w:ilvl w:val="0"/>
          <w:numId w:val="7"/>
        </w:numPr>
        <w:shd w:val="clear" w:color="auto" w:fill="FFFFFF"/>
        <w:tabs>
          <w:tab w:val="clear" w:pos="709"/>
          <w:tab w:val="left" w:pos="284" w:leader="none"/>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допускать к оказанию услуг проинструктированный по технике безопасности персонал;</w:t>
      </w:r>
    </w:p>
    <w:p>
      <w:pPr>
        <w:pStyle w:val="ConsNonformat"/>
        <w:widowControl/>
        <w:numPr>
          <w:ilvl w:val="0"/>
          <w:numId w:val="7"/>
        </w:numPr>
        <w:shd w:val="clear" w:color="auto" w:fill="FFFFFF"/>
        <w:tabs>
          <w:tab w:val="clear" w:pos="709"/>
          <w:tab w:val="left" w:pos="284" w:leader="none"/>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исполнять полученные в ходе оказания услуг указания Заказчика, устранять обнаруженные недостатки в оказанных услугах или иные отступления от условий контракта;</w:t>
      </w:r>
    </w:p>
    <w:p>
      <w:pPr>
        <w:pStyle w:val="ConsNonformat"/>
        <w:widowControl/>
        <w:numPr>
          <w:ilvl w:val="0"/>
          <w:numId w:val="7"/>
        </w:numPr>
        <w:shd w:val="clear" w:color="auto" w:fill="FFFFFF"/>
        <w:tabs>
          <w:tab w:val="clear" w:pos="709"/>
          <w:tab w:val="left" w:pos="284" w:leader="none"/>
          <w:tab w:val="left" w:pos="851" w:leader="none"/>
        </w:tabs>
        <w:ind w:left="0" w:firstLine="567"/>
        <w:jc w:val="both"/>
        <w:rPr>
          <w:rFonts w:ascii="Times New Roman" w:hAnsi="Times New Roman" w:cs="Times New Roman"/>
          <w:sz w:val="22"/>
          <w:szCs w:val="22"/>
        </w:rPr>
      </w:pPr>
      <w:r>
        <w:rPr>
          <w:rFonts w:cs="Times New Roman" w:ascii="Times New Roman" w:hAnsi="Times New Roman"/>
          <w:sz w:val="22"/>
          <w:szCs w:val="22"/>
        </w:rPr>
        <w:t>выполнять иные обязанности, предусмотренные действующим законодательством и контрактом.</w:t>
      </w:r>
    </w:p>
    <w:p>
      <w:pPr>
        <w:pStyle w:val="Normal"/>
        <w:jc w:val="center"/>
        <w:rPr>
          <w:b/>
          <w:b/>
          <w:bCs/>
          <w:sz w:val="22"/>
          <w:szCs w:val="22"/>
        </w:rPr>
      </w:pPr>
      <w:r>
        <w:rPr>
          <w:b/>
          <w:bCs/>
          <w:sz w:val="22"/>
          <w:szCs w:val="22"/>
        </w:rPr>
      </w:r>
    </w:p>
    <w:p>
      <w:pPr>
        <w:pStyle w:val="Normal"/>
        <w:jc w:val="center"/>
        <w:rPr>
          <w:sz w:val="22"/>
          <w:szCs w:val="22"/>
        </w:rPr>
      </w:pPr>
      <w:r>
        <w:rPr>
          <w:b/>
          <w:bCs/>
          <w:sz w:val="22"/>
          <w:szCs w:val="22"/>
        </w:rPr>
        <w:t xml:space="preserve">5. ПОРЯДОК СДАЧИ-ПРИЁМКИ ОКАЗАННЫХ УСЛУГ </w:t>
      </w:r>
    </w:p>
    <w:p>
      <w:pPr>
        <w:pStyle w:val="ConsNonformat"/>
        <w:widowControl/>
        <w:numPr>
          <w:ilvl w:val="0"/>
          <w:numId w:val="5"/>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Для проверки оказанных услуг в части их соответствия условиям контракта Заказчик обязан провести экспертизу. Экспертиза оказанных услуг может проводиться Заказчиком своими силами или к ее проведению могут привлекаться эксперты, экспертные организации.</w:t>
      </w:r>
    </w:p>
    <w:p>
      <w:pPr>
        <w:pStyle w:val="ConsNonformat"/>
        <w:widowControl/>
        <w:numPr>
          <w:ilvl w:val="0"/>
          <w:numId w:val="5"/>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При обнаружении Заказчиком в ходе приёмки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pPr>
        <w:pStyle w:val="Normal"/>
        <w:ind w:firstLine="567"/>
        <w:rPr>
          <w:sz w:val="22"/>
          <w:szCs w:val="22"/>
        </w:rPr>
      </w:pPr>
      <w:r>
        <w:rPr>
          <w:sz w:val="22"/>
          <w:szCs w:val="22"/>
        </w:rPr>
        <w:t>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pPr>
        <w:pStyle w:val="ConsNonformat"/>
        <w:widowControl/>
        <w:numPr>
          <w:ilvl w:val="0"/>
          <w:numId w:val="5"/>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 xml:space="preserve">Исполнитель обязан устранить все обнаруженные недостатки в срок, указанный </w:t>
        <w:br/>
        <w:t>в предписании.</w:t>
      </w:r>
    </w:p>
    <w:p>
      <w:pPr>
        <w:pStyle w:val="ConsNonformat"/>
        <w:widowControl/>
        <w:numPr>
          <w:ilvl w:val="0"/>
          <w:numId w:val="5"/>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pPr>
        <w:pStyle w:val="ConsNonformat"/>
        <w:widowControl/>
        <w:numPr>
          <w:ilvl w:val="0"/>
          <w:numId w:val="5"/>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В случае завершения оказания услуг ранее срока, установленного в пункте 2.2 контракта, Исполнитель письменно уведомляет Заказчика о готовности сдачи оказанных услуг комиссии Заказчика.</w:t>
      </w:r>
    </w:p>
    <w:p>
      <w:pPr>
        <w:pStyle w:val="ConsNonformat"/>
        <w:widowControl/>
        <w:shd w:val="clear" w:color="auto" w:fill="FFFFFF"/>
        <w:tabs>
          <w:tab w:val="clear" w:pos="709"/>
          <w:tab w:val="left" w:pos="993" w:leader="none"/>
          <w:tab w:val="left" w:pos="1134" w:leader="none"/>
        </w:tabs>
        <w:ind w:firstLine="567"/>
        <w:jc w:val="both"/>
        <w:rPr>
          <w:rFonts w:ascii="Times New Roman" w:hAnsi="Times New Roman" w:cs="Times New Roman"/>
          <w:sz w:val="22"/>
          <w:szCs w:val="22"/>
        </w:rPr>
      </w:pPr>
      <w:r>
        <w:rPr>
          <w:rFonts w:cs="Times New Roman" w:ascii="Times New Roman" w:hAnsi="Times New Roman"/>
          <w:sz w:val="22"/>
          <w:szCs w:val="22"/>
        </w:rPr>
        <w:t>Комиссия Заказчика в течение 2-х рабочих дней после получения уведомления Исполнителя приступает к приемке услуг и обеспечивает участие в комиссии, при необходимости, представителей заинтересованных государственных органов и организаций. Приёмка оказанных услуг и оформление её результатов осуществляются в течение 3 (трёх) рабочих дней.</w:t>
      </w:r>
    </w:p>
    <w:p>
      <w:pPr>
        <w:pStyle w:val="ConsNonformat"/>
        <w:widowControl/>
        <w:numPr>
          <w:ilvl w:val="0"/>
          <w:numId w:val="5"/>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Датой сдачи Исполнителем оказанных услуг и приёмки их Заказчиком считается дата подписания комиссией Заказчика акта приёмки оказанных услуг.</w:t>
      </w:r>
    </w:p>
    <w:p>
      <w:pPr>
        <w:pStyle w:val="ConsNonformat"/>
        <w:widowControl/>
        <w:numPr>
          <w:ilvl w:val="0"/>
          <w:numId w:val="5"/>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Риски случайной гибели или случайного повреждения результата услуг переходят от Исполнителя к Заказчику с момента подписания комиссией Заказчика и представителем Исполнителя акта приёмки  оказанных услуг, а в случае обнаружения в ходе приёмки  услуг недостатков - с момента устранения Исполнителем всех выявленных недостатков в соответствии с актом, составленным согласно пункту 5.2 контракта.</w:t>
      </w:r>
    </w:p>
    <w:p>
      <w:pPr>
        <w:pStyle w:val="ConsNonformat"/>
        <w:widowControl/>
        <w:numPr>
          <w:ilvl w:val="0"/>
          <w:numId w:val="5"/>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bCs/>
          <w:spacing w:val="-3"/>
          <w:sz w:val="22"/>
          <w:szCs w:val="22"/>
        </w:rPr>
        <w:t xml:space="preserve">В случае, предусмотренном пунктом 3.5 контракта, в акте приёмки </w:t>
      </w:r>
      <w:r>
        <w:rPr>
          <w:rFonts w:cs="Times New Roman" w:ascii="Times New Roman" w:hAnsi="Times New Roman"/>
          <w:sz w:val="22"/>
          <w:szCs w:val="22"/>
        </w:rPr>
        <w:t>оказанных услуг</w:t>
      </w:r>
      <w:r>
        <w:rPr>
          <w:rFonts w:cs="Times New Roman" w:ascii="Times New Roman" w:hAnsi="Times New Roman"/>
          <w:bCs/>
          <w:spacing w:val="-3"/>
          <w:sz w:val="22"/>
          <w:szCs w:val="22"/>
        </w:rPr>
        <w:t xml:space="preserve"> указываются: сумма, подлежащая оплате в соответствии с контрактом, размер неустойки, подлежащей взысканию, основания применения и расчет неустойки, итоговая сумма, подлежащая оплате по контракту.</w:t>
      </w:r>
    </w:p>
    <w:p>
      <w:pPr>
        <w:pStyle w:val="Normal"/>
        <w:ind w:firstLine="709"/>
        <w:rPr>
          <w:b/>
          <w:b/>
          <w:sz w:val="22"/>
          <w:szCs w:val="22"/>
        </w:rPr>
      </w:pPr>
      <w:r>
        <w:rPr>
          <w:b/>
          <w:sz w:val="22"/>
          <w:szCs w:val="22"/>
        </w:rPr>
      </w:r>
    </w:p>
    <w:p>
      <w:pPr>
        <w:pStyle w:val="Normal"/>
        <w:jc w:val="center"/>
        <w:rPr>
          <w:b/>
          <w:b/>
          <w:sz w:val="22"/>
          <w:szCs w:val="22"/>
        </w:rPr>
      </w:pPr>
      <w:r>
        <w:rPr>
          <w:b/>
          <w:sz w:val="22"/>
          <w:szCs w:val="22"/>
        </w:rPr>
        <w:t>6. ОТВЕТСТВЕННОСТЬ СТОРОН</w:t>
      </w:r>
    </w:p>
    <w:p>
      <w:pPr>
        <w:pStyle w:val="Normal"/>
        <w:ind w:firstLine="540"/>
        <w:rPr/>
      </w:pPr>
      <w:bookmarkStart w:id="1" w:name="Par21"/>
      <w:bookmarkEnd w:id="1"/>
      <w:r>
        <w:rPr>
          <w:rFonts w:eastAsia="Calibri"/>
          <w:sz w:val="22"/>
          <w:szCs w:val="22"/>
          <w:lang w:eastAsia="en-US"/>
        </w:rPr>
        <w:t xml:space="preserve">6.1.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w:t>
      </w:r>
      <w:r>
        <w:rPr>
          <w:rFonts w:eastAsia="Calibri"/>
          <w:sz w:val="22"/>
          <w:szCs w:val="22"/>
          <w:u w:val="single"/>
          <w:lang w:eastAsia="en-US"/>
        </w:rPr>
        <w:t xml:space="preserve">  _______</w:t>
      </w:r>
      <w:r>
        <w:rPr>
          <w:rFonts w:eastAsia="Calibri"/>
          <w:sz w:val="22"/>
          <w:szCs w:val="22"/>
          <w:lang w:eastAsia="en-US"/>
        </w:rPr>
        <w:t xml:space="preserve"> руб. (за исключением случаев, предусмотренных </w:t>
      </w:r>
      <w:hyperlink w:anchor="Par31">
        <w:r>
          <w:rPr>
            <w:rStyle w:val="ListLabel22"/>
            <w:rFonts w:eastAsia="Calibri"/>
            <w:sz w:val="22"/>
            <w:szCs w:val="22"/>
            <w:lang w:eastAsia="en-US"/>
          </w:rPr>
          <w:t>пунктами 6.2</w:t>
        </w:r>
      </w:hyperlink>
      <w:r>
        <w:rPr>
          <w:rFonts w:eastAsia="Calibri"/>
          <w:sz w:val="22"/>
          <w:szCs w:val="22"/>
          <w:lang w:eastAsia="en-US"/>
        </w:rPr>
        <w:t xml:space="preserve"> – 6.</w:t>
      </w:r>
      <w:hyperlink w:anchor="Par45">
        <w:r>
          <w:rPr>
            <w:rStyle w:val="ListLabel22"/>
            <w:rFonts w:eastAsia="Calibri"/>
            <w:sz w:val="22"/>
            <w:szCs w:val="22"/>
            <w:lang w:eastAsia="en-US"/>
          </w:rPr>
          <w:t>6</w:t>
        </w:r>
      </w:hyperlink>
      <w:r>
        <w:rPr>
          <w:rFonts w:eastAsia="Calibri"/>
          <w:sz w:val="22"/>
          <w:szCs w:val="22"/>
          <w:lang w:eastAsia="en-US"/>
        </w:rPr>
        <w:t xml:space="preserve"> контракта).</w:t>
      </w:r>
    </w:p>
    <w:p>
      <w:pPr>
        <w:pStyle w:val="Normal"/>
        <w:ind w:firstLine="539"/>
        <w:rPr/>
      </w:pPr>
      <w:bookmarkStart w:id="2" w:name="Par31"/>
      <w:bookmarkEnd w:id="2"/>
      <w:r>
        <w:rPr>
          <w:rFonts w:eastAsia="Calibri"/>
          <w:sz w:val="22"/>
          <w:szCs w:val="22"/>
          <w:lang w:eastAsia="en-US"/>
        </w:rPr>
        <w:t xml:space="preserve">6.2. 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w:t>
      </w:r>
      <w:hyperlink r:id="rId2">
        <w:r>
          <w:rPr>
            <w:rStyle w:val="ListLabel22"/>
            <w:rFonts w:eastAsia="Calibri"/>
            <w:sz w:val="22"/>
            <w:szCs w:val="22"/>
            <w:lang w:eastAsia="en-US"/>
          </w:rPr>
          <w:t>пунктом 1 части 1 статьи 30</w:t>
        </w:r>
      </w:hyperlink>
      <w:r>
        <w:rPr>
          <w:rFonts w:eastAsia="Calibri"/>
          <w:sz w:val="22"/>
          <w:szCs w:val="22"/>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составляет  ________ руб.</w:t>
      </w:r>
      <w:r>
        <w:rPr>
          <w:rStyle w:val="Style25"/>
          <w:rFonts w:eastAsia="Calibri"/>
          <w:sz w:val="22"/>
          <w:szCs w:val="22"/>
          <w:lang w:eastAsia="en-US"/>
        </w:rPr>
        <w:footnoteReference w:id="2"/>
      </w:r>
    </w:p>
    <w:p>
      <w:pPr>
        <w:pStyle w:val="Normal"/>
        <w:ind w:firstLine="539"/>
        <w:rPr/>
      </w:pPr>
      <w:r>
        <w:rPr>
          <w:rFonts w:eastAsia="Calibri"/>
          <w:sz w:val="22"/>
          <w:szCs w:val="22"/>
          <w:lang w:eastAsia="en-US"/>
        </w:rPr>
        <w:t xml:space="preserve">6.3. За каждый факт неисполнения или ненадлежащего исполнения Подрядчиком обязательств, за исключением просрочки исполнения обязательств (в том числе гарантийного обязательства), предусмотренных контрактом, заключенным с победителем закупки (или с иным участником закупки в случаях, установленных Федеральным </w:t>
      </w:r>
      <w:hyperlink r:id="rId3">
        <w:r>
          <w:rPr>
            <w:rStyle w:val="ListLabel22"/>
            <w:rFonts w:eastAsia="Calibri"/>
            <w:sz w:val="22"/>
            <w:szCs w:val="22"/>
            <w:lang w:eastAsia="en-US"/>
          </w:rPr>
          <w:t>законом</w:t>
        </w:r>
      </w:hyperlink>
      <w:r>
        <w:rPr>
          <w:rFonts w:eastAsia="Calibri"/>
          <w:sz w:val="22"/>
          <w:szCs w:val="22"/>
          <w:lang w:eastAsia="en-US"/>
        </w:rPr>
        <w:t>), предложившим наиболее высокую цену за право заключения контракта, размер штрафа составляет ______ руб.</w:t>
      </w:r>
      <w:r>
        <w:rPr>
          <w:rStyle w:val="Style25"/>
          <w:rFonts w:eastAsia="Calibri"/>
          <w:sz w:val="22"/>
          <w:szCs w:val="22"/>
          <w:lang w:eastAsia="en-US"/>
        </w:rPr>
        <w:footnoteReference w:id="3"/>
      </w:r>
      <w:r>
        <w:rPr>
          <w:rFonts w:eastAsia="Calibri"/>
          <w:sz w:val="22"/>
          <w:szCs w:val="22"/>
          <w:lang w:eastAsia="en-US"/>
        </w:rPr>
        <w:t xml:space="preserve"> </w:t>
      </w:r>
    </w:p>
    <w:p>
      <w:pPr>
        <w:pStyle w:val="Normal"/>
        <w:ind w:firstLine="539"/>
        <w:rPr/>
      </w:pPr>
      <w:r>
        <w:rPr>
          <w:rFonts w:eastAsia="Calibri"/>
          <w:sz w:val="22"/>
          <w:szCs w:val="22"/>
          <w:lang w:eastAsia="en-US"/>
        </w:rPr>
        <w:t>6.4.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составляет ______ руб.</w:t>
      </w:r>
      <w:r>
        <w:rPr>
          <w:rStyle w:val="Style25"/>
          <w:rFonts w:eastAsia="Calibri"/>
          <w:sz w:val="22"/>
          <w:szCs w:val="22"/>
          <w:lang w:eastAsia="en-US"/>
        </w:rPr>
        <w:footnoteReference w:id="4"/>
      </w:r>
    </w:p>
    <w:p>
      <w:pPr>
        <w:pStyle w:val="Normal"/>
        <w:ind w:firstLine="540"/>
        <w:rPr>
          <w:rFonts w:eastAsia="Calibri"/>
          <w:sz w:val="22"/>
          <w:szCs w:val="22"/>
          <w:lang w:eastAsia="en-US"/>
        </w:rPr>
      </w:pPr>
      <w:r>
        <w:rPr>
          <w:rFonts w:eastAsia="Calibri"/>
          <w:sz w:val="22"/>
          <w:szCs w:val="22"/>
          <w:lang w:eastAsia="en-US"/>
        </w:rPr>
        <w:t>6.5.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Подрядчиком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Normal"/>
        <w:ind w:firstLine="540"/>
        <w:rPr/>
      </w:pPr>
      <w:bookmarkStart w:id="3" w:name="Par45"/>
      <w:bookmarkEnd w:id="3"/>
      <w:r>
        <w:rPr>
          <w:rFonts w:eastAsia="Calibri"/>
          <w:sz w:val="22"/>
          <w:szCs w:val="22"/>
          <w:lang w:eastAsia="en-US"/>
        </w:rPr>
        <w:t xml:space="preserve">6.6. В случае если в соответствии с </w:t>
      </w:r>
      <w:hyperlink r:id="rId4">
        <w:r>
          <w:rPr>
            <w:rStyle w:val="ListLabel22"/>
            <w:rFonts w:eastAsia="Calibri"/>
            <w:sz w:val="22"/>
            <w:szCs w:val="22"/>
            <w:lang w:eastAsia="en-US"/>
          </w:rPr>
          <w:t>частью 6 статьи 30</w:t>
        </w:r>
      </w:hyperlink>
      <w:r>
        <w:rPr>
          <w:rFonts w:eastAsia="Calibri"/>
          <w:sz w:val="22"/>
          <w:szCs w:val="22"/>
          <w:lang w:eastAsia="en-US"/>
        </w:rPr>
        <w:t xml:space="preserve"> Федерального закона контрактом предусмотрено условие о гражданско-правовой ответственности Подрядчика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Normal"/>
        <w:ind w:firstLine="540"/>
        <w:rPr>
          <w:rFonts w:eastAsia="Calibri"/>
          <w:sz w:val="22"/>
          <w:szCs w:val="22"/>
          <w:lang w:eastAsia="en-US"/>
        </w:rPr>
      </w:pPr>
      <w:bookmarkStart w:id="4" w:name="Par46"/>
      <w:bookmarkEnd w:id="4"/>
      <w:r>
        <w:rPr>
          <w:rFonts w:eastAsia="Calibri"/>
          <w:sz w:val="22"/>
          <w:szCs w:val="22"/>
          <w:lang w:eastAsia="en-US"/>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1 000,00 руб.</w:t>
      </w:r>
      <w:r>
        <w:rPr>
          <w:rStyle w:val="Style25"/>
          <w:rFonts w:eastAsia="Calibri"/>
          <w:sz w:val="22"/>
          <w:szCs w:val="22"/>
          <w:lang w:eastAsia="en-US"/>
        </w:rPr>
        <w:footnoteReference w:id="5"/>
      </w:r>
    </w:p>
    <w:p>
      <w:pPr>
        <w:pStyle w:val="Normal"/>
        <w:ind w:firstLine="540"/>
        <w:rPr>
          <w:rFonts w:eastAsia="Calibri"/>
          <w:sz w:val="22"/>
          <w:szCs w:val="22"/>
          <w:lang w:eastAsia="en-US"/>
        </w:rPr>
      </w:pPr>
      <w:r>
        <w:rPr>
          <w:rFonts w:eastAsia="Calibri"/>
          <w:sz w:val="22"/>
          <w:szCs w:val="22"/>
          <w:lang w:eastAsia="en-US"/>
        </w:rPr>
        <w:t>6.8. 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pPr>
        <w:pStyle w:val="Normal"/>
        <w:ind w:firstLine="540"/>
        <w:rPr>
          <w:rFonts w:eastAsia="Calibri"/>
          <w:sz w:val="22"/>
          <w:szCs w:val="22"/>
          <w:lang w:eastAsia="en-US"/>
        </w:rPr>
      </w:pPr>
      <w:r>
        <w:rPr>
          <w:rFonts w:eastAsia="Calibri"/>
          <w:sz w:val="22"/>
          <w:szCs w:val="22"/>
          <w:lang w:eastAsia="en-US"/>
        </w:rPr>
        <w:t>6.9.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pPr>
        <w:pStyle w:val="Normal"/>
        <w:ind w:firstLine="540"/>
        <w:rPr>
          <w:rFonts w:eastAsia="Calibri"/>
          <w:sz w:val="22"/>
          <w:szCs w:val="22"/>
          <w:lang w:eastAsia="en-US"/>
        </w:rPr>
      </w:pPr>
      <w:r>
        <w:rPr>
          <w:rFonts w:eastAsia="Calibri"/>
          <w:sz w:val="22"/>
          <w:szCs w:val="22"/>
          <w:lang w:eastAsia="en-US"/>
        </w:rPr>
        <w:t>6.10.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Normal"/>
        <w:ind w:firstLine="540"/>
        <w:rPr>
          <w:rFonts w:eastAsia="Calibri"/>
          <w:sz w:val="22"/>
          <w:szCs w:val="22"/>
          <w:lang w:eastAsia="en-US"/>
        </w:rPr>
      </w:pPr>
      <w:r>
        <w:rPr>
          <w:rFonts w:eastAsia="Calibri"/>
          <w:sz w:val="22"/>
          <w:szCs w:val="22"/>
          <w:lang w:eastAsia="en-US"/>
        </w:rPr>
        <w:t xml:space="preserve">6.11.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pPr>
        <w:pStyle w:val="Normal"/>
        <w:ind w:firstLine="540"/>
        <w:rPr>
          <w:rFonts w:ascii="Calibri" w:hAnsi="Calibri" w:eastAsia="Calibri"/>
          <w:sz w:val="22"/>
          <w:szCs w:val="22"/>
          <w:lang w:eastAsia="en-US"/>
        </w:rPr>
      </w:pPr>
      <w:r>
        <w:rPr>
          <w:rFonts w:eastAsia="Calibri"/>
          <w:sz w:val="22"/>
          <w:szCs w:val="22"/>
          <w:lang w:eastAsia="en-US"/>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 7.7. Контракта.</w:t>
      </w:r>
    </w:p>
    <w:p>
      <w:pPr>
        <w:pStyle w:val="Normal"/>
        <w:ind w:firstLine="540"/>
        <w:rPr>
          <w:rFonts w:eastAsia="Calibri"/>
          <w:sz w:val="22"/>
          <w:szCs w:val="22"/>
          <w:lang w:eastAsia="en-US"/>
        </w:rPr>
      </w:pPr>
      <w:r>
        <w:rPr>
          <w:rFonts w:eastAsia="Calibri"/>
          <w:sz w:val="22"/>
          <w:szCs w:val="22"/>
          <w:lang w:eastAsia="en-US"/>
        </w:rPr>
        <w:t>6.12.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pPr>
        <w:pStyle w:val="Normal"/>
        <w:ind w:firstLine="540"/>
        <w:rPr>
          <w:bCs/>
          <w:sz w:val="22"/>
          <w:szCs w:val="22"/>
        </w:rPr>
      </w:pPr>
      <w:r>
        <w:rPr>
          <w:bCs/>
          <w:sz w:val="22"/>
          <w:szCs w:val="22"/>
        </w:rPr>
        <w:t xml:space="preserve">Требование об уплате неустойки (штрафов, пеней), направленное Заказчиком </w:t>
      </w:r>
      <w:r>
        <w:rPr>
          <w:rFonts w:eastAsia="Calibri"/>
          <w:sz w:val="22"/>
          <w:szCs w:val="22"/>
          <w:lang w:eastAsia="en-US"/>
        </w:rPr>
        <w:t>Подрядчику</w:t>
      </w:r>
      <w:r>
        <w:rPr>
          <w:bCs/>
          <w:sz w:val="22"/>
          <w:szCs w:val="22"/>
        </w:rPr>
        <w:t xml:space="preserve">, подлежит рассмотрению </w:t>
      </w:r>
      <w:r>
        <w:rPr>
          <w:rFonts w:eastAsia="Calibri"/>
          <w:sz w:val="22"/>
          <w:szCs w:val="22"/>
          <w:lang w:eastAsia="en-US"/>
        </w:rPr>
        <w:t xml:space="preserve">Подрядчиком </w:t>
      </w:r>
      <w:r>
        <w:rPr>
          <w:bCs/>
          <w:sz w:val="22"/>
          <w:szCs w:val="22"/>
        </w:rPr>
        <w:t xml:space="preserve">в течение 5 дней со дня его получения. Неполучение Заказчиком ответа на требование об уплате неустойки (штрафов, пеней) </w:t>
      </w:r>
      <w:r>
        <w:rPr>
          <w:bCs/>
          <w:spacing w:val="-3"/>
          <w:sz w:val="22"/>
          <w:szCs w:val="22"/>
        </w:rPr>
        <w:t xml:space="preserve">в течение 15 календарных дней после получения </w:t>
      </w:r>
      <w:r>
        <w:rPr>
          <w:rFonts w:eastAsia="Calibri"/>
          <w:sz w:val="22"/>
          <w:szCs w:val="22"/>
          <w:lang w:eastAsia="en-US"/>
        </w:rPr>
        <w:t xml:space="preserve">Подрядчиком </w:t>
      </w:r>
      <w:r>
        <w:rPr>
          <w:bCs/>
          <w:spacing w:val="-3"/>
          <w:sz w:val="22"/>
          <w:szCs w:val="22"/>
        </w:rPr>
        <w:t xml:space="preserve">указанного требования </w:t>
      </w:r>
      <w:r>
        <w:rPr>
          <w:bCs/>
          <w:sz w:val="22"/>
          <w:szCs w:val="22"/>
        </w:rPr>
        <w:t xml:space="preserve">рассматривается как согласие </w:t>
      </w:r>
      <w:r>
        <w:rPr>
          <w:rFonts w:eastAsia="Calibri"/>
          <w:sz w:val="22"/>
          <w:szCs w:val="22"/>
          <w:lang w:eastAsia="en-US"/>
        </w:rPr>
        <w:t xml:space="preserve">Подрядчика </w:t>
      </w:r>
      <w:r>
        <w:rPr>
          <w:bCs/>
          <w:sz w:val="22"/>
          <w:szCs w:val="22"/>
        </w:rPr>
        <w:t>с требованием.</w:t>
      </w:r>
    </w:p>
    <w:p>
      <w:pPr>
        <w:pStyle w:val="Normal"/>
        <w:ind w:firstLine="540"/>
        <w:rPr>
          <w:bCs/>
          <w:sz w:val="22"/>
          <w:szCs w:val="22"/>
        </w:rPr>
      </w:pPr>
      <w:r>
        <w:rPr>
          <w:bCs/>
          <w:sz w:val="22"/>
          <w:szCs w:val="22"/>
        </w:rPr>
        <w:t xml:space="preserve">6.13. </w:t>
      </w:r>
      <w:r>
        <w:rPr>
          <w:sz w:val="22"/>
          <w:szCs w:val="22"/>
        </w:rPr>
        <w:t xml:space="preserve">В случае неисполнения или ненадлежащего исполнения </w:t>
      </w:r>
      <w:r>
        <w:rPr>
          <w:spacing w:val="-3"/>
          <w:sz w:val="22"/>
          <w:szCs w:val="22"/>
        </w:rPr>
        <w:t xml:space="preserve">поставщиком (подрядчиком, исполнителем) </w:t>
      </w:r>
      <w:r>
        <w:rPr>
          <w:sz w:val="22"/>
          <w:szCs w:val="22"/>
        </w:rPr>
        <w:t xml:space="preserve">обязательств, предусмотренных </w:t>
      </w:r>
      <w:r>
        <w:rPr>
          <w:bCs/>
          <w:sz w:val="22"/>
          <w:szCs w:val="22"/>
        </w:rPr>
        <w:t>контрактом</w:t>
      </w:r>
      <w:r>
        <w:rPr>
          <w:sz w:val="22"/>
          <w:szCs w:val="22"/>
        </w:rPr>
        <w:t xml:space="preserve">, срок исполнения которых наступил, Заказчик в соответствии со статьями </w:t>
      </w:r>
      <w:r>
        <w:rPr>
          <w:rStyle w:val="FontStyle23"/>
          <w:sz w:val="22"/>
          <w:szCs w:val="22"/>
        </w:rPr>
        <w:t xml:space="preserve">308, 410 </w:t>
      </w:r>
      <w:r>
        <w:rPr>
          <w:sz w:val="22"/>
          <w:szCs w:val="22"/>
        </w:rPr>
        <w:t xml:space="preserve">Гражданского кодекса Российской Федерации вправе </w:t>
      </w:r>
      <w:r>
        <w:rPr>
          <w:rStyle w:val="FontStyle23"/>
          <w:sz w:val="22"/>
          <w:szCs w:val="22"/>
        </w:rPr>
        <w:t xml:space="preserve">произвести </w:t>
      </w:r>
      <w:r>
        <w:rPr>
          <w:sz w:val="22"/>
          <w:szCs w:val="22"/>
        </w:rPr>
        <w:t xml:space="preserve">оплату поставленного товара (выполненных работ, оказанных услуг), по цене, установленной пунктом </w:t>
      </w:r>
      <w:r>
        <w:rPr>
          <w:sz w:val="22"/>
          <w:szCs w:val="22"/>
          <w:lang w:eastAsia="ar-SA"/>
        </w:rPr>
        <w:t>3.1</w:t>
      </w:r>
      <w:r>
        <w:rPr>
          <w:i/>
          <w:sz w:val="22"/>
          <w:szCs w:val="22"/>
          <w:lang w:eastAsia="ar-SA"/>
        </w:rPr>
        <w:t xml:space="preserve"> </w:t>
      </w:r>
      <w:r>
        <w:rPr>
          <w:bCs/>
          <w:sz w:val="22"/>
          <w:szCs w:val="22"/>
        </w:rPr>
        <w:t>контракта</w:t>
      </w:r>
      <w:r>
        <w:rPr>
          <w:sz w:val="22"/>
          <w:szCs w:val="22"/>
        </w:rPr>
        <w:t xml:space="preserve">, уменьшенной на сумму размера неустойки </w:t>
      </w:r>
      <w:r>
        <w:rPr>
          <w:color w:val="000000"/>
          <w:sz w:val="22"/>
          <w:szCs w:val="22"/>
        </w:rPr>
        <w:t xml:space="preserve">(штрафа, пеней), подлежащей </w:t>
      </w:r>
      <w:r>
        <w:rPr>
          <w:sz w:val="22"/>
          <w:szCs w:val="22"/>
        </w:rPr>
        <w:t xml:space="preserve">уплате </w:t>
      </w:r>
      <w:r>
        <w:rPr>
          <w:rFonts w:eastAsia="Calibri"/>
          <w:sz w:val="22"/>
          <w:szCs w:val="22"/>
        </w:rPr>
        <w:t>поставщиком (подрядчиком, исполнителем)</w:t>
      </w:r>
      <w:r>
        <w:rPr>
          <w:color w:val="000000"/>
          <w:sz w:val="22"/>
          <w:szCs w:val="22"/>
        </w:rPr>
        <w:t xml:space="preserve"> </w:t>
      </w:r>
      <w:r>
        <w:rPr>
          <w:sz w:val="22"/>
          <w:szCs w:val="22"/>
          <w:lang w:eastAsia="ar-SA"/>
        </w:rPr>
        <w:t xml:space="preserve">в соответствии с настоящим </w:t>
      </w:r>
      <w:r>
        <w:rPr>
          <w:sz w:val="22"/>
          <w:szCs w:val="22"/>
        </w:rPr>
        <w:t>разделом</w:t>
      </w:r>
      <w:r>
        <w:rPr>
          <w:i/>
          <w:sz w:val="22"/>
          <w:szCs w:val="22"/>
          <w:lang w:eastAsia="ar-SA"/>
        </w:rPr>
        <w:t xml:space="preserve"> </w:t>
      </w:r>
      <w:r>
        <w:rPr>
          <w:bCs/>
          <w:sz w:val="22"/>
          <w:szCs w:val="22"/>
        </w:rPr>
        <w:t>контракта</w:t>
      </w:r>
      <w:r>
        <w:rPr>
          <w:color w:val="000000"/>
          <w:sz w:val="22"/>
          <w:szCs w:val="22"/>
        </w:rPr>
        <w:t>.</w:t>
      </w:r>
    </w:p>
    <w:p>
      <w:pPr>
        <w:pStyle w:val="Normal"/>
        <w:ind w:firstLine="426"/>
        <w:rPr>
          <w:sz w:val="22"/>
          <w:szCs w:val="22"/>
        </w:rPr>
      </w:pPr>
      <w:r>
        <w:rPr>
          <w:sz w:val="22"/>
          <w:szCs w:val="22"/>
        </w:rPr>
        <w:t xml:space="preserve">В указанном случае оплата </w:t>
      </w:r>
      <w:r>
        <w:rPr>
          <w:sz w:val="22"/>
          <w:szCs w:val="22"/>
          <w:lang w:eastAsia="en-US"/>
        </w:rPr>
        <w:t>выполненных П</w:t>
      </w:r>
      <w:r>
        <w:rPr>
          <w:rFonts w:eastAsia="Calibri"/>
          <w:sz w:val="22"/>
          <w:szCs w:val="22"/>
          <w:lang w:eastAsia="en-US"/>
        </w:rPr>
        <w:t>одрядчиком контрактных обязательств</w:t>
      </w:r>
      <w:r>
        <w:rPr>
          <w:sz w:val="22"/>
          <w:szCs w:val="22"/>
        </w:rPr>
        <w:t xml:space="preserve"> осуществляется на основании </w:t>
      </w:r>
      <w:r>
        <w:rPr>
          <w:sz w:val="22"/>
          <w:szCs w:val="22"/>
          <w:lang w:eastAsia="en-US"/>
        </w:rPr>
        <w:t>документа о приемке</w:t>
      </w:r>
      <w:r>
        <w:rPr>
          <w:sz w:val="22"/>
          <w:szCs w:val="22"/>
        </w:rPr>
        <w:t xml:space="preserve">, подписанного Сторонами, в котором указываются: </w:t>
      </w:r>
    </w:p>
    <w:p>
      <w:pPr>
        <w:pStyle w:val="Normal"/>
        <w:ind w:firstLine="426"/>
        <w:rPr>
          <w:sz w:val="22"/>
          <w:szCs w:val="22"/>
        </w:rPr>
      </w:pPr>
      <w:r>
        <w:rPr>
          <w:sz w:val="22"/>
          <w:szCs w:val="22"/>
        </w:rPr>
        <w:t xml:space="preserve">сумма, подлежащая оплате в соответствии с условиями контракта; </w:t>
      </w:r>
    </w:p>
    <w:p>
      <w:pPr>
        <w:pStyle w:val="Normal"/>
        <w:ind w:firstLine="426"/>
        <w:rPr>
          <w:sz w:val="22"/>
          <w:szCs w:val="22"/>
        </w:rPr>
      </w:pPr>
      <w:r>
        <w:rPr>
          <w:sz w:val="22"/>
          <w:szCs w:val="22"/>
        </w:rPr>
        <w:t xml:space="preserve">размер неустойки, подлежащий взысканию; </w:t>
      </w:r>
    </w:p>
    <w:p>
      <w:pPr>
        <w:pStyle w:val="Normal"/>
        <w:ind w:firstLine="426"/>
        <w:rPr>
          <w:sz w:val="22"/>
          <w:szCs w:val="22"/>
        </w:rPr>
      </w:pPr>
      <w:r>
        <w:rPr>
          <w:sz w:val="22"/>
          <w:szCs w:val="22"/>
        </w:rPr>
        <w:t xml:space="preserve">основания применения и порядок расчета неустойки; </w:t>
      </w:r>
    </w:p>
    <w:p>
      <w:pPr>
        <w:pStyle w:val="Normal"/>
        <w:ind w:firstLine="426"/>
        <w:rPr>
          <w:sz w:val="22"/>
          <w:szCs w:val="22"/>
        </w:rPr>
      </w:pPr>
      <w:r>
        <w:rPr>
          <w:sz w:val="22"/>
          <w:szCs w:val="22"/>
        </w:rPr>
        <w:t>итоговая сумма, подлежащая оплате по контракту.</w:t>
      </w:r>
    </w:p>
    <w:p>
      <w:pPr>
        <w:pStyle w:val="Normal"/>
        <w:ind w:firstLine="426"/>
        <w:rPr>
          <w:color w:val="000000"/>
          <w:spacing w:val="-3"/>
          <w:sz w:val="22"/>
          <w:szCs w:val="22"/>
        </w:rPr>
      </w:pPr>
      <w:r>
        <w:rPr>
          <w:sz w:val="22"/>
          <w:szCs w:val="22"/>
        </w:rPr>
        <w:t xml:space="preserve">6.14. </w:t>
      </w:r>
      <w:r>
        <w:rPr>
          <w:color w:val="000000"/>
          <w:spacing w:val="-3"/>
          <w:sz w:val="22"/>
          <w:szCs w:val="22"/>
        </w:rPr>
        <w:t xml:space="preserve">Уплата неустойки не освобождает </w:t>
      </w:r>
      <w:r>
        <w:rPr>
          <w:rFonts w:eastAsia="Calibri"/>
          <w:sz w:val="22"/>
          <w:szCs w:val="22"/>
          <w:lang w:eastAsia="en-US"/>
        </w:rPr>
        <w:t xml:space="preserve">Подрядчика </w:t>
      </w:r>
      <w:r>
        <w:rPr>
          <w:color w:val="000000"/>
          <w:spacing w:val="-3"/>
          <w:sz w:val="22"/>
          <w:szCs w:val="22"/>
        </w:rPr>
        <w:t>от выполнения обязательств</w:t>
      </w:r>
      <w:r>
        <w:rPr>
          <w:sz w:val="22"/>
          <w:szCs w:val="22"/>
        </w:rPr>
        <w:t xml:space="preserve">, предусмотренных контрактом, </w:t>
      </w:r>
      <w:r>
        <w:rPr>
          <w:color w:val="000000"/>
          <w:spacing w:val="-3"/>
          <w:sz w:val="22"/>
          <w:szCs w:val="22"/>
        </w:rPr>
        <w:t>в натуре.</w:t>
      </w:r>
    </w:p>
    <w:p>
      <w:pPr>
        <w:pStyle w:val="Normal"/>
        <w:ind w:firstLine="426"/>
        <w:rPr>
          <w:color w:val="000000"/>
          <w:spacing w:val="-3"/>
          <w:sz w:val="22"/>
          <w:szCs w:val="22"/>
        </w:rPr>
      </w:pPr>
      <w:r>
        <w:rPr>
          <w:color w:val="000000"/>
          <w:spacing w:val="-3"/>
          <w:sz w:val="22"/>
          <w:szCs w:val="22"/>
        </w:rPr>
        <w:t xml:space="preserve">6.15. </w:t>
      </w:r>
      <w:r>
        <w:rPr>
          <w:sz w:val="22"/>
          <w:szCs w:val="22"/>
        </w:rPr>
        <w:t xml:space="preserve">Сторона освобождается от уплаты неустойки </w:t>
      </w:r>
      <w:r>
        <w:rPr>
          <w:bCs/>
          <w:sz w:val="22"/>
          <w:szCs w:val="22"/>
        </w:rPr>
        <w:t>(штрафов, пеней)</w:t>
      </w:r>
      <w:r>
        <w:rPr>
          <w:sz w:val="22"/>
          <w:szCs w:val="22"/>
        </w:rPr>
        <w:t>,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Normal"/>
        <w:widowControl w:val="false"/>
        <w:ind w:firstLine="709"/>
        <w:rPr>
          <w:sz w:val="22"/>
          <w:szCs w:val="22"/>
        </w:rPr>
      </w:pPr>
      <w:r>
        <w:rPr>
          <w:sz w:val="22"/>
          <w:szCs w:val="22"/>
        </w:rPr>
      </w:r>
    </w:p>
    <w:p>
      <w:pPr>
        <w:pStyle w:val="Normal"/>
        <w:tabs>
          <w:tab w:val="clear" w:pos="709"/>
          <w:tab w:val="left" w:pos="916" w:leader="none"/>
        </w:tabs>
        <w:jc w:val="center"/>
        <w:rPr>
          <w:b/>
          <w:b/>
          <w:bCs/>
          <w:caps/>
          <w:sz w:val="22"/>
          <w:szCs w:val="22"/>
        </w:rPr>
      </w:pPr>
      <w:r>
        <w:rPr>
          <w:b/>
          <w:bCs/>
          <w:caps/>
          <w:sz w:val="22"/>
          <w:szCs w:val="22"/>
        </w:rPr>
        <w:t>7. Срок ДЕЙСТВИЯ КОНТРАКТА, ПОРЯДОК ИЗМЕНЕНИЯ И РАСТОРЖЕНИЯ КОНТРАКТА</w:t>
      </w:r>
    </w:p>
    <w:p>
      <w:pPr>
        <w:pStyle w:val="Normal"/>
        <w:ind w:firstLine="567"/>
        <w:rPr>
          <w:sz w:val="22"/>
          <w:szCs w:val="22"/>
        </w:rPr>
      </w:pPr>
      <w:r>
        <w:rPr>
          <w:sz w:val="22"/>
          <w:szCs w:val="22"/>
        </w:rPr>
        <w:t>7.1. Контракт вступает в силу с момента его подписания Сторонами и действует до полного исполнения Сторонами своих обязательств, не позднее 31.12.2020 г.</w:t>
      </w:r>
    </w:p>
    <w:p>
      <w:pPr>
        <w:pStyle w:val="ConsNonformat"/>
        <w:shd w:val="clear" w:color="auto" w:fill="FFFFFF"/>
        <w:tabs>
          <w:tab w:val="clear" w:pos="709"/>
          <w:tab w:val="left" w:pos="993" w:leader="none"/>
          <w:tab w:val="left" w:pos="1134" w:leader="none"/>
        </w:tabs>
        <w:ind w:firstLine="567"/>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Окончание срока действия контракта влечет прекращение обязательств Сторон, за исключением обязательств Заказчика оплатить оказанные Исполнителем и принятые Заказчиком услуги, обязательств Сторон, возникших вследствие нарушений условий контракта, гарантийных обязательств Исполнителя.</w:t>
      </w:r>
    </w:p>
    <w:p>
      <w:pPr>
        <w:pStyle w:val="ConsNonformat"/>
        <w:widowControl/>
        <w:shd w:val="clear" w:color="auto" w:fill="FFFFFF"/>
        <w:tabs>
          <w:tab w:val="clear" w:pos="709"/>
          <w:tab w:val="left" w:pos="993" w:leader="none"/>
          <w:tab w:val="left" w:pos="1134" w:leader="none"/>
        </w:tabs>
        <w:ind w:firstLine="567"/>
        <w:jc w:val="both"/>
        <w:rPr>
          <w:rFonts w:ascii="Times New Roman" w:hAnsi="Times New Roman" w:cs="Times New Roman"/>
          <w:sz w:val="22"/>
          <w:szCs w:val="22"/>
        </w:rPr>
      </w:pPr>
      <w:r>
        <w:rPr>
          <w:rFonts w:cs="Times New Roman" w:ascii="Times New Roman" w:hAnsi="Times New Roman"/>
          <w:sz w:val="22"/>
          <w:szCs w:val="22"/>
        </w:rPr>
        <w:t>7.1.1. Начало обязательств Заказчика, по финансированию надлежаще выполненных Исполнителем обязательств по контракту, наступает не ранее регистрации контракта в реестре контрактов, заключенных Заказчиками.</w:t>
      </w:r>
    </w:p>
    <w:p>
      <w:pPr>
        <w:pStyle w:val="ConsNonformat"/>
        <w:widowControl/>
        <w:shd w:val="clear" w:color="auto" w:fill="FFFFFF"/>
        <w:tabs>
          <w:tab w:val="clear" w:pos="709"/>
          <w:tab w:val="left" w:pos="993" w:leader="none"/>
          <w:tab w:val="left" w:pos="1134" w:leader="none"/>
        </w:tabs>
        <w:ind w:firstLine="567"/>
        <w:jc w:val="both"/>
        <w:rPr>
          <w:rFonts w:ascii="Times New Roman" w:hAnsi="Times New Roman" w:cs="Times New Roman"/>
          <w:sz w:val="22"/>
          <w:szCs w:val="22"/>
        </w:rPr>
      </w:pPr>
      <w:r>
        <w:rPr>
          <w:rFonts w:cs="Times New Roman" w:ascii="Times New Roman" w:hAnsi="Times New Roman"/>
          <w:sz w:val="22"/>
          <w:szCs w:val="22"/>
        </w:rPr>
        <w:t>7.2. 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услуг</w:t>
      </w:r>
      <w:r>
        <w:rPr>
          <w:sz w:val="22"/>
          <w:szCs w:val="22"/>
        </w:rPr>
        <w:t xml:space="preserve"> </w:t>
      </w:r>
      <w:r>
        <w:rPr>
          <w:rFonts w:cs="Times New Roman" w:ascii="Times New Roman" w:hAnsi="Times New Roman"/>
          <w:sz w:val="22"/>
          <w:szCs w:val="22"/>
        </w:rPr>
        <w:t>не более чем на десять процентов или уменьшается предусмотренный контрактом объем услуг</w:t>
      </w:r>
      <w:r>
        <w:rPr>
          <w:sz w:val="22"/>
          <w:szCs w:val="22"/>
        </w:rPr>
        <w:t xml:space="preserve"> </w:t>
      </w:r>
      <w:r>
        <w:rPr>
          <w:rFonts w:cs="Times New Roman" w:ascii="Times New Roman" w:hAnsi="Times New Roman"/>
          <w:sz w:val="22"/>
          <w:szCs w:val="22"/>
        </w:rPr>
        <w:t>не более чем на десять процентов.</w:t>
      </w:r>
    </w:p>
    <w:p>
      <w:pPr>
        <w:pStyle w:val="ConsNonformat"/>
        <w:widowControl/>
        <w:shd w:val="clear" w:color="auto" w:fill="FFFFFF"/>
        <w:tabs>
          <w:tab w:val="clear" w:pos="709"/>
          <w:tab w:val="left" w:pos="993" w:leader="none"/>
          <w:tab w:val="left" w:pos="1134" w:leader="none"/>
        </w:tabs>
        <w:ind w:firstLine="567"/>
        <w:jc w:val="both"/>
        <w:rPr>
          <w:rFonts w:ascii="Times New Roman" w:hAnsi="Times New Roman" w:cs="Times New Roman"/>
          <w:sz w:val="22"/>
          <w:szCs w:val="22"/>
        </w:rPr>
      </w:pPr>
      <w:r>
        <w:rPr>
          <w:rFonts w:cs="Times New Roman" w:ascii="Times New Roman" w:hAnsi="Times New Roman"/>
          <w:sz w:val="22"/>
          <w:szCs w:val="22"/>
        </w:rPr>
        <w:t>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объема услуг, но не более чем на десять процентов цены контракта.</w:t>
      </w:r>
    </w:p>
    <w:p>
      <w:pPr>
        <w:pStyle w:val="ConsNonformat"/>
        <w:widowControl/>
        <w:shd w:val="clear" w:color="auto" w:fill="FFFFFF"/>
        <w:tabs>
          <w:tab w:val="clear" w:pos="709"/>
          <w:tab w:val="left" w:pos="993" w:leader="none"/>
          <w:tab w:val="left" w:pos="1134" w:leader="none"/>
        </w:tabs>
        <w:ind w:firstLine="567"/>
        <w:jc w:val="both"/>
        <w:rPr>
          <w:rFonts w:ascii="Times New Roman" w:hAnsi="Times New Roman" w:cs="Times New Roman"/>
          <w:sz w:val="22"/>
          <w:szCs w:val="22"/>
        </w:rPr>
      </w:pPr>
      <w:r>
        <w:rPr>
          <w:rFonts w:cs="Times New Roman" w:ascii="Times New Roman" w:hAnsi="Times New Roman"/>
          <w:sz w:val="22"/>
          <w:szCs w:val="22"/>
        </w:rPr>
        <w:t>7.3. При исполнении контракта по согласованию Заказчика с Исполнителем допускается оказание услуг, качество которых является улучшенным по сравнению с качеством, указанным в контракте. В этом случае соответствующие изменения должны быть внесены Заказчиком в Реестр контрактов, заключённых Заказчиком.</w:t>
      </w:r>
    </w:p>
    <w:p>
      <w:pPr>
        <w:pStyle w:val="ConsNonformat"/>
        <w:widowControl/>
        <w:numPr>
          <w:ilvl w:val="1"/>
          <w:numId w:val="13"/>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Все изменения и дополнения к контракту оформляются дополнительными соглашениями, которые являются неотъемлемой частью контракта.</w:t>
      </w:r>
    </w:p>
    <w:p>
      <w:pPr>
        <w:pStyle w:val="ConsNonformat"/>
        <w:widowControl/>
        <w:numPr>
          <w:ilvl w:val="1"/>
          <w:numId w:val="13"/>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 xml:space="preserve">Расторжение контракта допускается по соглашению сторон, по решению суда, </w:t>
        <w:br/>
        <w:t>в случае одностороннего отказа стороны контракта от исполнения контракта в соответствии с гражданским законодательством.</w:t>
      </w:r>
    </w:p>
    <w:p>
      <w:pPr>
        <w:pStyle w:val="ConsNonformat"/>
        <w:widowControl/>
        <w:numPr>
          <w:ilvl w:val="1"/>
          <w:numId w:val="13"/>
        </w:numPr>
        <w:shd w:val="clear" w:color="auto" w:fill="FFFFFF"/>
        <w:tabs>
          <w:tab w:val="clear" w:pos="709"/>
          <w:tab w:val="left" w:pos="993" w:leader="none"/>
          <w:tab w:val="left" w:pos="1134" w:leader="none"/>
        </w:tabs>
        <w:ind w:left="0" w:firstLine="567"/>
        <w:jc w:val="both"/>
        <w:rPr>
          <w:rFonts w:ascii="Times New Roman" w:hAnsi="Times New Roman" w:cs="Times New Roman"/>
          <w:bCs/>
          <w:spacing w:val="-3"/>
          <w:sz w:val="22"/>
          <w:szCs w:val="22"/>
        </w:rPr>
      </w:pPr>
      <w:r>
        <w:rPr>
          <w:rFonts w:cs="Times New Roman" w:ascii="Times New Roman" w:hAnsi="Times New Roman"/>
          <w:bCs/>
          <w:spacing w:val="-3"/>
          <w:sz w:val="22"/>
          <w:szCs w:val="22"/>
        </w:rPr>
        <w:t xml:space="preserve">В одностороннем порядке контракт расторгается в случаях предусмотренных нормами Гражданского кодекса </w:t>
      </w:r>
      <w:r>
        <w:rPr>
          <w:rFonts w:cs="Times New Roman" w:ascii="Times New Roman" w:hAnsi="Times New Roman"/>
          <w:sz w:val="22"/>
          <w:szCs w:val="22"/>
        </w:rPr>
        <w:t>Российской Федерации</w:t>
      </w:r>
      <w:r>
        <w:rPr>
          <w:rFonts w:cs="Times New Roman" w:ascii="Times New Roman" w:hAnsi="Times New Roman"/>
          <w:bCs/>
          <w:spacing w:val="-3"/>
          <w:sz w:val="22"/>
          <w:szCs w:val="22"/>
        </w:rPr>
        <w:t>, регулирующими правоотношения сторон.</w:t>
      </w:r>
    </w:p>
    <w:p>
      <w:pPr>
        <w:pStyle w:val="ConsNonformat"/>
        <w:widowControl/>
        <w:numPr>
          <w:ilvl w:val="1"/>
          <w:numId w:val="13"/>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Заказчик вправе принять решение об одностороннем отказе от исполнения контракта в случаях если:</w:t>
      </w:r>
    </w:p>
    <w:p>
      <w:pPr>
        <w:pStyle w:val="Normal"/>
        <w:numPr>
          <w:ilvl w:val="0"/>
          <w:numId w:val="11"/>
        </w:numPr>
        <w:tabs>
          <w:tab w:val="clear" w:pos="709"/>
          <w:tab w:val="left" w:pos="851" w:leader="none"/>
        </w:tabs>
        <w:ind w:left="0" w:firstLine="567"/>
        <w:rPr>
          <w:sz w:val="22"/>
          <w:szCs w:val="22"/>
        </w:rPr>
      </w:pPr>
      <w:r>
        <w:rPr>
          <w:sz w:val="22"/>
          <w:szCs w:val="22"/>
        </w:rPr>
        <w:t>Исполнитель в течение 10 дней после установленной в соответствии с пунктом 2.1 контракта даты начала оказания услуг не приступил к их оказанию;</w:t>
      </w:r>
    </w:p>
    <w:p>
      <w:pPr>
        <w:pStyle w:val="Normal"/>
        <w:numPr>
          <w:ilvl w:val="0"/>
          <w:numId w:val="11"/>
        </w:numPr>
        <w:tabs>
          <w:tab w:val="clear" w:pos="709"/>
          <w:tab w:val="left" w:pos="851" w:leader="none"/>
        </w:tabs>
        <w:ind w:left="0" w:firstLine="567"/>
        <w:rPr>
          <w:sz w:val="22"/>
          <w:szCs w:val="22"/>
        </w:rPr>
      </w:pPr>
      <w:r>
        <w:rPr>
          <w:sz w:val="22"/>
          <w:szCs w:val="22"/>
        </w:rPr>
        <w:t>отступления в оказанных услугах от условий контракта или иные недостатки в результате оказания услуг не были устранены Исполнителем в установленный Заказчиком срок, либо являются существенными и неустранимыми;</w:t>
      </w:r>
    </w:p>
    <w:p>
      <w:pPr>
        <w:pStyle w:val="Normal"/>
        <w:numPr>
          <w:ilvl w:val="0"/>
          <w:numId w:val="11"/>
        </w:numPr>
        <w:tabs>
          <w:tab w:val="clear" w:pos="709"/>
          <w:tab w:val="left" w:pos="851" w:leader="none"/>
        </w:tabs>
        <w:ind w:left="0" w:firstLine="567"/>
        <w:rPr>
          <w:sz w:val="22"/>
          <w:szCs w:val="22"/>
        </w:rPr>
      </w:pPr>
      <w:r>
        <w:rPr>
          <w:sz w:val="22"/>
          <w:szCs w:val="22"/>
        </w:rPr>
        <w:t xml:space="preserve">Исполнитель неоднократно нарушил </w:t>
      </w:r>
      <w:r>
        <w:rPr>
          <w:bCs/>
          <w:spacing w:val="-3"/>
          <w:sz w:val="22"/>
          <w:szCs w:val="22"/>
        </w:rPr>
        <w:t>условия настоящего контракта</w:t>
      </w:r>
      <w:r>
        <w:rPr>
          <w:sz w:val="22"/>
          <w:szCs w:val="22"/>
        </w:rPr>
        <w:t>;</w:t>
      </w:r>
    </w:p>
    <w:p>
      <w:pPr>
        <w:pStyle w:val="Normal"/>
        <w:numPr>
          <w:ilvl w:val="0"/>
          <w:numId w:val="11"/>
        </w:numPr>
        <w:tabs>
          <w:tab w:val="clear" w:pos="709"/>
          <w:tab w:val="left" w:pos="851" w:leader="none"/>
        </w:tabs>
        <w:ind w:left="0" w:firstLine="567"/>
        <w:rPr>
          <w:sz w:val="22"/>
          <w:szCs w:val="22"/>
        </w:rPr>
      </w:pPr>
      <w:r>
        <w:rPr>
          <w:sz w:val="22"/>
          <w:szCs w:val="22"/>
        </w:rPr>
        <w:t>Исполнитель привлек иногородних и иностранных работников без соответствующей регистрации, а также без оформленного в установленном порядке разрешения на привлечение иностранной рабочей силы;</w:t>
      </w:r>
    </w:p>
    <w:p>
      <w:pPr>
        <w:pStyle w:val="Normal"/>
        <w:numPr>
          <w:ilvl w:val="0"/>
          <w:numId w:val="11"/>
        </w:numPr>
        <w:tabs>
          <w:tab w:val="clear" w:pos="709"/>
          <w:tab w:val="left" w:pos="851" w:leader="none"/>
        </w:tabs>
        <w:ind w:left="0" w:firstLine="567"/>
        <w:rPr>
          <w:sz w:val="22"/>
          <w:szCs w:val="22"/>
        </w:rPr>
      </w:pPr>
      <w:r>
        <w:rPr>
          <w:bCs/>
          <w:color w:val="000000"/>
          <w:spacing w:val="-3"/>
          <w:sz w:val="22"/>
          <w:szCs w:val="22"/>
        </w:rPr>
        <w:t xml:space="preserve">Исполнитель не устранил выявленные Заказчиком нарушения </w:t>
      </w:r>
      <w:r>
        <w:rPr>
          <w:sz w:val="22"/>
          <w:szCs w:val="22"/>
        </w:rPr>
        <w:t>условий контракта</w:t>
      </w:r>
      <w:r>
        <w:rPr>
          <w:bCs/>
          <w:color w:val="000000"/>
          <w:spacing w:val="-3"/>
          <w:sz w:val="22"/>
          <w:szCs w:val="22"/>
        </w:rPr>
        <w:t xml:space="preserve"> </w:t>
        <w:br/>
        <w:t>в ходе исполнения контракта.</w:t>
      </w:r>
    </w:p>
    <w:p>
      <w:pPr>
        <w:pStyle w:val="Normal"/>
        <w:numPr>
          <w:ilvl w:val="1"/>
          <w:numId w:val="13"/>
        </w:numPr>
        <w:ind w:left="0" w:firstLine="567"/>
        <w:rPr>
          <w:sz w:val="22"/>
          <w:szCs w:val="22"/>
        </w:rPr>
      </w:pPr>
      <w:r>
        <w:rPr>
          <w:sz w:val="22"/>
          <w:szCs w:val="22"/>
        </w:rPr>
        <w:t xml:space="preserve">До принятия решения об одностороннем отказе от исполнения контракта </w:t>
        <w:br/>
        <w:t>Заказчик вправе провести экспертизу результатов оказания услуг с привлечением экспертов, экспертных организаций.</w:t>
      </w:r>
    </w:p>
    <w:p>
      <w:pPr>
        <w:pStyle w:val="ConsNonformat"/>
        <w:widowControl/>
        <w:numPr>
          <w:ilvl w:val="1"/>
          <w:numId w:val="13"/>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Если Заказчиком проведена экспертиза результатов оказания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результатов оказания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pPr>
        <w:pStyle w:val="ConsNonformat"/>
        <w:widowControl/>
        <w:numPr>
          <w:ilvl w:val="1"/>
          <w:numId w:val="13"/>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настоящего пункта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pPr>
        <w:pStyle w:val="ConsNonformat"/>
        <w:widowControl/>
        <w:numPr>
          <w:ilvl w:val="1"/>
          <w:numId w:val="13"/>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pPr>
        <w:pStyle w:val="ConsNonformat"/>
        <w:widowControl/>
        <w:numPr>
          <w:ilvl w:val="1"/>
          <w:numId w:val="13"/>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w:t>
      </w:r>
    </w:p>
    <w:p>
      <w:pPr>
        <w:pStyle w:val="ConsNonformat"/>
        <w:widowControl/>
        <w:numPr>
          <w:ilvl w:val="1"/>
          <w:numId w:val="13"/>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ConsNonformat"/>
        <w:widowControl/>
        <w:numPr>
          <w:ilvl w:val="1"/>
          <w:numId w:val="13"/>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 xml:space="preserve">Решение Исполнителя об одностороннем отказе от исполнения контракта </w:t>
        <w:br/>
        <w:t xml:space="preserve">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w:t>
        <w:br/>
        <w:t>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pPr>
        <w:pStyle w:val="ConsNonformat"/>
        <w:widowControl/>
        <w:numPr>
          <w:ilvl w:val="1"/>
          <w:numId w:val="13"/>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pPr>
        <w:pStyle w:val="ConsNonformat"/>
        <w:widowControl/>
        <w:numPr>
          <w:ilvl w:val="1"/>
          <w:numId w:val="13"/>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pStyle w:val="ConsNonformat"/>
        <w:widowControl/>
        <w:numPr>
          <w:ilvl w:val="1"/>
          <w:numId w:val="13"/>
        </w:numPr>
        <w:shd w:val="clear" w:color="auto" w:fill="FFFFFF"/>
        <w:tabs>
          <w:tab w:val="clear" w:pos="709"/>
          <w:tab w:val="left" w:pos="993" w:leader="none"/>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widowControl w:val="false"/>
        <w:rPr>
          <w:sz w:val="22"/>
          <w:szCs w:val="22"/>
        </w:rPr>
      </w:pPr>
      <w:r>
        <w:rPr>
          <w:sz w:val="22"/>
          <w:szCs w:val="22"/>
        </w:rPr>
      </w:r>
    </w:p>
    <w:p>
      <w:pPr>
        <w:pStyle w:val="Normal"/>
        <w:widowControl w:val="false"/>
        <w:jc w:val="center"/>
        <w:rPr>
          <w:b/>
          <w:b/>
          <w:color w:val="000000"/>
          <w:sz w:val="22"/>
          <w:szCs w:val="22"/>
        </w:rPr>
      </w:pPr>
      <w:r>
        <w:rPr>
          <w:b/>
          <w:sz w:val="22"/>
          <w:szCs w:val="22"/>
        </w:rPr>
        <w:t xml:space="preserve">8. ОБСТОЯТЕЛЬСТВА </w:t>
      </w:r>
      <w:r>
        <w:rPr>
          <w:b/>
          <w:color w:val="000000"/>
          <w:sz w:val="22"/>
          <w:szCs w:val="22"/>
        </w:rPr>
        <w:t>НЕПРЕОДОЛИМОЙ СИЛЫ</w:t>
      </w:r>
    </w:p>
    <w:p>
      <w:pPr>
        <w:pStyle w:val="ConsNonformat"/>
        <w:widowControl/>
        <w:numPr>
          <w:ilvl w:val="0"/>
          <w:numId w:val="6"/>
        </w:numPr>
        <w:shd w:val="clear" w:color="auto" w:fill="FFFFFF"/>
        <w:tabs>
          <w:tab w:val="clear" w:pos="709"/>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w:t>
      </w:r>
    </w:p>
    <w:p>
      <w:pPr>
        <w:pStyle w:val="ConsNonformat"/>
        <w:widowControl/>
        <w:shd w:val="clear" w:color="auto" w:fill="FFFFFF"/>
        <w:tabs>
          <w:tab w:val="clear" w:pos="709"/>
          <w:tab w:val="left" w:pos="1134" w:leader="none"/>
        </w:tabs>
        <w:ind w:firstLine="567"/>
        <w:jc w:val="both"/>
        <w:rPr>
          <w:rFonts w:ascii="Times New Roman" w:hAnsi="Times New Roman" w:cs="Times New Roman"/>
          <w:sz w:val="22"/>
          <w:szCs w:val="22"/>
        </w:rPr>
      </w:pPr>
      <w:r>
        <w:rPr>
          <w:rFonts w:cs="Times New Roman" w:ascii="Times New Roman" w:hAnsi="Times New Roman"/>
          <w:sz w:val="22"/>
          <w:szCs w:val="22"/>
        </w:rPr>
        <w:t>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pPr>
        <w:pStyle w:val="ConsNonformat"/>
        <w:widowControl/>
        <w:numPr>
          <w:ilvl w:val="0"/>
          <w:numId w:val="6"/>
        </w:numPr>
        <w:shd w:val="clear" w:color="auto" w:fill="FFFFFF"/>
        <w:tabs>
          <w:tab w:val="clear" w:pos="709"/>
          <w:tab w:val="left" w:pos="1134" w:leader="none"/>
        </w:tabs>
        <w:ind w:left="0" w:firstLine="567"/>
        <w:jc w:val="both"/>
        <w:rPr>
          <w:rFonts w:ascii="Times New Roman" w:hAnsi="Times New Roman" w:cs="Times New Roman"/>
          <w:sz w:val="22"/>
          <w:szCs w:val="22"/>
        </w:rPr>
      </w:pPr>
      <w:r>
        <w:rPr>
          <w:rFonts w:cs="Times New Roman" w:ascii="Times New Roman" w:hAnsi="Times New Roman"/>
          <w:sz w:val="22"/>
          <w:szCs w:val="22"/>
        </w:rPr>
        <w:t xml:space="preserve">Сторона, для которой создалась невозможность исполнения обязательств </w:t>
        <w:br/>
        <w:t xml:space="preserve">по контракту, обязана в течение трех рабочих дней письменно известить другую сторону </w:t>
        <w:br/>
        <w:t>о наступлении вышеуказанных обстоятельств.</w:t>
      </w:r>
    </w:p>
    <w:p>
      <w:pPr>
        <w:pStyle w:val="ConsPlusNormal1"/>
        <w:ind w:hanging="0"/>
        <w:rPr>
          <w:rFonts w:ascii="Times New Roman" w:hAnsi="Times New Roman" w:cs="Times New Roman"/>
          <w:b/>
          <w:b/>
          <w:sz w:val="22"/>
          <w:szCs w:val="22"/>
        </w:rPr>
      </w:pPr>
      <w:r>
        <w:rPr>
          <w:rFonts w:cs="Times New Roman" w:ascii="Times New Roman" w:hAnsi="Times New Roman"/>
          <w:b/>
          <w:sz w:val="22"/>
          <w:szCs w:val="22"/>
        </w:rPr>
      </w:r>
    </w:p>
    <w:p>
      <w:pPr>
        <w:pStyle w:val="ConsPlusNormal1"/>
        <w:ind w:hanging="0"/>
        <w:jc w:val="center"/>
        <w:rPr>
          <w:rFonts w:ascii="Times New Roman" w:hAnsi="Times New Roman" w:cs="Times New Roman"/>
          <w:b/>
          <w:b/>
          <w:sz w:val="22"/>
          <w:szCs w:val="22"/>
        </w:rPr>
      </w:pPr>
      <w:r>
        <w:rPr>
          <w:rFonts w:cs="Times New Roman" w:ascii="Times New Roman" w:hAnsi="Times New Roman"/>
          <w:b/>
          <w:sz w:val="22"/>
          <w:szCs w:val="22"/>
        </w:rPr>
        <w:t>9. АНТИКОРРУПЦИОННЫЕ УСЛОВИЯ</w:t>
      </w:r>
    </w:p>
    <w:p>
      <w:pPr>
        <w:pStyle w:val="ConsPlusNormal1"/>
        <w:tabs>
          <w:tab w:val="clear" w:pos="709"/>
          <w:tab w:val="left" w:pos="993" w:leader="none"/>
        </w:tabs>
        <w:ind w:firstLine="567"/>
        <w:jc w:val="both"/>
        <w:rPr>
          <w:rFonts w:ascii="Times New Roman" w:hAnsi="Times New Roman" w:cs="Times New Roman"/>
          <w:b/>
          <w:b/>
          <w:sz w:val="22"/>
          <w:szCs w:val="22"/>
        </w:rPr>
      </w:pPr>
      <w:r>
        <w:rPr>
          <w:rFonts w:cs="Times New Roman" w:ascii="Times New Roman" w:hAnsi="Times New Roman"/>
          <w:sz w:val="22"/>
          <w:szCs w:val="22"/>
        </w:rPr>
        <w:t>9.1. При исполнении своих обязательств по контракту стороны обязуются</w:t>
        <w:br/>
        <w:t xml:space="preserve">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pPr>
        <w:pStyle w:val="ConsPlusNormal1"/>
        <w:ind w:firstLine="567"/>
        <w:jc w:val="both"/>
        <w:rPr>
          <w:rFonts w:ascii="Times New Roman" w:hAnsi="Times New Roman" w:cs="Times New Roman"/>
          <w:sz w:val="22"/>
          <w:szCs w:val="22"/>
        </w:rPr>
      </w:pPr>
      <w:r>
        <w:rPr>
          <w:rFonts w:cs="Times New Roman" w:ascii="Times New Roman" w:hAnsi="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pPr>
        <w:pStyle w:val="ConsPlusNormal1"/>
        <w:ind w:firstLine="567"/>
        <w:jc w:val="both"/>
        <w:rPr>
          <w:rFonts w:ascii="Times New Roman" w:hAnsi="Times New Roman" w:cs="Times New Roman"/>
          <w:sz w:val="22"/>
          <w:szCs w:val="22"/>
        </w:rPr>
      </w:pPr>
      <w:r>
        <w:rPr>
          <w:rFonts w:cs="Times New Roman" w:ascii="Times New Roman" w:hAnsi="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pPr>
        <w:pStyle w:val="ConsPlusNormal1"/>
        <w:ind w:firstLine="567"/>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 не совершать иных действий, нарушающих антикоррупционное законодательство Российской Федерации.</w:t>
      </w:r>
    </w:p>
    <w:p>
      <w:pPr>
        <w:pStyle w:val="Normal"/>
        <w:rPr>
          <w:rFonts w:ascii="Calibri" w:hAnsi="Calibri"/>
          <w:sz w:val="22"/>
          <w:szCs w:val="22"/>
        </w:rPr>
      </w:pPr>
      <w:r>
        <w:rPr>
          <w:rFonts w:ascii="Calibri" w:hAnsi="Calibri"/>
          <w:sz w:val="22"/>
          <w:szCs w:val="22"/>
        </w:rPr>
      </w:r>
    </w:p>
    <w:p>
      <w:pPr>
        <w:pStyle w:val="Normal"/>
        <w:jc w:val="center"/>
        <w:rPr>
          <w:b/>
          <w:b/>
          <w:bCs/>
          <w:caps/>
          <w:sz w:val="22"/>
          <w:szCs w:val="22"/>
        </w:rPr>
      </w:pPr>
      <w:r>
        <w:rPr>
          <w:b/>
          <w:sz w:val="22"/>
          <w:szCs w:val="22"/>
        </w:rPr>
        <w:t>10.</w:t>
      </w:r>
      <w:r>
        <w:rPr>
          <w:b/>
          <w:bCs/>
          <w:caps/>
          <w:sz w:val="22"/>
          <w:szCs w:val="22"/>
        </w:rPr>
        <w:t xml:space="preserve"> Прочие условия</w:t>
      </w:r>
    </w:p>
    <w:p>
      <w:pPr>
        <w:pStyle w:val="ConsNonformat"/>
        <w:shd w:val="clear" w:color="auto" w:fill="FFFFFF"/>
        <w:tabs>
          <w:tab w:val="left" w:pos="709" w:leader="none"/>
          <w:tab w:val="left" w:pos="1134" w:leader="none"/>
        </w:tabs>
        <w:ind w:firstLine="567"/>
        <w:jc w:val="both"/>
        <w:rPr>
          <w:rFonts w:ascii="Times New Roman" w:hAnsi="Times New Roman" w:cs="Times New Roman"/>
          <w:sz w:val="22"/>
          <w:szCs w:val="22"/>
        </w:rPr>
      </w:pPr>
      <w:r>
        <w:rPr>
          <w:rFonts w:cs="Times New Roman" w:ascii="Times New Roman" w:hAnsi="Times New Roman"/>
          <w:sz w:val="22"/>
          <w:szCs w:val="22"/>
        </w:rPr>
        <w:t>10.9.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pPr>
        <w:pStyle w:val="ConsNonformat"/>
        <w:shd w:val="clear" w:color="auto" w:fill="FFFFFF"/>
        <w:tabs>
          <w:tab w:val="left" w:pos="709" w:leader="none"/>
          <w:tab w:val="left" w:pos="1134" w:leader="none"/>
        </w:tabs>
        <w:ind w:firstLine="567"/>
        <w:jc w:val="both"/>
        <w:rPr>
          <w:rFonts w:ascii="Times New Roman" w:hAnsi="Times New Roman" w:cs="Times New Roman"/>
          <w:sz w:val="22"/>
          <w:szCs w:val="22"/>
        </w:rPr>
      </w:pPr>
      <w:r>
        <w:rPr>
          <w:rFonts w:cs="Times New Roman" w:ascii="Times New Roman" w:hAnsi="Times New Roman"/>
          <w:sz w:val="22"/>
          <w:szCs w:val="22"/>
        </w:rPr>
        <w:t>10.10. Все, что не урегулировано контрактом, регулируется действующим законодательством.</w:t>
      </w:r>
    </w:p>
    <w:p>
      <w:pPr>
        <w:pStyle w:val="ConsNonformat"/>
        <w:shd w:val="clear" w:color="auto" w:fill="FFFFFF"/>
        <w:tabs>
          <w:tab w:val="left" w:pos="709" w:leader="none"/>
          <w:tab w:val="left" w:pos="1134" w:leader="none"/>
        </w:tabs>
        <w:ind w:firstLine="567"/>
        <w:jc w:val="both"/>
        <w:rPr>
          <w:rFonts w:ascii="Times New Roman" w:hAnsi="Times New Roman" w:cs="Times New Roman"/>
          <w:spacing w:val="-3"/>
          <w:sz w:val="22"/>
          <w:szCs w:val="22"/>
        </w:rPr>
      </w:pPr>
      <w:r>
        <w:rPr>
          <w:rFonts w:cs="Times New Roman" w:ascii="Times New Roman" w:hAnsi="Times New Roman"/>
          <w:sz w:val="22"/>
          <w:szCs w:val="22"/>
        </w:rPr>
        <w:t>10.11. Споры, возникающие при исполнении контракта, урегулируются путем переговоров между сторонами</w:t>
      </w:r>
      <w:r>
        <w:rPr>
          <w:rFonts w:cs="Times New Roman" w:ascii="Times New Roman" w:hAnsi="Times New Roman"/>
          <w:spacing w:val="-3"/>
          <w:sz w:val="22"/>
          <w:szCs w:val="22"/>
        </w:rPr>
        <w:t>, если договоренности не достигнуто, спор подлежит рассмотрению Арбитражным судом города Санкт-Петербурга и Ленинградский области.</w:t>
      </w:r>
    </w:p>
    <w:p>
      <w:pPr>
        <w:pStyle w:val="ConsNonformat"/>
        <w:shd w:val="clear" w:color="auto" w:fill="FFFFFF"/>
        <w:tabs>
          <w:tab w:val="left" w:pos="709" w:leader="none"/>
          <w:tab w:val="left" w:pos="1134" w:leader="none"/>
        </w:tabs>
        <w:ind w:firstLine="567"/>
        <w:jc w:val="both"/>
        <w:rPr>
          <w:rFonts w:ascii="Times New Roman" w:hAnsi="Times New Roman" w:cs="Times New Roman"/>
          <w:sz w:val="22"/>
          <w:szCs w:val="22"/>
        </w:rPr>
      </w:pPr>
      <w:r>
        <w:rPr>
          <w:rFonts w:cs="Times New Roman" w:ascii="Times New Roman" w:hAnsi="Times New Roman"/>
          <w:spacing w:val="-3"/>
          <w:sz w:val="22"/>
          <w:szCs w:val="22"/>
        </w:rPr>
        <w:t xml:space="preserve">10.12. </w:t>
      </w:r>
      <w:r>
        <w:rPr>
          <w:rFonts w:cs="Times New Roman" w:ascii="Times New Roman" w:hAnsi="Times New Roman"/>
          <w:sz w:val="22"/>
          <w:szCs w:val="22"/>
        </w:rPr>
        <w:t xml:space="preserve">К контракту прилагаются и являются его неотъемлемой частью: </w:t>
      </w:r>
    </w:p>
    <w:p>
      <w:pPr>
        <w:pStyle w:val="Style34"/>
        <w:ind w:left="0" w:hanging="0"/>
        <w:rPr>
          <w:sz w:val="22"/>
          <w:szCs w:val="22"/>
        </w:rPr>
      </w:pPr>
      <w:r>
        <w:rPr>
          <w:sz w:val="22"/>
          <w:szCs w:val="22"/>
        </w:rPr>
        <w:t>- Перечень услуг (Приложение № 1.1; Приложение № 1.2);</w:t>
      </w:r>
    </w:p>
    <w:p>
      <w:pPr>
        <w:pStyle w:val="Style34"/>
        <w:ind w:left="0" w:hanging="0"/>
        <w:rPr>
          <w:sz w:val="22"/>
          <w:szCs w:val="22"/>
        </w:rPr>
      </w:pPr>
      <w:r>
        <w:rPr>
          <w:sz w:val="22"/>
          <w:szCs w:val="22"/>
        </w:rPr>
        <w:t>- Расчет цены контракта (Приложение № 2).</w:t>
      </w:r>
    </w:p>
    <w:p>
      <w:pPr>
        <w:pStyle w:val="ConsPlusNormal1"/>
        <w:ind w:left="284" w:hanging="0"/>
        <w:rPr>
          <w:rFonts w:ascii="Times New Roman" w:hAnsi="Times New Roman" w:cs="Times New Roman"/>
          <w:sz w:val="22"/>
          <w:szCs w:val="22"/>
        </w:rPr>
      </w:pPr>
      <w:r>
        <w:rPr>
          <w:rFonts w:cs="Times New Roman" w:ascii="Times New Roman" w:hAnsi="Times New Roman"/>
          <w:sz w:val="22"/>
          <w:szCs w:val="22"/>
        </w:rPr>
        <w:t xml:space="preserve">                                              </w:t>
      </w:r>
    </w:p>
    <w:p>
      <w:pPr>
        <w:pStyle w:val="ConsPlusNormal1"/>
        <w:ind w:hanging="0"/>
        <w:rPr>
          <w:b/>
          <w:b/>
          <w:sz w:val="22"/>
          <w:szCs w:val="22"/>
        </w:rPr>
      </w:pPr>
      <w:r>
        <w:rPr>
          <w:rFonts w:cs="Times New Roman" w:ascii="Times New Roman" w:hAnsi="Times New Roman"/>
          <w:b/>
          <w:sz w:val="22"/>
          <w:szCs w:val="22"/>
        </w:rPr>
        <w:t xml:space="preserve">                                        </w:t>
      </w:r>
      <w:r>
        <w:rPr>
          <w:rFonts w:cs="Times New Roman" w:ascii="Times New Roman" w:hAnsi="Times New Roman"/>
          <w:b/>
          <w:sz w:val="22"/>
          <w:szCs w:val="22"/>
        </w:rPr>
        <w:t>11. АДРЕСА И БАНКОВСКИЕ РЕКВИЗИТЫ СТОРОН</w:t>
      </w:r>
      <w:r>
        <w:rPr>
          <w:b/>
          <w:sz w:val="22"/>
          <w:szCs w:val="22"/>
        </w:rPr>
        <w:tab/>
        <w:tab/>
        <w:tab/>
      </w:r>
    </w:p>
    <w:tbl>
      <w:tblPr>
        <w:tblW w:w="10415" w:type="dxa"/>
        <w:jc w:val="left"/>
        <w:tblInd w:w="-72" w:type="dxa"/>
        <w:tblCellMar>
          <w:top w:w="0" w:type="dxa"/>
          <w:left w:w="70" w:type="dxa"/>
          <w:bottom w:w="0" w:type="dxa"/>
          <w:right w:w="70" w:type="dxa"/>
        </w:tblCellMar>
        <w:tblLook w:val="0000"/>
      </w:tblPr>
      <w:tblGrid>
        <w:gridCol w:w="5102"/>
        <w:gridCol w:w="22"/>
        <w:gridCol w:w="5026"/>
        <w:gridCol w:w="265"/>
      </w:tblGrid>
      <w:tr>
        <w:trPr>
          <w:trHeight w:val="1710" w:hRule="atLeast"/>
          <w:cantSplit w:val="true"/>
        </w:trPr>
        <w:tc>
          <w:tcPr>
            <w:tcW w:w="5102" w:type="dxa"/>
            <w:tcBorders/>
            <w:shd w:fill="auto" w:val="clear"/>
          </w:tcPr>
          <w:p>
            <w:pPr>
              <w:pStyle w:val="Normal"/>
              <w:widowControl w:val="false"/>
              <w:numPr>
                <w:ilvl w:val="0"/>
                <w:numId w:val="0"/>
              </w:numPr>
              <w:jc w:val="left"/>
              <w:outlineLvl w:val="1"/>
              <w:rPr>
                <w:b/>
                <w:b/>
                <w:sz w:val="22"/>
                <w:szCs w:val="22"/>
              </w:rPr>
            </w:pPr>
            <w:r>
              <w:rPr>
                <w:b/>
                <w:bCs/>
                <w:sz w:val="22"/>
                <w:szCs w:val="22"/>
              </w:rPr>
              <w:t xml:space="preserve">ЗАКАЗЧИК: </w:t>
            </w:r>
          </w:p>
          <w:p>
            <w:pPr>
              <w:pStyle w:val="ConsPlusNonformat"/>
              <w:rPr>
                <w:rFonts w:ascii="Times New Roman" w:hAnsi="Times New Roman" w:cs="Times New Roman"/>
                <w:sz w:val="22"/>
                <w:szCs w:val="22"/>
              </w:rPr>
            </w:pPr>
            <w:r>
              <w:rPr>
                <w:rFonts w:cs="Times New Roman" w:ascii="Times New Roman" w:hAnsi="Times New Roman"/>
                <w:sz w:val="22"/>
                <w:szCs w:val="22"/>
              </w:rPr>
              <w:t xml:space="preserve">Государственное бюджетное общеобразовательное учреждение школа № 370 Московского района Санкт-Петербурга  </w:t>
            </w:r>
          </w:p>
          <w:p>
            <w:pPr>
              <w:pStyle w:val="ConsPlusNonformat"/>
              <w:rPr>
                <w:rFonts w:ascii="Times New Roman" w:hAnsi="Times New Roman" w:cs="Times New Roman"/>
                <w:sz w:val="22"/>
                <w:szCs w:val="22"/>
              </w:rPr>
            </w:pPr>
            <w:r>
              <w:rPr>
                <w:rFonts w:cs="Times New Roman" w:ascii="Times New Roman" w:hAnsi="Times New Roman"/>
                <w:sz w:val="22"/>
                <w:szCs w:val="22"/>
              </w:rPr>
              <w:t>Юр. адрес: 196128 Санкт-Петербург, ул. Благодатная, д. 11</w:t>
            </w:r>
          </w:p>
          <w:p>
            <w:pPr>
              <w:pStyle w:val="ConsPlusNonformat"/>
              <w:rPr>
                <w:rFonts w:ascii="Times New Roman" w:hAnsi="Times New Roman" w:cs="Times New Roman"/>
                <w:sz w:val="22"/>
                <w:szCs w:val="22"/>
              </w:rPr>
            </w:pPr>
            <w:r>
              <w:rPr>
                <w:rFonts w:cs="Times New Roman" w:ascii="Times New Roman" w:hAnsi="Times New Roman"/>
                <w:sz w:val="22"/>
                <w:szCs w:val="22"/>
              </w:rPr>
              <w:t xml:space="preserve">Банковские реквизиты: </w:t>
            </w:r>
          </w:p>
          <w:p>
            <w:pPr>
              <w:pStyle w:val="ConsPlusNonformat"/>
              <w:rPr>
                <w:rFonts w:ascii="Times New Roman" w:hAnsi="Times New Roman" w:cs="Times New Roman"/>
                <w:sz w:val="22"/>
                <w:szCs w:val="22"/>
              </w:rPr>
            </w:pPr>
            <w:r>
              <w:rPr>
                <w:rFonts w:cs="Times New Roman" w:ascii="Times New Roman" w:hAnsi="Times New Roman"/>
                <w:sz w:val="22"/>
                <w:szCs w:val="22"/>
              </w:rPr>
              <w:t xml:space="preserve">ИНН 7810149298    КПП 781001001  </w:t>
            </w:r>
          </w:p>
          <w:p>
            <w:pPr>
              <w:pStyle w:val="ConsPlusNonformat"/>
              <w:rPr>
                <w:rFonts w:ascii="Times New Roman" w:hAnsi="Times New Roman" w:cs="Times New Roman"/>
                <w:sz w:val="22"/>
                <w:szCs w:val="22"/>
              </w:rPr>
            </w:pPr>
            <w:r>
              <w:rPr>
                <w:rFonts w:cs="Times New Roman" w:ascii="Times New Roman" w:hAnsi="Times New Roman"/>
                <w:sz w:val="22"/>
                <w:szCs w:val="22"/>
              </w:rPr>
              <w:t>Северо-Западное ГУ Банка России</w:t>
            </w:r>
          </w:p>
          <w:p>
            <w:pPr>
              <w:pStyle w:val="ConsPlusNonformat"/>
              <w:rPr>
                <w:rFonts w:ascii="Times New Roman" w:hAnsi="Times New Roman" w:cs="Times New Roman"/>
                <w:sz w:val="22"/>
                <w:szCs w:val="22"/>
              </w:rPr>
            </w:pPr>
            <w:r>
              <w:rPr>
                <w:rFonts w:cs="Times New Roman" w:ascii="Times New Roman" w:hAnsi="Times New Roman"/>
                <w:sz w:val="22"/>
                <w:szCs w:val="22"/>
              </w:rPr>
              <w:t>БИК 044030001</w:t>
            </w:r>
          </w:p>
          <w:p>
            <w:pPr>
              <w:pStyle w:val="ConsPlusNonformat"/>
              <w:rPr>
                <w:rFonts w:ascii="Times New Roman" w:hAnsi="Times New Roman" w:cs="Times New Roman"/>
                <w:sz w:val="22"/>
                <w:szCs w:val="22"/>
              </w:rPr>
            </w:pPr>
            <w:r>
              <w:rPr>
                <w:rFonts w:cs="Times New Roman" w:ascii="Times New Roman" w:hAnsi="Times New Roman"/>
                <w:sz w:val="22"/>
                <w:szCs w:val="22"/>
              </w:rPr>
              <w:t>р/с 40601810200003000000</w:t>
            </w:r>
          </w:p>
          <w:p>
            <w:pPr>
              <w:pStyle w:val="ConsPlusNonformat"/>
              <w:rPr>
                <w:rFonts w:ascii="Times New Roman" w:hAnsi="Times New Roman" w:cs="Times New Roman"/>
                <w:sz w:val="22"/>
                <w:szCs w:val="22"/>
              </w:rPr>
            </w:pPr>
            <w:r>
              <w:rPr>
                <w:rFonts w:cs="Times New Roman" w:ascii="Times New Roman" w:hAnsi="Times New Roman"/>
                <w:sz w:val="22"/>
                <w:szCs w:val="22"/>
              </w:rPr>
              <w:t>л/с 0591078 в Комитете финансов Санкт-Петербурга</w:t>
            </w:r>
          </w:p>
          <w:p>
            <w:pPr>
              <w:pStyle w:val="ConsPlusNonformat"/>
              <w:rPr>
                <w:rFonts w:ascii="Times New Roman" w:hAnsi="Times New Roman" w:cs="Times New Roman"/>
                <w:sz w:val="22"/>
                <w:szCs w:val="22"/>
              </w:rPr>
            </w:pPr>
            <w:r>
              <w:rPr>
                <w:rFonts w:cs="Times New Roman" w:ascii="Times New Roman" w:hAnsi="Times New Roman"/>
                <w:sz w:val="22"/>
                <w:szCs w:val="22"/>
              </w:rPr>
              <w:t xml:space="preserve">ОКПО 52157521   ОКВЭД 80.21.1 </w:t>
            </w:r>
          </w:p>
          <w:p>
            <w:pPr>
              <w:pStyle w:val="ConsPlusNonformat"/>
              <w:rPr>
                <w:rFonts w:ascii="Times New Roman" w:hAnsi="Times New Roman" w:cs="Times New Roman"/>
                <w:sz w:val="22"/>
                <w:szCs w:val="22"/>
              </w:rPr>
            </w:pPr>
            <w:r>
              <w:rPr>
                <w:rFonts w:cs="Times New Roman" w:ascii="Times New Roman" w:hAnsi="Times New Roman"/>
                <w:sz w:val="22"/>
                <w:szCs w:val="22"/>
              </w:rPr>
            </w:r>
          </w:p>
          <w:p>
            <w:pPr>
              <w:pStyle w:val="ConsPlusNonformat"/>
              <w:rPr>
                <w:rFonts w:ascii="Times New Roman" w:hAnsi="Times New Roman" w:cs="Times New Roman"/>
                <w:sz w:val="22"/>
                <w:szCs w:val="22"/>
              </w:rPr>
            </w:pPr>
            <w:r>
              <w:rPr>
                <w:rFonts w:cs="Times New Roman" w:ascii="Times New Roman" w:hAnsi="Times New Roman"/>
                <w:sz w:val="22"/>
                <w:szCs w:val="22"/>
              </w:rPr>
            </w:r>
          </w:p>
          <w:p>
            <w:pPr>
              <w:pStyle w:val="ConsPlusNonformat"/>
              <w:rPr>
                <w:rFonts w:ascii="Times New Roman" w:hAnsi="Times New Roman" w:cs="Times New Roman"/>
                <w:sz w:val="22"/>
                <w:szCs w:val="22"/>
              </w:rPr>
            </w:pPr>
            <w:r>
              <w:rPr>
                <w:rFonts w:cs="Times New Roman" w:ascii="Times New Roman" w:hAnsi="Times New Roman"/>
                <w:sz w:val="22"/>
                <w:szCs w:val="22"/>
              </w:rPr>
            </w:r>
          </w:p>
          <w:p>
            <w:pPr>
              <w:pStyle w:val="Normal"/>
              <w:keepNext w:val="true"/>
              <w:keepLines/>
              <w:jc w:val="left"/>
              <w:rPr>
                <w:sz w:val="22"/>
                <w:szCs w:val="22"/>
              </w:rPr>
            </w:pPr>
            <w:r>
              <w:rPr>
                <w:sz w:val="22"/>
                <w:szCs w:val="22"/>
              </w:rPr>
            </w:r>
          </w:p>
          <w:p>
            <w:pPr>
              <w:pStyle w:val="Style34"/>
              <w:ind w:left="0" w:hanging="0"/>
              <w:jc w:val="left"/>
              <w:rPr>
                <w:b/>
                <w:b/>
                <w:sz w:val="22"/>
                <w:szCs w:val="22"/>
              </w:rPr>
            </w:pPr>
            <w:r>
              <w:rPr>
                <w:b/>
                <w:sz w:val="22"/>
                <w:szCs w:val="22"/>
              </w:rPr>
              <w:t xml:space="preserve">_________________/Сергеева Н.М./  </w:t>
            </w:r>
          </w:p>
          <w:p>
            <w:pPr>
              <w:pStyle w:val="Style34"/>
              <w:ind w:left="0" w:hanging="0"/>
              <w:jc w:val="left"/>
              <w:rPr>
                <w:b/>
                <w:b/>
                <w:sz w:val="22"/>
                <w:szCs w:val="22"/>
              </w:rPr>
            </w:pPr>
            <w:r>
              <w:rPr>
                <w:b/>
                <w:sz w:val="22"/>
                <w:szCs w:val="22"/>
              </w:rPr>
              <w:t xml:space="preserve">                                                                </w:t>
            </w:r>
          </w:p>
          <w:p>
            <w:pPr>
              <w:pStyle w:val="Style34"/>
              <w:ind w:left="0" w:hanging="0"/>
              <w:jc w:val="left"/>
              <w:rPr>
                <w:b/>
                <w:b/>
                <w:sz w:val="22"/>
                <w:szCs w:val="22"/>
              </w:rPr>
            </w:pPr>
            <w:r>
              <w:rPr>
                <w:sz w:val="22"/>
                <w:szCs w:val="22"/>
              </w:rPr>
              <w:t>"____"_____________ 2020 г.</w:t>
            </w:r>
          </w:p>
          <w:p>
            <w:pPr>
              <w:pStyle w:val="Normal"/>
              <w:keepNext w:val="true"/>
              <w:keepLines/>
              <w:jc w:val="left"/>
              <w:rPr>
                <w:sz w:val="22"/>
                <w:szCs w:val="22"/>
              </w:rPr>
            </w:pPr>
            <w:r>
              <w:rPr>
                <w:sz w:val="22"/>
                <w:szCs w:val="22"/>
              </w:rPr>
            </w:r>
          </w:p>
        </w:tc>
        <w:tc>
          <w:tcPr>
            <w:tcW w:w="5313" w:type="dxa"/>
            <w:gridSpan w:val="3"/>
            <w:tcBorders/>
            <w:shd w:fill="auto" w:val="clear"/>
          </w:tcPr>
          <w:p>
            <w:pPr>
              <w:pStyle w:val="Normal"/>
              <w:ind w:left="71" w:hanging="0"/>
              <w:jc w:val="left"/>
              <w:rPr>
                <w:b/>
                <w:b/>
                <w:bCs/>
                <w:sz w:val="22"/>
                <w:szCs w:val="22"/>
              </w:rPr>
            </w:pPr>
            <w:r>
              <w:rPr>
                <w:b/>
                <w:bCs/>
                <w:sz w:val="22"/>
                <w:szCs w:val="22"/>
              </w:rPr>
              <w:t>ИСПОЛНИТЕЛЬ:</w:t>
            </w:r>
          </w:p>
          <w:p>
            <w:pPr>
              <w:pStyle w:val="ConsPlusNonformat"/>
              <w:ind w:left="71" w:hanging="0"/>
              <w:rPr>
                <w:rFonts w:ascii="Times New Roman" w:hAnsi="Times New Roman" w:cs="Times New Roman"/>
                <w:sz w:val="22"/>
                <w:szCs w:val="22"/>
              </w:rPr>
            </w:pPr>
            <w:r>
              <w:rPr/>
            </w:r>
          </w:p>
          <w:p>
            <w:pPr>
              <w:pStyle w:val="ConsPlusNonformat"/>
              <w:ind w:left="71" w:hanging="0"/>
              <w:rPr>
                <w:rFonts w:ascii="Times New Roman" w:hAnsi="Times New Roman" w:cs="Times New Roman"/>
                <w:sz w:val="22"/>
                <w:szCs w:val="22"/>
              </w:rPr>
            </w:pPr>
            <w:r>
              <w:rPr/>
            </w:r>
          </w:p>
          <w:p>
            <w:pPr>
              <w:pStyle w:val="ConsPlusNonformat"/>
              <w:ind w:left="71" w:hanging="0"/>
              <w:rPr>
                <w:rFonts w:ascii="Times New Roman" w:hAnsi="Times New Roman" w:cs="Times New Roman"/>
                <w:sz w:val="22"/>
                <w:szCs w:val="22"/>
              </w:rPr>
            </w:pPr>
            <w:r>
              <w:rPr/>
            </w:r>
          </w:p>
          <w:p>
            <w:pPr>
              <w:pStyle w:val="ConsPlusNonformat"/>
              <w:ind w:left="71" w:hanging="0"/>
              <w:rPr>
                <w:rFonts w:ascii="Times New Roman" w:hAnsi="Times New Roman" w:cs="Times New Roman"/>
                <w:sz w:val="22"/>
                <w:szCs w:val="22"/>
              </w:rPr>
            </w:pPr>
            <w:r>
              <w:rPr/>
            </w:r>
          </w:p>
          <w:p>
            <w:pPr>
              <w:pStyle w:val="ConsPlusNonformat"/>
              <w:ind w:left="71" w:hanging="0"/>
              <w:rPr>
                <w:rFonts w:ascii="Times New Roman" w:hAnsi="Times New Roman" w:cs="Times New Roman"/>
                <w:sz w:val="22"/>
                <w:szCs w:val="22"/>
              </w:rPr>
            </w:pPr>
            <w:r>
              <w:rPr/>
            </w:r>
          </w:p>
          <w:p>
            <w:pPr>
              <w:pStyle w:val="ConsPlusNonformat"/>
              <w:ind w:left="71" w:hanging="0"/>
              <w:rPr>
                <w:rFonts w:ascii="Times New Roman" w:hAnsi="Times New Roman" w:cs="Times New Roman"/>
                <w:sz w:val="22"/>
                <w:szCs w:val="22"/>
              </w:rPr>
            </w:pPr>
            <w:r>
              <w:rPr/>
            </w:r>
          </w:p>
          <w:p>
            <w:pPr>
              <w:pStyle w:val="ConsPlusNonformat"/>
              <w:ind w:left="71" w:hanging="0"/>
              <w:rPr>
                <w:rFonts w:ascii="Times New Roman" w:hAnsi="Times New Roman" w:cs="Times New Roman"/>
                <w:sz w:val="22"/>
                <w:szCs w:val="22"/>
              </w:rPr>
            </w:pPr>
            <w:r>
              <w:rPr/>
            </w:r>
          </w:p>
          <w:p>
            <w:pPr>
              <w:pStyle w:val="ConsPlusNonformat"/>
              <w:ind w:left="71" w:hanging="0"/>
              <w:rPr>
                <w:rFonts w:ascii="Times New Roman" w:hAnsi="Times New Roman" w:cs="Times New Roman"/>
                <w:sz w:val="22"/>
                <w:szCs w:val="22"/>
              </w:rPr>
            </w:pPr>
            <w:r>
              <w:rPr/>
            </w:r>
          </w:p>
          <w:p>
            <w:pPr>
              <w:pStyle w:val="ConsPlusNonformat"/>
              <w:ind w:left="71" w:hanging="0"/>
              <w:rPr>
                <w:rFonts w:ascii="Times New Roman" w:hAnsi="Times New Roman" w:cs="Times New Roman"/>
                <w:sz w:val="22"/>
                <w:szCs w:val="22"/>
              </w:rPr>
            </w:pPr>
            <w:r>
              <w:rPr/>
            </w:r>
          </w:p>
          <w:p>
            <w:pPr>
              <w:pStyle w:val="ConsPlusNonformat"/>
              <w:ind w:left="71" w:hanging="0"/>
              <w:rPr>
                <w:rFonts w:ascii="Times New Roman" w:hAnsi="Times New Roman" w:cs="Times New Roman"/>
                <w:sz w:val="22"/>
                <w:szCs w:val="22"/>
              </w:rPr>
            </w:pPr>
            <w:r>
              <w:rPr/>
            </w:r>
          </w:p>
          <w:p>
            <w:pPr>
              <w:pStyle w:val="ConsPlusNonformat"/>
              <w:ind w:left="71" w:hanging="0"/>
              <w:rPr>
                <w:rFonts w:ascii="Times New Roman" w:hAnsi="Times New Roman" w:cs="Times New Roman"/>
                <w:sz w:val="22"/>
                <w:szCs w:val="22"/>
              </w:rPr>
            </w:pPr>
            <w:r>
              <w:rPr/>
            </w:r>
          </w:p>
          <w:p>
            <w:pPr>
              <w:pStyle w:val="Normal"/>
              <w:tabs>
                <w:tab w:val="clear" w:pos="709"/>
                <w:tab w:val="left" w:pos="5245" w:leader="none"/>
              </w:tabs>
              <w:ind w:left="71" w:hanging="0"/>
              <w:jc w:val="left"/>
              <w:rPr>
                <w:sz w:val="22"/>
                <w:szCs w:val="22"/>
              </w:rPr>
            </w:pPr>
            <w:r>
              <w:rPr>
                <w:sz w:val="22"/>
                <w:szCs w:val="22"/>
              </w:rPr>
            </w:r>
          </w:p>
          <w:p>
            <w:pPr>
              <w:pStyle w:val="Normal"/>
              <w:tabs>
                <w:tab w:val="clear" w:pos="709"/>
                <w:tab w:val="left" w:pos="5245" w:leader="none"/>
              </w:tabs>
              <w:jc w:val="left"/>
              <w:rPr>
                <w:sz w:val="22"/>
                <w:szCs w:val="22"/>
              </w:rPr>
            </w:pPr>
            <w:r>
              <w:rPr>
                <w:sz w:val="22"/>
                <w:szCs w:val="22"/>
              </w:rPr>
            </w:r>
          </w:p>
          <w:p>
            <w:pPr>
              <w:pStyle w:val="Normal"/>
              <w:tabs>
                <w:tab w:val="clear" w:pos="709"/>
                <w:tab w:val="left" w:pos="5245" w:leader="none"/>
              </w:tabs>
              <w:jc w:val="left"/>
              <w:rPr>
                <w:sz w:val="22"/>
                <w:szCs w:val="22"/>
              </w:rPr>
            </w:pPr>
            <w:r>
              <w:rPr>
                <w:sz w:val="22"/>
                <w:szCs w:val="22"/>
              </w:rPr>
            </w:r>
          </w:p>
          <w:p>
            <w:pPr>
              <w:pStyle w:val="Normal"/>
              <w:tabs>
                <w:tab w:val="clear" w:pos="709"/>
                <w:tab w:val="left" w:pos="5245" w:leader="none"/>
              </w:tabs>
              <w:jc w:val="left"/>
              <w:rPr>
                <w:sz w:val="22"/>
                <w:szCs w:val="22"/>
              </w:rPr>
            </w:pPr>
            <w:r>
              <w:rPr>
                <w:sz w:val="22"/>
                <w:szCs w:val="22"/>
              </w:rPr>
            </w:r>
          </w:p>
          <w:p>
            <w:pPr>
              <w:pStyle w:val="Normal"/>
              <w:tabs>
                <w:tab w:val="clear" w:pos="709"/>
                <w:tab w:val="left" w:pos="5245" w:leader="none"/>
              </w:tabs>
              <w:jc w:val="left"/>
              <w:rPr>
                <w:sz w:val="22"/>
                <w:szCs w:val="22"/>
              </w:rPr>
            </w:pPr>
            <w:r>
              <w:rPr>
                <w:sz w:val="22"/>
                <w:szCs w:val="22"/>
              </w:rPr>
            </w:r>
          </w:p>
          <w:p>
            <w:pPr>
              <w:pStyle w:val="Normal"/>
              <w:tabs>
                <w:tab w:val="clear" w:pos="709"/>
                <w:tab w:val="left" w:pos="5245" w:leader="none"/>
              </w:tabs>
              <w:jc w:val="left"/>
              <w:rPr/>
            </w:pPr>
            <w:r>
              <w:rPr>
                <w:b/>
                <w:sz w:val="22"/>
                <w:szCs w:val="22"/>
              </w:rPr>
              <w:t>_________________/____________./</w:t>
            </w:r>
          </w:p>
          <w:p>
            <w:pPr>
              <w:pStyle w:val="Normal"/>
              <w:tabs>
                <w:tab w:val="clear" w:pos="709"/>
                <w:tab w:val="left" w:pos="5245" w:leader="none"/>
              </w:tabs>
              <w:jc w:val="left"/>
              <w:rPr>
                <w:b/>
                <w:b/>
                <w:sz w:val="22"/>
                <w:szCs w:val="22"/>
              </w:rPr>
            </w:pPr>
            <w:r>
              <w:rPr>
                <w:b/>
                <w:sz w:val="22"/>
                <w:szCs w:val="22"/>
              </w:rPr>
            </w:r>
          </w:p>
          <w:p>
            <w:pPr>
              <w:pStyle w:val="Normal"/>
              <w:tabs>
                <w:tab w:val="clear" w:pos="709"/>
                <w:tab w:val="left" w:pos="5245" w:leader="none"/>
              </w:tabs>
              <w:jc w:val="left"/>
              <w:rPr>
                <w:sz w:val="22"/>
                <w:szCs w:val="22"/>
              </w:rPr>
            </w:pPr>
            <w:r>
              <w:rPr>
                <w:sz w:val="22"/>
                <w:szCs w:val="22"/>
              </w:rPr>
              <w:t>"____"_____________ 2020 г.</w:t>
            </w:r>
          </w:p>
        </w:tc>
      </w:tr>
      <w:tr>
        <w:trPr>
          <w:trHeight w:val="80" w:hRule="atLeast"/>
          <w:cantSplit w:val="true"/>
        </w:trPr>
        <w:tc>
          <w:tcPr>
            <w:tcW w:w="5124" w:type="dxa"/>
            <w:gridSpan w:val="2"/>
            <w:tcBorders/>
            <w:shd w:fill="auto" w:val="clear"/>
          </w:tcPr>
          <w:p>
            <w:pPr>
              <w:pStyle w:val="Style65"/>
              <w:keepNext w:val="true"/>
              <w:keepLines/>
              <w:widowControl/>
              <w:rPr>
                <w:rFonts w:ascii="Times New Roman" w:hAnsi="Times New Roman"/>
                <w:spacing w:val="-6"/>
                <w:sz w:val="23"/>
                <w:szCs w:val="23"/>
              </w:rPr>
            </w:pPr>
            <w:r>
              <w:rPr>
                <w:rFonts w:ascii="Times New Roman" w:hAnsi="Times New Roman"/>
                <w:spacing w:val="-6"/>
                <w:sz w:val="23"/>
                <w:szCs w:val="23"/>
              </w:rPr>
            </w:r>
          </w:p>
        </w:tc>
        <w:tc>
          <w:tcPr>
            <w:tcW w:w="5026" w:type="dxa"/>
            <w:tcBorders/>
            <w:shd w:fill="auto" w:val="clear"/>
          </w:tcPr>
          <w:p>
            <w:pPr>
              <w:pStyle w:val="Style65"/>
              <w:tabs>
                <w:tab w:val="clear" w:pos="0"/>
                <w:tab w:val="left" w:pos="205"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rPr>
                <w:rFonts w:ascii="Times New Roman" w:hAnsi="Times New Roman"/>
                <w:spacing w:val="-6"/>
                <w:sz w:val="23"/>
                <w:szCs w:val="23"/>
              </w:rPr>
            </w:pPr>
            <w:r>
              <w:rPr>
                <w:rFonts w:ascii="Times New Roman" w:hAnsi="Times New Roman"/>
                <w:spacing w:val="-6"/>
                <w:sz w:val="23"/>
                <w:szCs w:val="23"/>
              </w:rPr>
            </w:r>
          </w:p>
        </w:tc>
        <w:tc>
          <w:tcPr>
            <w:tcW w:w="265" w:type="dxa"/>
            <w:tcBorders/>
            <w:shd w:fill="auto" w:val="clear"/>
          </w:tcPr>
          <w:p>
            <w:pPr>
              <w:pStyle w:val="Normal"/>
              <w:rPr/>
            </w:pPr>
            <w:r>
              <w:rPr/>
            </w:r>
          </w:p>
        </w:tc>
      </w:tr>
    </w:tbl>
    <w:p>
      <w:pPr>
        <w:pStyle w:val="Normal"/>
        <w:tabs>
          <w:tab w:val="clear" w:pos="709"/>
          <w:tab w:val="left" w:pos="0" w:leader="none"/>
        </w:tabs>
        <w:jc w:val="right"/>
        <w:rPr>
          <w:sz w:val="22"/>
          <w:szCs w:val="22"/>
        </w:rPr>
      </w:pPr>
      <w:r>
        <w:br w:type="page"/>
      </w:r>
      <w:r>
        <w:rPr>
          <w:sz w:val="22"/>
          <w:szCs w:val="22"/>
        </w:rPr>
        <w:t xml:space="preserve">                                                                                                          </w:t>
      </w:r>
      <w:r>
        <w:rPr>
          <w:sz w:val="22"/>
          <w:szCs w:val="22"/>
        </w:rPr>
        <w:t>Приложение  № 1.1</w:t>
      </w:r>
    </w:p>
    <w:p>
      <w:pPr>
        <w:pStyle w:val="ConsNormal"/>
        <w:widowControl/>
        <w:ind w:left="0" w:right="0" w:hanging="0"/>
        <w:jc w:val="right"/>
        <w:rPr>
          <w:rFonts w:ascii="Times New Roman" w:hAnsi="Times New Roman" w:cs="Times New Roman"/>
          <w:sz w:val="22"/>
          <w:szCs w:val="22"/>
        </w:rPr>
      </w:pPr>
      <w:r>
        <w:rPr>
          <w:rFonts w:cs="Times New Roman" w:ascii="Times New Roman" w:hAnsi="Times New Roman"/>
          <w:sz w:val="22"/>
          <w:szCs w:val="22"/>
        </w:rPr>
        <w:t>к Контракту № 1131/20</w:t>
      </w:r>
    </w:p>
    <w:p>
      <w:pPr>
        <w:pStyle w:val="ConsNormal"/>
        <w:widowControl/>
        <w:ind w:left="0" w:right="0" w:hanging="0"/>
        <w:jc w:val="right"/>
        <w:rPr>
          <w:rFonts w:ascii="Times New Roman" w:hAnsi="Times New Roman" w:cs="Times New Roman"/>
          <w:sz w:val="22"/>
          <w:szCs w:val="22"/>
        </w:rPr>
      </w:pPr>
      <w:r>
        <w:rPr>
          <w:rFonts w:cs="Times New Roman" w:ascii="Times New Roman" w:hAnsi="Times New Roman"/>
          <w:sz w:val="22"/>
          <w:szCs w:val="22"/>
        </w:rPr>
        <w:t>от «___» __________2020 г.</w:t>
      </w:r>
    </w:p>
    <w:p>
      <w:pPr>
        <w:pStyle w:val="Normal"/>
        <w:tabs>
          <w:tab w:val="clear" w:pos="709"/>
          <w:tab w:val="left" w:pos="0" w:leader="none"/>
        </w:tabs>
        <w:jc w:val="right"/>
        <w:rPr>
          <w:sz w:val="22"/>
          <w:szCs w:val="22"/>
        </w:rPr>
      </w:pPr>
      <w:r>
        <w:rPr>
          <w:sz w:val="22"/>
          <w:szCs w:val="22"/>
        </w:rPr>
      </w:r>
    </w:p>
    <w:p>
      <w:pPr>
        <w:pStyle w:val="Normal"/>
        <w:numPr>
          <w:ilvl w:val="0"/>
          <w:numId w:val="0"/>
        </w:numPr>
        <w:jc w:val="center"/>
        <w:outlineLvl w:val="0"/>
        <w:rPr>
          <w:b/>
          <w:b/>
          <w:sz w:val="22"/>
          <w:szCs w:val="22"/>
        </w:rPr>
      </w:pPr>
      <w:r>
        <w:rPr>
          <w:b/>
          <w:sz w:val="22"/>
          <w:szCs w:val="22"/>
        </w:rPr>
      </w:r>
    </w:p>
    <w:p>
      <w:pPr>
        <w:pStyle w:val="Normal"/>
        <w:numPr>
          <w:ilvl w:val="0"/>
          <w:numId w:val="0"/>
        </w:numPr>
        <w:jc w:val="center"/>
        <w:outlineLvl w:val="0"/>
        <w:rPr>
          <w:b/>
          <w:b/>
          <w:sz w:val="22"/>
          <w:szCs w:val="22"/>
        </w:rPr>
      </w:pPr>
      <w:r>
        <w:rPr>
          <w:b/>
          <w:sz w:val="22"/>
          <w:szCs w:val="22"/>
        </w:rPr>
        <w:t>ПЕРЕЧЕНЬ УСЛУГ</w:t>
      </w:r>
    </w:p>
    <w:p>
      <w:pPr>
        <w:pStyle w:val="Normal"/>
        <w:numPr>
          <w:ilvl w:val="0"/>
          <w:numId w:val="0"/>
        </w:numPr>
        <w:jc w:val="center"/>
        <w:outlineLvl w:val="0"/>
        <w:rPr>
          <w:b/>
          <w:b/>
          <w:sz w:val="22"/>
          <w:szCs w:val="22"/>
        </w:rPr>
      </w:pPr>
      <w:r>
        <w:rPr>
          <w:b/>
          <w:sz w:val="22"/>
          <w:szCs w:val="22"/>
        </w:rPr>
        <w:t>по обслуживанию узла учета тепловой энергии</w:t>
      </w:r>
    </w:p>
    <w:p>
      <w:pPr>
        <w:pStyle w:val="Normal"/>
        <w:rPr>
          <w:sz w:val="22"/>
          <w:szCs w:val="22"/>
        </w:rPr>
      </w:pPr>
      <w:r>
        <w:rPr>
          <w:sz w:val="22"/>
          <w:szCs w:val="22"/>
        </w:rPr>
      </w:r>
    </w:p>
    <w:tbl>
      <w:tblPr>
        <w:tblW w:w="10506" w:type="dxa"/>
        <w:jc w:val="center"/>
        <w:tblInd w:w="0" w:type="dxa"/>
        <w:tblCellMar>
          <w:top w:w="0" w:type="dxa"/>
          <w:left w:w="108" w:type="dxa"/>
          <w:bottom w:w="0" w:type="dxa"/>
          <w:right w:w="108" w:type="dxa"/>
        </w:tblCellMar>
        <w:tblLook w:val="04a0"/>
      </w:tblPr>
      <w:tblGrid>
        <w:gridCol w:w="819"/>
        <w:gridCol w:w="9686"/>
      </w:tblGrid>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b/>
                <w:b/>
                <w:sz w:val="21"/>
                <w:szCs w:val="21"/>
              </w:rPr>
            </w:pPr>
            <w:r>
              <w:rPr>
                <w:b/>
                <w:sz w:val="21"/>
                <w:szCs w:val="21"/>
              </w:rPr>
              <w:t>1.</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b/>
                <w:b/>
                <w:sz w:val="21"/>
                <w:szCs w:val="21"/>
              </w:rPr>
            </w:pPr>
            <w:r>
              <w:rPr>
                <w:b/>
                <w:sz w:val="21"/>
                <w:szCs w:val="21"/>
              </w:rPr>
              <w:t>Обслуживание программно-аппаратного комплекса по сбору, хранению и обработке данных с приборов учета энергоресурсов*</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1.1.</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Установка (монтаж) оборудования передачи данных на объекте (в течение 5 (пяти) дней с момента заключения договора).</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1.2.</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Подключение к оборудованию программно-аппаратного комплекса по сбору, хранению и обработке данных с приборов учета энергоресурсов (в течение 5 (пяти) дней с момента заключения договора).</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1.3.</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Контроль работоспособности оборудования передачи данных (ежедневно).</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1.4.</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Контроль корректности получаемых данных (ежедневно).</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1.5.</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Проведение технического обслуживания и текущего ремонта оборудования передачи данных (ежемесячно).</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1.6.</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Проведение технического обслуживания и текущего ремонта оборудования программно-аппаратного комплекса по сбору, хранению и обработке данных с приборов учета энергоресурсов (ежемесячно).</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1.7.</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Демонтаж оборудования передачи данных при необходимости сложного ремонта или замены оборудования передачи данных (при необходимости).</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1.8.</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Установка (монтаж) оборудования передачи данных на объекте при необходимости сложного ремонта или замены оборудования передачи данных (при необходимости).</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b/>
                <w:b/>
                <w:sz w:val="21"/>
                <w:szCs w:val="21"/>
              </w:rPr>
            </w:pPr>
            <w:r>
              <w:rPr>
                <w:b/>
                <w:sz w:val="21"/>
                <w:szCs w:val="21"/>
              </w:rPr>
              <w:t>2.</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b/>
                <w:b/>
                <w:sz w:val="21"/>
                <w:szCs w:val="21"/>
              </w:rPr>
            </w:pPr>
            <w:r>
              <w:rPr>
                <w:b/>
                <w:sz w:val="21"/>
                <w:szCs w:val="21"/>
              </w:rPr>
              <w:t>Изучение и анализ данных, поступающих с приборов учета УУТЭ</w:t>
            </w:r>
          </w:p>
        </w:tc>
      </w:tr>
      <w:tr>
        <w:trPr>
          <w:trHeight w:val="29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2.1.</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Ежесуточный просмотр суточных и часовых данных о параметрах теплопотребления УУТЭ, на которых установлено оборудование передачи данных (ежедневно).</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2.2.</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Анализ работы оборудования для предотвращения нештатных ситуаций и выхода оборудования из строя (ежедневно).</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2.3.</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Анализ на сопоставимость получаемых данных (параметров систем теплопотребления) с данными за предшествующие периоды (при наличии), соответствие параметров договорным значениям и температурным графикам, выявление нештатных и аварийных ситуаций, их возможных причин (ежедневно).</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2.4.</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Обработка показаний для оформления отчетов о теплопотреблении (ежемесячно).</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2.5.</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Формирование отчетов о теплопотреблении по установленной форме (ежемесячно).</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2.6.</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Согласование отчета о теплопотреблении в теплоснабжающей организации (ежемесячно).</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2.7.</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Представление ежемесячных отчётов о теплопотреблении в теплоснабжающие организации (ежемесячно).</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2.8.</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Подготовка часовых архивов за текущий отчётный период в теплоснабжающую организацию в требуемой форме (ежемесячно).</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2.9.</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Анализ сданных отчётов о теплопотреблении (ежемесячно).</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2.10.</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Контроль повышения расхода теплоносителя (2 раза в месяц).</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2.11.</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Информирование заказчика о выявленных нарушениях режимов теплопотребления (2 раза в месяц).</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2.12.</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Информирование заказчика о выявленных нештатных ситуациях в работе УУТЭ (2 раза в месяц).</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2.13.</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Передача принятого отчета и документов заказчику (ежемесячно).</w:t>
            </w:r>
          </w:p>
        </w:tc>
      </w:tr>
      <w:tr>
        <w:trPr>
          <w:trHeight w:val="29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b/>
                <w:b/>
                <w:sz w:val="21"/>
                <w:szCs w:val="21"/>
              </w:rPr>
            </w:pPr>
            <w:r>
              <w:rPr>
                <w:b/>
                <w:sz w:val="21"/>
                <w:szCs w:val="21"/>
              </w:rPr>
              <w:t>3.</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b/>
                <w:b/>
                <w:sz w:val="21"/>
                <w:szCs w:val="21"/>
              </w:rPr>
            </w:pPr>
            <w:r>
              <w:rPr>
                <w:b/>
                <w:sz w:val="21"/>
                <w:szCs w:val="21"/>
              </w:rPr>
              <w:t>Обеспечение дистанционного доступа к специализированному сайту**</w:t>
            </w:r>
          </w:p>
          <w:p>
            <w:pPr>
              <w:pStyle w:val="Normal"/>
              <w:suppressAutoHyphens w:val="true"/>
              <w:rPr>
                <w:b/>
                <w:b/>
                <w:sz w:val="21"/>
                <w:szCs w:val="21"/>
              </w:rPr>
            </w:pPr>
            <w:r>
              <w:rPr>
                <w:b/>
                <w:sz w:val="21"/>
                <w:szCs w:val="21"/>
              </w:rPr>
              <w:t>(личному кабинету абонента).</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3.1.</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Внесение данных в специализированную программу программно-аппаратного комплекса по сбору, хранению и обработке данных с приборов учета энергоресурсов (в течение 5 (пяти) дней с момента заключения договора, далее – постоянно), включающих данные:</w:t>
            </w:r>
          </w:p>
          <w:p>
            <w:pPr>
              <w:pStyle w:val="Normal"/>
              <w:suppressAutoHyphens w:val="true"/>
              <w:rPr>
                <w:sz w:val="21"/>
                <w:szCs w:val="21"/>
              </w:rPr>
            </w:pPr>
            <w:r>
              <w:rPr>
                <w:sz w:val="21"/>
                <w:szCs w:val="21"/>
              </w:rPr>
              <w:t>- информационную базу узла учета тепловой энергии (марки и № приборов, установленных на узле учета, данные о поверке каждого прибора, контактные данные по ответственному персоналу, производящему обслуживание узла учета и формирование отчетных данных);</w:t>
            </w:r>
          </w:p>
          <w:p>
            <w:pPr>
              <w:pStyle w:val="Normal"/>
              <w:suppressAutoHyphens w:val="true"/>
              <w:rPr>
                <w:sz w:val="21"/>
                <w:szCs w:val="21"/>
              </w:rPr>
            </w:pPr>
            <w:r>
              <w:rPr>
                <w:sz w:val="21"/>
                <w:szCs w:val="21"/>
              </w:rPr>
              <w:t>- ежесуточно обновляемые показания с приборов узла учета с почасовой разбивкой (массу отпущенного и полученного источником теплоты теплоносителя, температуру теплоносителя в подающем, обратном и ГВС трубопроводах; давление; теплопотребление).</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3.2.</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Внесение данных для предоставления доступа в личный кабинет абонента в онлайн режиме (в течение 5 (пяти) дней с момента заключения договора, далее - постоянно) с предоставлением возможностей:</w:t>
            </w:r>
          </w:p>
          <w:p>
            <w:pPr>
              <w:pStyle w:val="Normal"/>
              <w:suppressAutoHyphens w:val="true"/>
              <w:rPr>
                <w:sz w:val="21"/>
                <w:szCs w:val="21"/>
              </w:rPr>
            </w:pPr>
            <w:r>
              <w:rPr>
                <w:sz w:val="21"/>
                <w:szCs w:val="21"/>
              </w:rPr>
              <w:t>- предоставления данных об узлах учета в виде мнемосхем;</w:t>
            </w:r>
          </w:p>
          <w:p>
            <w:pPr>
              <w:pStyle w:val="Normal"/>
              <w:suppressAutoHyphens w:val="true"/>
              <w:rPr>
                <w:sz w:val="21"/>
                <w:szCs w:val="21"/>
              </w:rPr>
            </w:pPr>
            <w:r>
              <w:rPr>
                <w:sz w:val="21"/>
                <w:szCs w:val="21"/>
              </w:rPr>
              <w:t>- составления детализированных отчетов о расходе тепловой энергии в виде графиков;</w:t>
            </w:r>
          </w:p>
          <w:p>
            <w:pPr>
              <w:pStyle w:val="Normal"/>
              <w:suppressAutoHyphens w:val="true"/>
              <w:rPr>
                <w:sz w:val="21"/>
                <w:szCs w:val="21"/>
              </w:rPr>
            </w:pPr>
            <w:r>
              <w:rPr>
                <w:sz w:val="21"/>
                <w:szCs w:val="21"/>
              </w:rPr>
              <w:t>- составления детализированных отчетов о расходе тепловой энергии с просмотром полной базы данных УУТЭ (вычислитель – модель, версия, погрешность, расходомер - класс точности, вес импульса и т.д.), включая даты поверок и поверительный интервал;</w:t>
            </w:r>
          </w:p>
          <w:p>
            <w:pPr>
              <w:pStyle w:val="Normal"/>
              <w:suppressAutoHyphens w:val="true"/>
              <w:rPr>
                <w:sz w:val="21"/>
                <w:szCs w:val="21"/>
              </w:rPr>
            </w:pPr>
            <w:r>
              <w:rPr>
                <w:sz w:val="21"/>
                <w:szCs w:val="21"/>
              </w:rPr>
              <w:t>- получение технических консультаций по работе оборудования, режимам теплопотребления и энергетической эффективности;</w:t>
            </w:r>
          </w:p>
          <w:p>
            <w:pPr>
              <w:pStyle w:val="Normal"/>
              <w:suppressAutoHyphens w:val="true"/>
              <w:rPr>
                <w:sz w:val="21"/>
                <w:szCs w:val="21"/>
              </w:rPr>
            </w:pPr>
            <w:r>
              <w:rPr>
                <w:sz w:val="21"/>
                <w:szCs w:val="21"/>
              </w:rPr>
              <w:t>- предоставление доступа к формированию расширенного пакета услуг по техническому обслуживанию и ремонту теплотехнического оборудования.</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3.3.</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Оперативное сопровождение и техническая поддержка специализированной программы программно-аппаратного комплекса по сбору, хранению и обработке данных с приборов учета энергоресурсов, техническая поддержка специализированного сайта и личного кабинета абонента (постоянно).</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3.4.</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Формирование детализированных отчетов в виде графиков для личного кабинета абонента (постоянно).</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3.5.</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Формирование детализированных отчетов о расходе тепловой энергии с просмотром полной базы данных УУТЭ, включая даты поверок и интервал, для личного кабинета абонента (постоянно).</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3.6.</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Получение запросов и подготовка технических консультаций по работе оборудования, режимам теплопотребления и энергетической эффективности (постоянно).</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b/>
                <w:b/>
                <w:bCs/>
                <w:sz w:val="21"/>
                <w:szCs w:val="21"/>
              </w:rPr>
            </w:pPr>
            <w:r>
              <w:rPr>
                <w:b/>
                <w:bCs/>
                <w:sz w:val="21"/>
                <w:szCs w:val="21"/>
              </w:rPr>
              <w:t>4.</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b/>
                <w:b/>
                <w:bCs/>
                <w:sz w:val="21"/>
                <w:szCs w:val="21"/>
              </w:rPr>
            </w:pPr>
            <w:r>
              <w:rPr>
                <w:b/>
                <w:bCs/>
                <w:sz w:val="21"/>
                <w:szCs w:val="21"/>
              </w:rPr>
              <w:t>Техническое обслуживание и ремонт УУТЭ</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4.1.</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Прием на обслуживание УУТЭ проведение обхода и осмотра, изучение проекта УУТЭ, состава и соответствия приборов учета проекту, проверка наличия пломб, уяснение сроков поверки приборов, особенностей их эксплуатации и работы (при приеме на обслуживание).</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4.2.</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Изучение и уяснение границ балансовой принадлежности и эксплуатационной ответственности УУТЭ (при приеме на обслуживание).</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4.3.</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Обход и осмотр помещения УУТЭ, путей эвакуации, контроль наличия, исправности и достаточности освещения, вентиляции, отсутствия постороннего напряжения на металлических элементах оборудования и трубопроводах, контроль санитарного содержания помещения, отсутствие затопления помещения (при приеме на обслуживание).</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4.4.</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Обход и осмотр УУТЭ с целью выявления неисправностей и нарушений в работе инженерно-технических систем и оборудования, арматуры, неисправностей в работе приборов учета тепловой энергии (не реже 1 раза в 2 недели).</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4.5.</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color w:val="000000"/>
                <w:sz w:val="21"/>
                <w:szCs w:val="21"/>
              </w:rPr>
              <w:t>Прибытие на объект для устранения нештатной ситуации или технического обслуживания при получении вызова от Заказчика (в течение 24 часов).</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4.6.</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Составление Акта осмотра УУТЭ с указанием состояния оборудования, а также какие работы были проведены на УУТЭ и какие необходимо выполнить, какое оборудование следует отремонтировать или заменить (при каждом посещении УУТЭ).</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4.7.</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Оперативное прибытие на УУТЭ при поступлении в специализированную программу программно-аппаратного комплекса по сбору, хранению и обработке данных с приборов учета энергоресурсов сведений о нештатных или нестандартных ситуациях в работе оборудования, при неисправности или некорректной работе УУТЭ и (или) оборудования передачи данных.</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4.8.</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Проверка работоспособности приборов учета, устранение неисправности, выполнение других действий по нештатной ситуации.</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4.9.</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При неисправности или отказе оборудования УУТЭ, принятие мер, необходимых для восстановления его работоспособности на месте с использованием всех необходимых запасных частей (по необходимости).</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4.10.</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После восстановления причин возникновения нештатной ситуации и восстановления работоспособности дополнительный контроль корректности работы УУТЭ посредством просмотра и анализа часовых данных в течение следующих 3 (трех) суток.</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4.11.</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Профилактические работы: согласование времени и ориентировочного периода выполнения работ по демонтажу и монтажу приборов учета с отключением теплоносителя, демонтаж оборудования, выполнение профилактических работ (чистка расходомеров, мелкий ремонт оборудования), монтаж оборудования (по мере необходимости).</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4.12.</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Проведение регламентных работ на УУТЭ: согласование времени и ориентировочного периода выполнения работ по демонтажу и монтажу приборов учета с отключением теплоносителя, демонтаж приборов учета, проведение регламентных работ в объемах и в сроки, предусмотренные инструкциями по эксплуатации фирм производителей оборудования УУТЭ, с использованием материалов Исполнителя, монтаж приборов учета (по необходимости).</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4.13.</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 xml:space="preserve">Ремонт приборов учета: согласование времени и ориентировочного периода выполнения работ по демонтажу и монтажу приборов учета с отключением теплоносителя, демонтаж приборов учета, монтаж имитаторов взамен приборов учета, направляемых в ремонт, ремонт на заводе-изготовителе или в организации, имеющей право и лицензию на проведение ремонта данного типа оборудования, в случае невозможности устранения неисправности на месте (производится по отдельному счету), поверка приборов учета в аккредитованной поверочной лаборатории (при необходимости), демонтаж имитаторов, монтаж приборов учета, настройка, наладка и ввод приборов учета в эксплуатацию (по необходимости). </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4.14.</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Проведение поверки приборов учета: согласование времени и ориентировочного периода выполнения работ по демонтажу и монтажу приборов учета с отключением теплоносителя, демонтаж приборов учета, монтаж имитаторов взамен приборов учета, направляемых в поверку, поверка приборов учета в аккредитованной поверочной лаборатории, демонтаж имитаторов, монтаж приборов учета после поверки, настройка, наладка и ввод приборов учета в эксплуатацию (по необходимости).</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4.15.</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Согласование замены неисправных приборов учета, производство которых прекращено, на подходящие по параметрам, либо подготовка предложений и техническая консультация по вариантам модернизации оборудования УУТЭ.</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4.16.</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Информирование о технических проблемах и консультации по возможным мерам своевременного и качественного реагирования по устранению технических проблем</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4.17.</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Съем и доставка промежуточных и отчетных данных по работе приборов учета при неисправности оборудования данных (1 раз в 10 дней).</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4.18.</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Резервирование приборов учета для оперативной замены в случае отказа и выхода из строя (по необходимости).</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4.19.</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Подготовка УУТЭ к ежегодной сдаче в эксплуатацию инспекторам теплоснабжающей организации (1 раз в год).</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4.20.</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Вызов инспектора теплоснабжающей организации для сдачи УУТЭ в эксплуатацию (1 раз в год).</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4.21.</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Предъявление инспекторам теплоснабжающей организации для сдачи УУТЭ в эксплуатацию (1 раз в год).</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4.22.</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Техническая и информационная поддержка при взаимодействии заказчика с теплоснабжающей организацией (постоянно).</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4.23.</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Произведение корректировок отчетных форм, базы данных УУТЭ и модернизацию алгоритмов вычислений в соответствии с новыми нормативными документами (по мере необходимости).</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4.24.</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Контроль сроков метрологической поверки оборудования УУТЭ (постоянно).</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4.25.</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Контроль наличия документации, проекта УУТЭ, паспортов приборов, свидетельства о поверке (1 раз в полгода).</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4.26.</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Выдача рекомендаций, направленных на улучшение работы системы теплоснабжения и снижения затрат на тепловую энергию (постоянно).</w:t>
            </w:r>
          </w:p>
        </w:tc>
      </w:tr>
      <w:tr>
        <w:trPr>
          <w:trHeight w:val="383" w:hRule="atLeast"/>
        </w:trPr>
        <w:tc>
          <w:tcPr>
            <w:tcW w:w="819"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jc w:val="center"/>
              <w:rPr>
                <w:sz w:val="21"/>
                <w:szCs w:val="21"/>
              </w:rPr>
            </w:pPr>
            <w:r>
              <w:rPr>
                <w:sz w:val="21"/>
                <w:szCs w:val="21"/>
              </w:rPr>
              <w:t>4.27.</w:t>
            </w:r>
          </w:p>
        </w:tc>
        <w:tc>
          <w:tcPr>
            <w:tcW w:w="9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uppressAutoHyphens w:val="true"/>
              <w:rPr>
                <w:sz w:val="21"/>
                <w:szCs w:val="21"/>
              </w:rPr>
            </w:pPr>
            <w:r>
              <w:rPr>
                <w:sz w:val="21"/>
                <w:szCs w:val="21"/>
              </w:rPr>
              <w:t>Другие дополнительные виды работ по ревизиям, замене оборудования, текущему и капитальному ремонтам, модернизации УУТЭ по заявке Заказчика, за его счет (по необходимости).</w:t>
            </w:r>
          </w:p>
        </w:tc>
      </w:tr>
    </w:tbl>
    <w:p>
      <w:pPr>
        <w:pStyle w:val="Normal"/>
        <w:tabs>
          <w:tab w:val="clear" w:pos="709"/>
          <w:tab w:val="left" w:pos="0" w:leader="none"/>
        </w:tabs>
        <w:ind w:left="-426" w:hanging="0"/>
        <w:rPr>
          <w:sz w:val="18"/>
          <w:szCs w:val="18"/>
        </w:rPr>
      </w:pPr>
      <w:r>
        <w:rPr>
          <w:sz w:val="18"/>
          <w:szCs w:val="18"/>
        </w:rPr>
      </w:r>
    </w:p>
    <w:p>
      <w:pPr>
        <w:pStyle w:val="Normal"/>
        <w:tabs>
          <w:tab w:val="clear" w:pos="709"/>
          <w:tab w:val="left" w:pos="0" w:leader="none"/>
        </w:tabs>
        <w:ind w:left="-426" w:hanging="0"/>
        <w:rPr>
          <w:sz w:val="18"/>
          <w:szCs w:val="18"/>
        </w:rPr>
      </w:pPr>
      <w:r>
        <w:rPr>
          <w:sz w:val="18"/>
          <w:szCs w:val="18"/>
        </w:rPr>
        <w:t>* Под программно-аппаратным комплексом по сбору, хранению и обработке данных с приборов учета энергоресурсов понимается комплект оборудования с программным обеспечением (модемы, сервер и т.п.), предназначенные для дистанционного опроса и передачи данных теплосчётчика с УУТЭ (в соответствии с п.п. 4.61. и 4.6.2.), которые должны содержать: часовые и суточные данные, поступающие с обслуживаемых узлов учёта, массу отпущенного и полученного источником теплоты теплоносителя, температуру теплоносителя в подающем, обратном трубопроводах и ГВС; давление; теплопотребление.</w:t>
      </w:r>
    </w:p>
    <w:p>
      <w:pPr>
        <w:pStyle w:val="ConsNormal"/>
        <w:widowControl/>
        <w:ind w:left="-426" w:right="-185" w:hanging="0"/>
        <w:rPr>
          <w:rFonts w:ascii="Times New Roman" w:hAnsi="Times New Roman" w:cs="Times New Roman"/>
          <w:b/>
          <w:b/>
          <w:bCs/>
          <w:sz w:val="22"/>
          <w:szCs w:val="22"/>
        </w:rPr>
      </w:pPr>
      <w:r>
        <w:rPr>
          <w:rFonts w:cs="Times New Roman" w:ascii="Times New Roman" w:hAnsi="Times New Roman"/>
          <w:sz w:val="18"/>
          <w:szCs w:val="18"/>
        </w:rPr>
        <w:t>** Обеспечение дистанционного доступа к специализированному сайту (личному кабинету абонента) – предоставление Исполнителем доступа Заказчику к информации, поступающей с УУТЭ и указанной в п.п. 4.6.3. и 4.6.5., которое может быть организовано и предоставлено Исполнителем путем организации доступа Заказчика к специализированному сайту, к личному кабинету абонента Заказчика или ежедневно направляться в адрес Заказчика по электронной почте или другим способом.</w:t>
      </w:r>
    </w:p>
    <w:p>
      <w:pPr>
        <w:pStyle w:val="FR1"/>
        <w:spacing w:lineRule="auto" w:line="204" w:before="0" w:after="0"/>
        <w:ind w:left="40" w:firstLine="180"/>
        <w:rPr>
          <w:rFonts w:ascii="Times New Roman" w:hAnsi="Times New Roman"/>
          <w:b/>
          <w:b/>
          <w:bCs/>
          <w:i/>
          <w:i/>
          <w:iCs/>
          <w:sz w:val="22"/>
          <w:szCs w:val="22"/>
        </w:rPr>
      </w:pPr>
      <w:r>
        <w:rPr>
          <w:rFonts w:ascii="Times New Roman" w:hAnsi="Times New Roman"/>
          <w:b/>
          <w:bCs/>
          <w:i/>
          <w:iCs/>
          <w:sz w:val="22"/>
          <w:szCs w:val="22"/>
        </w:rPr>
      </w:r>
    </w:p>
    <w:p>
      <w:pPr>
        <w:pStyle w:val="Normal"/>
        <w:jc w:val="center"/>
        <w:rPr>
          <w:sz w:val="22"/>
          <w:szCs w:val="22"/>
        </w:rPr>
      </w:pPr>
      <w:r>
        <w:rPr>
          <w:sz w:val="22"/>
          <w:szCs w:val="22"/>
        </w:rPr>
      </w:r>
    </w:p>
    <w:p>
      <w:pPr>
        <w:pStyle w:val="Normal"/>
        <w:jc w:val="center"/>
        <w:rPr>
          <w:sz w:val="22"/>
          <w:szCs w:val="22"/>
        </w:rPr>
      </w:pPr>
      <w:r>
        <w:rPr>
          <w:sz w:val="22"/>
          <w:szCs w:val="22"/>
        </w:rPr>
      </w:r>
    </w:p>
    <w:tbl>
      <w:tblPr>
        <w:tblW w:w="10080" w:type="dxa"/>
        <w:jc w:val="left"/>
        <w:tblInd w:w="2" w:type="dxa"/>
        <w:tblCellMar>
          <w:top w:w="0" w:type="dxa"/>
          <w:left w:w="70" w:type="dxa"/>
          <w:bottom w:w="0" w:type="dxa"/>
          <w:right w:w="70" w:type="dxa"/>
        </w:tblCellMar>
        <w:tblLook w:val="0000"/>
      </w:tblPr>
      <w:tblGrid>
        <w:gridCol w:w="5051"/>
        <w:gridCol w:w="5028"/>
      </w:tblGrid>
      <w:tr>
        <w:trPr>
          <w:trHeight w:val="1710" w:hRule="atLeast"/>
          <w:cantSplit w:val="true"/>
        </w:trPr>
        <w:tc>
          <w:tcPr>
            <w:tcW w:w="5051" w:type="dxa"/>
            <w:tcBorders/>
            <w:shd w:fill="auto" w:val="clear"/>
          </w:tcPr>
          <w:p>
            <w:pPr>
              <w:pStyle w:val="Style34"/>
              <w:ind w:left="0" w:hanging="0"/>
              <w:rPr>
                <w:b/>
                <w:b/>
                <w:bCs/>
                <w:sz w:val="22"/>
                <w:szCs w:val="22"/>
              </w:rPr>
            </w:pPr>
            <w:r>
              <w:rPr>
                <w:b/>
                <w:bCs/>
                <w:sz w:val="22"/>
                <w:szCs w:val="22"/>
              </w:rPr>
              <w:t xml:space="preserve">Заказчик: </w:t>
            </w:r>
          </w:p>
          <w:p>
            <w:pPr>
              <w:pStyle w:val="Style34"/>
              <w:ind w:left="0" w:hanging="0"/>
              <w:rPr>
                <w:b/>
                <w:b/>
                <w:bCs/>
                <w:sz w:val="22"/>
                <w:szCs w:val="22"/>
              </w:rPr>
            </w:pPr>
            <w:r>
              <w:rPr>
                <w:b/>
                <w:bCs/>
                <w:sz w:val="22"/>
                <w:szCs w:val="22"/>
              </w:rPr>
            </w:r>
          </w:p>
          <w:p>
            <w:pPr>
              <w:pStyle w:val="Style34"/>
              <w:ind w:left="0" w:hanging="0"/>
              <w:rPr>
                <w:b/>
                <w:b/>
                <w:bCs/>
                <w:sz w:val="22"/>
                <w:szCs w:val="22"/>
              </w:rPr>
            </w:pPr>
            <w:r>
              <w:rPr>
                <w:b/>
                <w:bCs/>
                <w:sz w:val="22"/>
                <w:szCs w:val="22"/>
              </w:rPr>
            </w:r>
          </w:p>
          <w:p>
            <w:pPr>
              <w:pStyle w:val="Style34"/>
              <w:ind w:left="0" w:hanging="0"/>
              <w:rPr>
                <w:b/>
                <w:b/>
                <w:sz w:val="22"/>
                <w:szCs w:val="22"/>
              </w:rPr>
            </w:pPr>
            <w:r>
              <w:rPr>
                <w:b/>
                <w:sz w:val="22"/>
                <w:szCs w:val="22"/>
              </w:rPr>
              <w:t>_________________/Сергеева Н.М./</w:t>
            </w:r>
          </w:p>
          <w:p>
            <w:pPr>
              <w:pStyle w:val="Style34"/>
              <w:ind w:left="0" w:hanging="0"/>
              <w:rPr>
                <w:b/>
                <w:b/>
                <w:sz w:val="22"/>
                <w:szCs w:val="22"/>
              </w:rPr>
            </w:pPr>
            <w:r>
              <w:rPr>
                <w:b/>
                <w:sz w:val="22"/>
                <w:szCs w:val="22"/>
              </w:rPr>
            </w:r>
          </w:p>
          <w:p>
            <w:pPr>
              <w:pStyle w:val="Style34"/>
              <w:ind w:left="0" w:hanging="0"/>
              <w:rPr>
                <w:b/>
                <w:b/>
                <w:sz w:val="22"/>
                <w:szCs w:val="22"/>
              </w:rPr>
            </w:pPr>
            <w:r>
              <w:rPr>
                <w:sz w:val="22"/>
                <w:szCs w:val="22"/>
              </w:rPr>
              <w:t>"____"_____________ 2020 г.</w:t>
            </w:r>
          </w:p>
          <w:p>
            <w:pPr>
              <w:pStyle w:val="Style34"/>
              <w:ind w:left="0" w:hanging="0"/>
              <w:rPr>
                <w:b/>
                <w:b/>
                <w:bCs/>
                <w:sz w:val="22"/>
                <w:szCs w:val="22"/>
              </w:rPr>
            </w:pPr>
            <w:r>
              <w:rPr>
                <w:b/>
                <w:bCs/>
                <w:sz w:val="22"/>
                <w:szCs w:val="22"/>
              </w:rPr>
            </w:r>
          </w:p>
        </w:tc>
        <w:tc>
          <w:tcPr>
            <w:tcW w:w="5028" w:type="dxa"/>
            <w:tcBorders/>
            <w:shd w:fill="auto" w:val="clear"/>
          </w:tcPr>
          <w:p>
            <w:pPr>
              <w:pStyle w:val="Normal"/>
              <w:rPr>
                <w:b/>
                <w:b/>
                <w:bCs/>
                <w:sz w:val="22"/>
                <w:szCs w:val="22"/>
              </w:rPr>
            </w:pPr>
            <w:r>
              <w:rPr>
                <w:b/>
                <w:bCs/>
                <w:sz w:val="22"/>
                <w:szCs w:val="22"/>
              </w:rPr>
              <w:t>Исполнитель:</w:t>
            </w:r>
          </w:p>
          <w:p>
            <w:pPr>
              <w:pStyle w:val="Normal"/>
              <w:rPr>
                <w:b/>
                <w:b/>
                <w:bCs/>
                <w:sz w:val="22"/>
                <w:szCs w:val="22"/>
              </w:rPr>
            </w:pPr>
            <w:r>
              <w:rPr>
                <w:b/>
                <w:bCs/>
                <w:sz w:val="22"/>
                <w:szCs w:val="22"/>
              </w:rPr>
            </w:r>
          </w:p>
          <w:p>
            <w:pPr>
              <w:pStyle w:val="Normal"/>
              <w:rPr>
                <w:b/>
                <w:b/>
                <w:bCs/>
                <w:sz w:val="22"/>
                <w:szCs w:val="22"/>
              </w:rPr>
            </w:pPr>
            <w:r>
              <w:rPr>
                <w:b/>
                <w:bCs/>
                <w:sz w:val="22"/>
                <w:szCs w:val="22"/>
              </w:rPr>
            </w:r>
          </w:p>
          <w:p>
            <w:pPr>
              <w:pStyle w:val="Style34"/>
              <w:ind w:left="0" w:hanging="0"/>
              <w:rPr/>
            </w:pPr>
            <w:r>
              <w:rPr>
                <w:b/>
                <w:sz w:val="22"/>
                <w:szCs w:val="22"/>
              </w:rPr>
              <w:t>_________________/_________./</w:t>
            </w:r>
          </w:p>
          <w:p>
            <w:pPr>
              <w:pStyle w:val="Style34"/>
              <w:ind w:left="0" w:hanging="0"/>
              <w:rPr>
                <w:b/>
                <w:b/>
                <w:sz w:val="22"/>
                <w:szCs w:val="22"/>
              </w:rPr>
            </w:pPr>
            <w:r>
              <w:rPr>
                <w:b/>
                <w:sz w:val="22"/>
                <w:szCs w:val="22"/>
              </w:rPr>
            </w:r>
          </w:p>
          <w:p>
            <w:pPr>
              <w:pStyle w:val="Style34"/>
              <w:ind w:left="0" w:hanging="0"/>
              <w:rPr>
                <w:b/>
                <w:b/>
                <w:sz w:val="22"/>
                <w:szCs w:val="22"/>
              </w:rPr>
            </w:pPr>
            <w:r>
              <w:rPr>
                <w:sz w:val="22"/>
                <w:szCs w:val="22"/>
              </w:rPr>
              <w:t>"____"_____________ 2020 г.</w:t>
            </w:r>
          </w:p>
          <w:p>
            <w:pPr>
              <w:pStyle w:val="Normal"/>
              <w:rPr>
                <w:b/>
                <w:b/>
                <w:bCs/>
                <w:sz w:val="22"/>
                <w:szCs w:val="22"/>
              </w:rPr>
            </w:pPr>
            <w:r>
              <w:rPr>
                <w:b/>
                <w:bCs/>
                <w:sz w:val="22"/>
                <w:szCs w:val="22"/>
              </w:rPr>
            </w:r>
          </w:p>
        </w:tc>
      </w:tr>
    </w:tbl>
    <w:p>
      <w:pPr>
        <w:pStyle w:val="Normal"/>
        <w:tabs>
          <w:tab w:val="clear" w:pos="709"/>
          <w:tab w:val="left" w:pos="0" w:leader="none"/>
        </w:tabs>
        <w:jc w:val="right"/>
        <w:rPr>
          <w:sz w:val="22"/>
          <w:szCs w:val="22"/>
        </w:rPr>
      </w:pPr>
      <w:r>
        <w:br w:type="page"/>
      </w:r>
      <w:r>
        <w:rPr>
          <w:sz w:val="22"/>
          <w:szCs w:val="22"/>
        </w:rPr>
        <w:t xml:space="preserve">                                                                                                          </w:t>
      </w:r>
      <w:r>
        <w:rPr>
          <w:sz w:val="22"/>
          <w:szCs w:val="22"/>
        </w:rPr>
        <w:t>Приложение  № 1.2</w:t>
      </w:r>
    </w:p>
    <w:p>
      <w:pPr>
        <w:pStyle w:val="ConsNormal"/>
        <w:widowControl/>
        <w:ind w:left="0" w:right="0" w:hanging="0"/>
        <w:jc w:val="right"/>
        <w:rPr>
          <w:rFonts w:ascii="Times New Roman" w:hAnsi="Times New Roman" w:cs="Times New Roman"/>
          <w:sz w:val="22"/>
          <w:szCs w:val="22"/>
        </w:rPr>
      </w:pPr>
      <w:r>
        <w:rPr>
          <w:rFonts w:cs="Times New Roman" w:ascii="Times New Roman" w:hAnsi="Times New Roman"/>
          <w:sz w:val="22"/>
          <w:szCs w:val="22"/>
        </w:rPr>
        <w:t>к Контракту № 1131/20</w:t>
      </w:r>
    </w:p>
    <w:p>
      <w:pPr>
        <w:pStyle w:val="ConsNormal"/>
        <w:widowControl/>
        <w:ind w:left="0" w:right="0" w:hanging="0"/>
        <w:jc w:val="right"/>
        <w:rPr>
          <w:rFonts w:ascii="Times New Roman" w:hAnsi="Times New Roman" w:cs="Times New Roman"/>
          <w:sz w:val="22"/>
          <w:szCs w:val="22"/>
        </w:rPr>
      </w:pPr>
      <w:r>
        <w:rPr>
          <w:rFonts w:cs="Times New Roman" w:ascii="Times New Roman" w:hAnsi="Times New Roman"/>
          <w:sz w:val="22"/>
          <w:szCs w:val="22"/>
        </w:rPr>
        <w:t>от «___» __________2020 г.</w:t>
      </w:r>
    </w:p>
    <w:p>
      <w:pPr>
        <w:pStyle w:val="Normal"/>
        <w:tabs>
          <w:tab w:val="clear" w:pos="709"/>
          <w:tab w:val="left" w:pos="0" w:leader="none"/>
        </w:tabs>
        <w:ind w:right="394" w:firstLine="567"/>
        <w:jc w:val="right"/>
        <w:rPr>
          <w:sz w:val="22"/>
          <w:szCs w:val="22"/>
        </w:rPr>
      </w:pPr>
      <w:r>
        <w:rPr>
          <w:sz w:val="22"/>
          <w:szCs w:val="22"/>
        </w:rPr>
      </w:r>
    </w:p>
    <w:p>
      <w:pPr>
        <w:pStyle w:val="Normal"/>
        <w:tabs>
          <w:tab w:val="clear" w:pos="709"/>
          <w:tab w:val="left" w:pos="0" w:leader="none"/>
        </w:tabs>
        <w:ind w:right="394" w:firstLine="567"/>
        <w:jc w:val="right"/>
        <w:rPr>
          <w:sz w:val="22"/>
          <w:szCs w:val="22"/>
        </w:rPr>
      </w:pPr>
      <w:r>
        <w:rPr>
          <w:sz w:val="22"/>
          <w:szCs w:val="22"/>
        </w:rPr>
      </w:r>
    </w:p>
    <w:p>
      <w:pPr>
        <w:pStyle w:val="Normal"/>
        <w:numPr>
          <w:ilvl w:val="0"/>
          <w:numId w:val="0"/>
        </w:numPr>
        <w:jc w:val="center"/>
        <w:outlineLvl w:val="0"/>
        <w:rPr>
          <w:b/>
          <w:b/>
          <w:sz w:val="22"/>
          <w:szCs w:val="22"/>
        </w:rPr>
      </w:pPr>
      <w:r>
        <w:rPr>
          <w:b/>
          <w:sz w:val="22"/>
          <w:szCs w:val="22"/>
        </w:rPr>
        <w:t>ПЕРЕЧЕНЬ УСЛУГ</w:t>
      </w:r>
    </w:p>
    <w:p>
      <w:pPr>
        <w:pStyle w:val="Normal"/>
        <w:numPr>
          <w:ilvl w:val="0"/>
          <w:numId w:val="0"/>
        </w:numPr>
        <w:jc w:val="center"/>
        <w:outlineLvl w:val="0"/>
        <w:rPr>
          <w:b/>
          <w:b/>
          <w:sz w:val="22"/>
          <w:szCs w:val="22"/>
        </w:rPr>
      </w:pPr>
      <w:r>
        <w:rPr>
          <w:b/>
          <w:sz w:val="22"/>
          <w:szCs w:val="22"/>
        </w:rPr>
        <w:t xml:space="preserve"> </w:t>
      </w:r>
      <w:r>
        <w:rPr>
          <w:b/>
          <w:sz w:val="22"/>
          <w:szCs w:val="22"/>
        </w:rPr>
        <w:t>по обслуживанию индивидуального теплового пункта</w:t>
      </w:r>
    </w:p>
    <w:p>
      <w:pPr>
        <w:pStyle w:val="Normal"/>
        <w:numPr>
          <w:ilvl w:val="0"/>
          <w:numId w:val="0"/>
        </w:numPr>
        <w:jc w:val="center"/>
        <w:outlineLvl w:val="0"/>
        <w:rPr>
          <w:b/>
          <w:b/>
          <w:sz w:val="22"/>
          <w:szCs w:val="22"/>
        </w:rPr>
      </w:pPr>
      <w:r>
        <w:rPr>
          <w:b/>
          <w:sz w:val="22"/>
          <w:szCs w:val="22"/>
        </w:rPr>
      </w:r>
    </w:p>
    <w:tbl>
      <w:tblPr>
        <w:tblpPr w:bottomFromText="0" w:horzAnchor="margin" w:leftFromText="180" w:rightFromText="180" w:tblpX="0" w:tblpXSpec="center" w:tblpY="105" w:topFromText="0" w:vertAnchor="text"/>
        <w:tblW w:w="10426" w:type="dxa"/>
        <w:jc w:val="center"/>
        <w:tblInd w:w="0" w:type="dxa"/>
        <w:tblCellMar>
          <w:top w:w="0" w:type="dxa"/>
          <w:left w:w="108" w:type="dxa"/>
          <w:bottom w:w="0" w:type="dxa"/>
          <w:right w:w="108" w:type="dxa"/>
        </w:tblCellMar>
        <w:tblLook w:val="00a0"/>
      </w:tblPr>
      <w:tblGrid>
        <w:gridCol w:w="764"/>
        <w:gridCol w:w="9661"/>
      </w:tblGrid>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sz w:val="21"/>
                <w:szCs w:val="21"/>
              </w:rPr>
              <w:t>Прием на обслуживание ИТП, проведение обхода и осмотра, изучение проекта ИТП, состава и соответствия оборудования проекту, уяснение сроков поверки контрольно-измерительных приборов, особенностей их эксплуатации и работы (при приеме на обслуживание).</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2.</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sz w:val="21"/>
                <w:szCs w:val="21"/>
              </w:rPr>
              <w:t>Изучение и уяснение границ балансовой принадлежности и эксплуатационной ответственности ИТП (при приеме на обслуживание).</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3.</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sz w:val="21"/>
                <w:szCs w:val="21"/>
              </w:rPr>
              <w:t>Обход и осмотр помещения ИТП, путей эвакуации, контроль наличия, исправности и достаточности освещения, вентиляции, отсутствия постороннего напряжения на металлических элементах оборудования и трубопроводах, контроль санитарного содержания помещения, отсутствие затопления помещения ИТП, технического подполья и подвальных помещений (при приеме на обслуживание).</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4.</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bCs/>
                <w:color w:val="000000"/>
                <w:sz w:val="21"/>
                <w:szCs w:val="21"/>
              </w:rPr>
              <w:t>Планирование посещения</w:t>
            </w:r>
            <w:r>
              <w:rPr>
                <w:color w:val="000000"/>
                <w:sz w:val="21"/>
                <w:szCs w:val="21"/>
              </w:rPr>
              <w:t xml:space="preserve"> ИТП для осмотра, технического обслуживания и ремонта теплотехнического оборудования в соответствии со сроками, с установленными договорными обязательствами и/или требованиями нормативно-технической документации </w:t>
            </w:r>
            <w:r>
              <w:rPr>
                <w:sz w:val="21"/>
                <w:szCs w:val="21"/>
              </w:rPr>
              <w:t>(при приеме на обслуживание). Составление Графика технического обслуживания и ремонта оборудования ИТП.</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5.</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bCs/>
                <w:color w:val="000000"/>
                <w:sz w:val="21"/>
                <w:szCs w:val="21"/>
              </w:rPr>
              <w:t>Подготовка и переключение теплотехнического оборудования ИТП на зимний (летний) режим работы (при получении официальных распоряжений Администрации Санкт-Петербурга о начале (окончании) отопительного сезона в двухдневный срок).</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6.</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bCs/>
                <w:color w:val="000000"/>
                <w:sz w:val="21"/>
                <w:szCs w:val="21"/>
              </w:rPr>
              <w:t>Выполнение всех требований по переводу теплотехнического оборудования объектов в соответствующий режим работы с оформлением соответствующего Акта (при начале отопительного сезона – не позднее 31 декабря, после окончания отопительного сезона – не позднее 01 июля).</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7.</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sz w:val="21"/>
                <w:szCs w:val="21"/>
              </w:rPr>
              <w:t>Контроль работы теплотехнического оборудования, анализ данных теплопотребления по отоплению с помощью специализированной программы программно-аппаратного комплекса по сбору, хранению и обработке данных с приборов учета энергоресурсов, планирование коррекции режимов работы теплотехнического оборудования в соответствии с замечаниями по теплопотреблению и работе оборудования, выявленными при контроле и анализе данных (ежедневно).</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8.</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sz w:val="21"/>
                <w:szCs w:val="21"/>
              </w:rPr>
              <w:t>Посещение объектов и коррекция режимов работы теплотехнического оборудования в соответствии с замечаниями по теплопотреблению и работе оборудования, выявленными при контроле и анализе данных (1 раз в неделю).</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9.</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color w:val="000000"/>
                <w:sz w:val="21"/>
                <w:szCs w:val="21"/>
              </w:rPr>
              <w:t xml:space="preserve">Осмотр помещения теплового пункта, проверка состояния дверей и дверных запоров ИТП, основных и запасных путей эвакуации, оборудования ИТП с целью выявления неисправностей и нарушений в работе </w:t>
            </w:r>
            <w:r>
              <w:rPr>
                <w:sz w:val="21"/>
                <w:szCs w:val="21"/>
              </w:rPr>
              <w:t>(1 раз в неделю):</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10.</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bCs/>
                <w:color w:val="000000"/>
                <w:sz w:val="21"/>
                <w:szCs w:val="21"/>
              </w:rPr>
            </w:pPr>
            <w:r>
              <w:rPr>
                <w:color w:val="000000"/>
                <w:sz w:val="21"/>
                <w:szCs w:val="21"/>
              </w:rPr>
              <w:t>Осмотр оборудования ИТП (при каждом посещении ИТП):</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10.1.</w:t>
            </w:r>
          </w:p>
        </w:tc>
        <w:tc>
          <w:tcPr>
            <w:tcW w:w="966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color w:val="000000"/>
                <w:sz w:val="21"/>
                <w:szCs w:val="21"/>
              </w:rPr>
            </w:pPr>
            <w:r>
              <w:rPr>
                <w:sz w:val="21"/>
                <w:szCs w:val="21"/>
              </w:rPr>
              <w:t xml:space="preserve">Обход и осмотр ИТП с целью выявления неисправностей и нарушений в работе инженерно-технических систем и оборудования, арматуры, неисправностей в работе КИПиА. </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10.2.</w:t>
            </w:r>
          </w:p>
        </w:tc>
        <w:tc>
          <w:tcPr>
            <w:tcW w:w="966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sz w:val="21"/>
                <w:szCs w:val="21"/>
              </w:rPr>
            </w:pPr>
            <w:r>
              <w:rPr>
                <w:color w:val="000000"/>
                <w:sz w:val="21"/>
                <w:szCs w:val="21"/>
              </w:rPr>
              <w:t>Проверка целостности трубопроводов, изоляции;</w:t>
            </w:r>
            <w:r>
              <w:rPr>
                <w:sz w:val="21"/>
                <w:szCs w:val="21"/>
              </w:rPr>
              <w:t xml:space="preserve"> проверка на отсутствие течи через фланцевые соединения и сварочные швы, через сальниковые уплотнения запорно-регулирующей арматуры</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10.3.</w:t>
            </w:r>
          </w:p>
        </w:tc>
        <w:tc>
          <w:tcPr>
            <w:tcW w:w="966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sz w:val="21"/>
                <w:szCs w:val="21"/>
              </w:rPr>
            </w:pPr>
            <w:r>
              <w:rPr>
                <w:color w:val="000000"/>
                <w:sz w:val="21"/>
                <w:szCs w:val="21"/>
              </w:rPr>
              <w:t>Контроль отсутствия течей, подтеков, мокрых пятен на наружной поверхности тепловой изоляции</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10.4.</w:t>
            </w:r>
          </w:p>
        </w:tc>
        <w:tc>
          <w:tcPr>
            <w:tcW w:w="966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sz w:val="21"/>
                <w:szCs w:val="21"/>
              </w:rPr>
            </w:pPr>
            <w:r>
              <w:rPr>
                <w:color w:val="000000"/>
                <w:sz w:val="21"/>
                <w:szCs w:val="21"/>
              </w:rPr>
              <w:t>Осмотр входных задвижек, входных и выходных коллекторов;</w:t>
            </w:r>
            <w:r>
              <w:rPr>
                <w:sz w:val="21"/>
                <w:szCs w:val="21"/>
              </w:rPr>
              <w:t xml:space="preserve"> проверка исходного положения запорной арматуры;</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10.5.</w:t>
            </w:r>
          </w:p>
        </w:tc>
        <w:tc>
          <w:tcPr>
            <w:tcW w:w="966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sz w:val="21"/>
                <w:szCs w:val="21"/>
              </w:rPr>
            </w:pPr>
            <w:r>
              <w:rPr>
                <w:color w:val="000000"/>
                <w:sz w:val="21"/>
                <w:szCs w:val="21"/>
              </w:rPr>
              <w:t>Осмотр дренажных приямков и дренажных устройств</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10.6.</w:t>
            </w:r>
          </w:p>
        </w:tc>
        <w:tc>
          <w:tcPr>
            <w:tcW w:w="966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color w:val="000000"/>
                <w:sz w:val="21"/>
                <w:szCs w:val="21"/>
              </w:rPr>
            </w:pPr>
            <w:r>
              <w:rPr>
                <w:color w:val="000000"/>
                <w:sz w:val="21"/>
                <w:szCs w:val="21"/>
              </w:rPr>
              <w:t>Осмотр наиболее ответственных элементов системы отопления:</w:t>
            </w:r>
          </w:p>
          <w:p>
            <w:pPr>
              <w:pStyle w:val="Normal"/>
              <w:rPr>
                <w:color w:val="000000"/>
                <w:sz w:val="21"/>
                <w:szCs w:val="21"/>
              </w:rPr>
            </w:pPr>
            <w:r>
              <w:rPr>
                <w:color w:val="000000"/>
                <w:sz w:val="21"/>
                <w:szCs w:val="21"/>
              </w:rPr>
              <w:t>- теплообменных аппаратов;</w:t>
            </w:r>
          </w:p>
          <w:p>
            <w:pPr>
              <w:pStyle w:val="Normal"/>
              <w:rPr>
                <w:color w:val="000000"/>
                <w:sz w:val="21"/>
                <w:szCs w:val="21"/>
              </w:rPr>
            </w:pPr>
            <w:r>
              <w:rPr>
                <w:color w:val="000000"/>
                <w:sz w:val="21"/>
                <w:szCs w:val="21"/>
              </w:rPr>
              <w:t>- расширительных баков и предохранительных клапанов;</w:t>
            </w:r>
          </w:p>
          <w:p>
            <w:pPr>
              <w:pStyle w:val="Normal"/>
              <w:rPr>
                <w:color w:val="000000"/>
                <w:sz w:val="21"/>
                <w:szCs w:val="21"/>
              </w:rPr>
            </w:pPr>
            <w:r>
              <w:rPr>
                <w:color w:val="000000"/>
                <w:sz w:val="21"/>
                <w:szCs w:val="21"/>
              </w:rPr>
              <w:t>- насосов и связанного с ними оборудования;</w:t>
            </w:r>
          </w:p>
          <w:p>
            <w:pPr>
              <w:pStyle w:val="Normal"/>
              <w:rPr>
                <w:color w:val="000000"/>
                <w:sz w:val="21"/>
                <w:szCs w:val="21"/>
              </w:rPr>
            </w:pPr>
            <w:r>
              <w:rPr>
                <w:color w:val="000000"/>
                <w:sz w:val="21"/>
                <w:szCs w:val="21"/>
              </w:rPr>
              <w:t>- запорной арматуры;</w:t>
            </w:r>
          </w:p>
          <w:p>
            <w:pPr>
              <w:pStyle w:val="Normal"/>
              <w:rPr>
                <w:color w:val="000000"/>
                <w:sz w:val="21"/>
                <w:szCs w:val="21"/>
              </w:rPr>
            </w:pPr>
            <w:r>
              <w:rPr>
                <w:color w:val="000000"/>
                <w:sz w:val="21"/>
                <w:szCs w:val="21"/>
              </w:rPr>
              <w:t>- контрольно-измерительных приборов;</w:t>
            </w:r>
          </w:p>
          <w:p>
            <w:pPr>
              <w:pStyle w:val="Normal"/>
              <w:rPr>
                <w:sz w:val="21"/>
                <w:szCs w:val="21"/>
              </w:rPr>
            </w:pPr>
            <w:r>
              <w:rPr>
                <w:color w:val="000000"/>
                <w:sz w:val="21"/>
                <w:szCs w:val="21"/>
              </w:rPr>
              <w:t>- автоматических устройств.</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10.7.</w:t>
            </w:r>
          </w:p>
        </w:tc>
        <w:tc>
          <w:tcPr>
            <w:tcW w:w="9661"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color w:val="000000"/>
                <w:sz w:val="21"/>
                <w:szCs w:val="21"/>
              </w:rPr>
            </w:pPr>
            <w:r>
              <w:rPr>
                <w:color w:val="000000"/>
                <w:sz w:val="21"/>
                <w:szCs w:val="21"/>
              </w:rPr>
              <w:t>Осмотр трубопроводов ГВС:</w:t>
            </w:r>
          </w:p>
          <w:p>
            <w:pPr>
              <w:pStyle w:val="Normal"/>
              <w:rPr>
                <w:color w:val="000000"/>
                <w:sz w:val="21"/>
                <w:szCs w:val="21"/>
              </w:rPr>
            </w:pPr>
            <w:r>
              <w:rPr>
                <w:color w:val="000000"/>
                <w:sz w:val="21"/>
                <w:szCs w:val="21"/>
              </w:rPr>
              <w:t>- контрольно-измерительных приборов;</w:t>
            </w:r>
          </w:p>
          <w:p>
            <w:pPr>
              <w:pStyle w:val="Normal"/>
              <w:rPr>
                <w:color w:val="000000"/>
                <w:sz w:val="21"/>
                <w:szCs w:val="21"/>
              </w:rPr>
            </w:pPr>
            <w:r>
              <w:rPr>
                <w:color w:val="000000"/>
                <w:sz w:val="21"/>
                <w:szCs w:val="21"/>
              </w:rPr>
              <w:t>- приборов автоматического регулирования;</w:t>
            </w:r>
          </w:p>
          <w:p>
            <w:pPr>
              <w:pStyle w:val="Normal"/>
              <w:rPr>
                <w:sz w:val="21"/>
                <w:szCs w:val="21"/>
              </w:rPr>
            </w:pPr>
            <w:r>
              <w:rPr>
                <w:color w:val="000000"/>
                <w:sz w:val="21"/>
                <w:szCs w:val="21"/>
              </w:rPr>
              <w:t>- запорной арматуры.</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10.8.</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color w:val="000000"/>
                <w:sz w:val="21"/>
                <w:szCs w:val="21"/>
              </w:rPr>
            </w:pPr>
            <w:r>
              <w:rPr>
                <w:color w:val="000000"/>
                <w:sz w:val="21"/>
                <w:szCs w:val="21"/>
              </w:rPr>
              <w:t>Контроль и анализ параметров (давление, температура, расход) теплоносителя, поступающего из теплосети и возвращаемого в теплосеть, также параметров теплоносителя, поступающего и возвращаемого из каждой из систем теплопотребления с записью параметров теплоносителя в Журнал регистрации параметров теплоносителя на тепловом пункте.</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10.9.</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color w:val="000000"/>
                <w:sz w:val="21"/>
                <w:szCs w:val="21"/>
              </w:rPr>
            </w:pPr>
            <w:r>
              <w:rPr>
                <w:color w:val="000000"/>
                <w:sz w:val="21"/>
                <w:szCs w:val="21"/>
              </w:rPr>
              <w:t>Проверка узла подпитки на наличие нормативной утечки; при обнаружении утечки теплоносителя, превышающей установленные нормы, принятие мер к отысканию места утечки и её устранению.</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10.10.</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color w:val="000000"/>
                <w:sz w:val="21"/>
                <w:szCs w:val="21"/>
              </w:rPr>
            </w:pPr>
            <w:r>
              <w:rPr>
                <w:color w:val="000000"/>
                <w:sz w:val="21"/>
                <w:szCs w:val="21"/>
              </w:rPr>
              <w:t>Корректировка режима регулятора в соответствии с параметрами теплоносителя и температурой наружного воздуха.</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11.</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sz w:val="21"/>
                <w:szCs w:val="21"/>
              </w:rPr>
              <w:t>Работы по техническому контролю (1 раз в месяц):</w:t>
            </w:r>
            <w:r>
              <w:rPr>
                <w:color w:val="000000"/>
                <w:sz w:val="21"/>
                <w:szCs w:val="21"/>
              </w:rPr>
              <w:t xml:space="preserve"> проверка работы автоматических регуляторов прямого действия, корректировка их настройки; проверка действия обратных клапанов; проверка автоматического включения дренажных насосов под воздействием регулятора уровня; проверка режимов работы насосов систем отопления, вентиляции, ГВС; проверка срабатывания автоматики переключения насосов с основного на резервный, включения резервных насосов по сигналам датчиков давления, отключения насосов по сигналам датчиков "сухого хода"; проверка исправности сигнализации схем автоматики переключения насосов; проверка величины давления теплоносителя в расширительных баках и в накопительных баках ГВС; очистка от пыли и грязи наружных поверхностей щитов управления, электрических шкафов, электрических частей оборудования.</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12.</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color w:val="000000"/>
                <w:sz w:val="21"/>
                <w:szCs w:val="21"/>
              </w:rPr>
              <w:t>По результатам осмотра: проведение оценки технического состояния и некоторых технологических операций восстановительного характера: регулирование и наладка, очистка, смазка, замена вышедших из строя деталей без значительной разборки, устранение мелких дефектов; очистка гильз термометров от грязи, заполнение их свежим трансформаторным маслом; по разности показаний манометров до и после фильтра (грязевика) устанавливается необходимость промывки фильтров (грязевиков); настройка регуляторов подпора, давления, перепада давления в период протапливания;</w:t>
            </w:r>
            <w:r>
              <w:rPr>
                <w:sz w:val="21"/>
                <w:szCs w:val="21"/>
              </w:rPr>
              <w:t xml:space="preserve"> удаление воздуха из системы отопления согласно инструкции по эксплуатации</w:t>
            </w:r>
            <w:r>
              <w:rPr>
                <w:color w:val="000000"/>
                <w:sz w:val="21"/>
                <w:szCs w:val="21"/>
              </w:rPr>
              <w:t xml:space="preserve"> (по мере необходимости).</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13.</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sz w:val="21"/>
                <w:szCs w:val="21"/>
              </w:rPr>
              <w:t>Ведение Журнала производства работ по техническому обслуживанию теплового пункта (при каждом посещении ИТП).</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14.</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color w:val="000000"/>
                <w:sz w:val="21"/>
                <w:szCs w:val="21"/>
              </w:rPr>
              <w:t>При превышении расхода теплоносителя на ИТП: получение информации о превышении расхода теплоносителя, прибытие на ИТП, регулировка расхода в соответствии с температурным графиком, либо, при невозможности регулирования теплоносителя на нужды систем теплопотребления, подключенных на прямых параметрах, доведение информации Заказчику и принятие всех возможных мер к устранению несоответствия в работе теплотехнического оборудования.</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15.</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color w:val="000000"/>
                <w:sz w:val="21"/>
                <w:szCs w:val="21"/>
              </w:rPr>
              <w:t>Изменение параметров теплоносителя по сравнению с проектными параметрами по требованию Заказчика: составление Акта об изменении параметров теплоносителя с обязательной подписью технического представителя Заказчика; выполнение работы по изменению параметров теплоносителя в соответствии с Актом об изменении параметров теплоносителя с отметкой в Журнале регистрации работ и параметров теплоносителя на тепловом пункте или Оперативном журнале.</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16.</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color w:val="000000"/>
                <w:sz w:val="21"/>
                <w:szCs w:val="21"/>
              </w:rPr>
              <w:t>К окончанию отопительного сезона</w:t>
            </w:r>
            <w:r>
              <w:rPr>
                <w:bCs/>
                <w:color w:val="000000"/>
                <w:sz w:val="21"/>
                <w:szCs w:val="21"/>
              </w:rPr>
              <w:t xml:space="preserve"> (до начала межотопительного периода)</w:t>
            </w:r>
            <w:r>
              <w:rPr>
                <w:color w:val="000000"/>
                <w:sz w:val="21"/>
                <w:szCs w:val="21"/>
              </w:rPr>
              <w:t>: осмотр ИТП с целью выявления неисправностей и нарушений в работе теплотехнического оборудования, проверка целостности трубопроводов, изоляции; составление Акта осмотра ИТП и дефектовочной ведомости на планирование дополнительных работ для выполнения в ходе подготовки теплового пункта к эксплуатации в отопительный сезон, с указанием состояния оборудования, какие работы должны быть проведены на ИТП, какое оборудование следует заменить, поверить, отремонтировать; доведение содержания Акта осмотра ИТП и дефектовочной ведомости представителю Заказчика</w:t>
            </w:r>
            <w:r>
              <w:rPr>
                <w:sz w:val="21"/>
                <w:szCs w:val="21"/>
              </w:rPr>
              <w:t xml:space="preserve"> под </w:t>
            </w:r>
            <w:r>
              <w:rPr>
                <w:color w:val="000000"/>
                <w:sz w:val="21"/>
                <w:szCs w:val="21"/>
              </w:rPr>
              <w:t>подпись; оповещение представителя Заказчика о проведении работ, связанных с отключениями систем теплопотребления (ГВС, систем отопления, систем вентиляции); контроль выполнения работ на ИТП, проверка полноты и качества выполнения работ; контроль устранения недостатков и повторная проверка (приёмка) с оформлением выполненных работ Актом осмотра ИТП</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17.</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bCs/>
                <w:color w:val="000000"/>
                <w:sz w:val="21"/>
                <w:szCs w:val="21"/>
              </w:rPr>
              <w:t>В ходе подготовки объектов к эксплуатации в осенне-зимний отопительный период</w:t>
            </w:r>
            <w:r>
              <w:rPr>
                <w:color w:val="000000"/>
                <w:sz w:val="21"/>
                <w:szCs w:val="21"/>
              </w:rPr>
              <w:t>:</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17.1.</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color w:val="000000"/>
                <w:sz w:val="21"/>
                <w:szCs w:val="21"/>
              </w:rPr>
              <w:t>Получение информации о поступлении необходимого оборудования, материалов, инструмента и приспособлений для выполнения работ по дефектовочным ведомостям, доставка на ИТП.</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17.2.</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color w:val="000000"/>
                <w:sz w:val="21"/>
                <w:szCs w:val="21"/>
              </w:rPr>
              <w:t>Организация выполнения дополнительных работ на ИТП</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17.3.</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color w:val="000000"/>
                <w:sz w:val="21"/>
                <w:szCs w:val="21"/>
              </w:rPr>
              <w:t>Согласование и оповещение (по факсу, телефонограммой) представителя Заказчика о проведении работ по промывке и гидравлическим испытаниям систем теплопотребления, о проведении работ, связанных с отключениями ГВС.</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17.4.</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color w:val="000000"/>
                <w:sz w:val="21"/>
                <w:szCs w:val="21"/>
              </w:rPr>
              <w:t>Профилактический ремонт и настройка регуляторов температуры горячего водоснабжения в узле смешения и на циркуляционном трубопроводе системы ГВС.</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17.5.</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color w:val="000000"/>
                <w:sz w:val="21"/>
                <w:szCs w:val="21"/>
              </w:rPr>
              <w:t>Настройка системы ГВС для летнего режима по часовому расходу теплоносителя</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17.6.</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9"/>
                <w:tab w:val="left" w:pos="1440" w:leader="none"/>
              </w:tabs>
              <w:rPr>
                <w:sz w:val="21"/>
                <w:szCs w:val="21"/>
              </w:rPr>
            </w:pPr>
            <w:r>
              <w:rPr>
                <w:sz w:val="21"/>
                <w:szCs w:val="21"/>
              </w:rPr>
              <w:t>Другие дополнительные виды работ по ревизиям, текущему и капитальным ремонтам, испытаниям, поверке и замене оборудования, модернизации ИТП по заявке и за счет Заказчика, на основании дополнительного соглашения (по необходимости).</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17.7.</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9"/>
                <w:tab w:val="left" w:pos="1440" w:leader="none"/>
              </w:tabs>
              <w:rPr>
                <w:sz w:val="21"/>
                <w:szCs w:val="21"/>
              </w:rPr>
            </w:pPr>
            <w:r>
              <w:rPr>
                <w:sz w:val="21"/>
                <w:szCs w:val="21"/>
              </w:rPr>
              <w:t>Проведение промывки неразборных теплообменников (или разборных ТО без разборки) гидравлическим, химическим или гидропневматическим способом.</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17.8.</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9"/>
                <w:tab w:val="left" w:pos="1440" w:leader="none"/>
              </w:tabs>
              <w:rPr>
                <w:sz w:val="21"/>
                <w:szCs w:val="21"/>
              </w:rPr>
            </w:pPr>
            <w:r>
              <w:rPr>
                <w:sz w:val="21"/>
                <w:szCs w:val="21"/>
              </w:rPr>
              <w:t xml:space="preserve">Проведение промывки разборных теплообменников: контроль параметров теплообменника с записью в Акте осмотра теплообменника и Оперативном журнале, выведение теплообменника из работы, разборка теплообменника, промывка ручным, химическим, гидравлическим способом, замена прокладок, сборка теплообменника, проведение испытаний теплообменника на прочность и плотность, введение теплообменника в работу, контроль параметров теплообменника  с записью в Акте осмотра теплообменника и Оперативном журнале, оформление необходимых документов по выполненным работам. </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17.9.</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9"/>
                <w:tab w:val="left" w:pos="1440" w:leader="none"/>
              </w:tabs>
              <w:rPr>
                <w:sz w:val="21"/>
                <w:szCs w:val="21"/>
              </w:rPr>
            </w:pPr>
            <w:r>
              <w:rPr>
                <w:sz w:val="21"/>
                <w:szCs w:val="21"/>
              </w:rPr>
              <w:t xml:space="preserve">Проведение промывки тепловых сетей и систем теплопотребления гидравлическим, химическим или гидропневматическим способом </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17.10.</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9"/>
                <w:tab w:val="left" w:pos="1440" w:leader="none"/>
              </w:tabs>
              <w:rPr>
                <w:sz w:val="21"/>
                <w:szCs w:val="21"/>
              </w:rPr>
            </w:pPr>
            <w:r>
              <w:rPr>
                <w:sz w:val="21"/>
                <w:szCs w:val="21"/>
              </w:rPr>
              <w:t>Проведение промывки гидравлическим, химическим или гидропневматическим способом.</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17.11.</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9"/>
                <w:tab w:val="left" w:pos="1440" w:leader="none"/>
              </w:tabs>
              <w:rPr>
                <w:sz w:val="21"/>
                <w:szCs w:val="21"/>
              </w:rPr>
            </w:pPr>
            <w:r>
              <w:rPr>
                <w:sz w:val="21"/>
                <w:szCs w:val="21"/>
              </w:rPr>
              <w:t>Проведение испытаний на прочность и плотность гидростатическим способом, оформление необходимых документов по выполненным работам.</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17.12.</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9"/>
                <w:tab w:val="left" w:pos="1440" w:leader="none"/>
              </w:tabs>
              <w:rPr>
                <w:color w:val="000000"/>
                <w:sz w:val="21"/>
                <w:szCs w:val="21"/>
              </w:rPr>
            </w:pPr>
            <w:r>
              <w:rPr>
                <w:color w:val="000000"/>
                <w:sz w:val="21"/>
                <w:szCs w:val="21"/>
              </w:rPr>
              <w:t>Выполнение ремонтных и монтажных работ с электрической и газовой сваркой.</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17.13.</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sz w:val="21"/>
                <w:szCs w:val="21"/>
              </w:rPr>
              <w:t>Восстановление поврежденных лакокрасочных покрытий трубопроводов ИТП (при необходимости).</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17.14.</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sz w:val="21"/>
                <w:szCs w:val="21"/>
              </w:rPr>
              <w:t>Проверка и восстановление тепловой изоляции трубопроводов ИТП (при необходимости).</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17.15.</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color w:val="000000"/>
                <w:sz w:val="21"/>
                <w:szCs w:val="21"/>
              </w:rPr>
              <w:t>Нумерация арматуры в соответствии с оперативной схемой</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17.16.</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color w:val="000000"/>
                <w:sz w:val="21"/>
                <w:szCs w:val="21"/>
              </w:rPr>
              <w:t>Проверка устранения со стороны Заказчика недостатков, выявленных при осмотре тепловых пунктов на предмет содержания помещения.</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17.17.</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sz w:val="21"/>
                <w:szCs w:val="21"/>
              </w:rPr>
              <w:t>Подготовка и предъявление теплового пункта инспектору теплоснабжающей организации для допуска ИТП к отопительному сезону (1 раз в год, в межотопительный период).</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18.</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color w:val="000000"/>
                <w:sz w:val="21"/>
                <w:szCs w:val="21"/>
              </w:rPr>
            </w:pPr>
            <w:r>
              <w:rPr>
                <w:sz w:val="21"/>
                <w:szCs w:val="21"/>
              </w:rPr>
              <w:t>Извещение персонала заказчика, о некорректной работе теплового пункта и методах их устранения (по необходимости).</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19.</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color w:val="000000"/>
                <w:sz w:val="21"/>
                <w:szCs w:val="21"/>
              </w:rPr>
            </w:pPr>
            <w:r>
              <w:rPr>
                <w:sz w:val="21"/>
                <w:szCs w:val="21"/>
              </w:rPr>
              <w:t>Проведение анализа работоспособности оборудования, входящего в состав теплового пункта, и при необходимости выдача рекомендаций и технических консультаций Заказчику по оптимизации режимов работы (постоянно).</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20.</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color w:val="000000"/>
                <w:sz w:val="21"/>
                <w:szCs w:val="21"/>
              </w:rPr>
            </w:pPr>
            <w:r>
              <w:rPr>
                <w:sz w:val="21"/>
                <w:szCs w:val="21"/>
              </w:rPr>
              <w:t>Проведение технических консультаций Заказчика</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21.</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color w:val="000000"/>
                <w:sz w:val="21"/>
                <w:szCs w:val="21"/>
              </w:rPr>
            </w:pPr>
            <w:r>
              <w:rPr>
                <w:sz w:val="21"/>
                <w:szCs w:val="21"/>
              </w:rPr>
              <w:t>Периодическая поверка контрольно-измерительных приборов и автоматики.</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22.</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sz w:val="21"/>
                <w:szCs w:val="21"/>
              </w:rPr>
              <w:t>Резервирование арматуры и теплотехнического оборудования для оперативной замены в случае отказа и выхода из строя (по необходимости).</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23.</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sz w:val="21"/>
                <w:szCs w:val="21"/>
              </w:rPr>
              <w:t>Проверка готовности теплового пункта к гидравлическим и температурным испытаниям (по необходимости).</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24.</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sz w:val="21"/>
                <w:szCs w:val="21"/>
              </w:rPr>
              <w:t>Проверка и ревизия ферромагнитных фильтров (по необходимости).</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25.</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sz w:val="21"/>
                <w:szCs w:val="21"/>
              </w:rPr>
              <w:t>Остановка и переключение в режим ожидания системы отопления (по необходимости).</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26.</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sz w:val="21"/>
                <w:szCs w:val="21"/>
              </w:rPr>
              <w:t>Проведение регламентных работ в объемах и в сроки, предусмотренные инструкциями по эксплуатации оборудования (ежемесячно).</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27.</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sz w:val="21"/>
                <w:szCs w:val="21"/>
              </w:rPr>
              <w:t>Другие дополнительные виды работ по ревизиям, текущему и капитальным ремонтам, поверке и замене оборудования, модернизации ИТП по заявке и за счет Заказчика, на основании дополнительного соглашения (по необходимости).</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28.</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lang w:val="en-US"/>
              </w:rPr>
            </w:pPr>
            <w:r>
              <w:rPr>
                <w:sz w:val="21"/>
                <w:szCs w:val="21"/>
              </w:rPr>
              <w:t>Испытание предохранительных клапанов.</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29.</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sz w:val="21"/>
                <w:szCs w:val="21"/>
              </w:rPr>
              <w:t>Проверка обратных клапанов.</w:t>
            </w:r>
          </w:p>
        </w:tc>
      </w:tr>
      <w:tr>
        <w:trPr/>
        <w:tc>
          <w:tcPr>
            <w:tcW w:w="764"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sz w:val="21"/>
                <w:szCs w:val="21"/>
              </w:rPr>
            </w:pPr>
            <w:r>
              <w:rPr>
                <w:sz w:val="21"/>
                <w:szCs w:val="21"/>
              </w:rPr>
              <w:t>30.</w:t>
            </w:r>
          </w:p>
        </w:tc>
        <w:tc>
          <w:tcPr>
            <w:tcW w:w="9661" w:type="dxa"/>
            <w:tcBorders>
              <w:top w:val="single" w:sz="4" w:space="0" w:color="000000"/>
              <w:left w:val="single" w:sz="4" w:space="0" w:color="000000"/>
              <w:bottom w:val="single" w:sz="4" w:space="0" w:color="000000"/>
              <w:right w:val="single" w:sz="4" w:space="0" w:color="000000"/>
            </w:tcBorders>
            <w:shd w:fill="auto" w:val="clear"/>
          </w:tcPr>
          <w:p>
            <w:pPr>
              <w:pStyle w:val="Normal"/>
              <w:rPr>
                <w:sz w:val="21"/>
                <w:szCs w:val="21"/>
              </w:rPr>
            </w:pPr>
            <w:r>
              <w:rPr>
                <w:sz w:val="21"/>
                <w:szCs w:val="21"/>
              </w:rPr>
              <w:t>Регулировка температурного режима и расхода тепловой энергии на элеваторных тепловых центрах (ежемесячно).</w:t>
            </w:r>
          </w:p>
        </w:tc>
      </w:tr>
    </w:tbl>
    <w:p>
      <w:pPr>
        <w:pStyle w:val="Normal"/>
        <w:ind w:firstLine="567"/>
        <w:jc w:val="center"/>
        <w:rPr>
          <w:b/>
          <w:b/>
          <w:sz w:val="22"/>
          <w:szCs w:val="22"/>
        </w:rPr>
      </w:pPr>
      <w:r>
        <w:rPr>
          <w:b/>
          <w:sz w:val="22"/>
          <w:szCs w:val="22"/>
        </w:rPr>
      </w:r>
    </w:p>
    <w:p>
      <w:pPr>
        <w:pStyle w:val="Normal"/>
        <w:tabs>
          <w:tab w:val="clear" w:pos="709"/>
          <w:tab w:val="left" w:pos="0" w:leader="none"/>
        </w:tabs>
        <w:ind w:right="394" w:firstLine="567"/>
        <w:jc w:val="right"/>
        <w:rPr>
          <w:sz w:val="22"/>
          <w:szCs w:val="22"/>
        </w:rPr>
      </w:pPr>
      <w:r>
        <w:rPr>
          <w:sz w:val="22"/>
          <w:szCs w:val="22"/>
        </w:rPr>
      </w:r>
    </w:p>
    <w:p>
      <w:pPr>
        <w:pStyle w:val="Normal"/>
        <w:tabs>
          <w:tab w:val="clear" w:pos="709"/>
          <w:tab w:val="left" w:pos="0" w:leader="none"/>
        </w:tabs>
        <w:ind w:right="394" w:firstLine="567"/>
        <w:jc w:val="right"/>
        <w:rPr>
          <w:sz w:val="22"/>
          <w:szCs w:val="22"/>
        </w:rPr>
      </w:pPr>
      <w:r>
        <w:rPr>
          <w:sz w:val="22"/>
          <w:szCs w:val="22"/>
        </w:rPr>
      </w:r>
    </w:p>
    <w:p>
      <w:pPr>
        <w:pStyle w:val="Normal"/>
        <w:tabs>
          <w:tab w:val="clear" w:pos="709"/>
          <w:tab w:val="left" w:pos="0" w:leader="none"/>
        </w:tabs>
        <w:ind w:right="394" w:firstLine="567"/>
        <w:jc w:val="right"/>
        <w:rPr>
          <w:sz w:val="22"/>
          <w:szCs w:val="22"/>
        </w:rPr>
      </w:pPr>
      <w:r>
        <w:rPr>
          <w:sz w:val="22"/>
          <w:szCs w:val="22"/>
        </w:rPr>
      </w:r>
    </w:p>
    <w:p>
      <w:pPr>
        <w:pStyle w:val="Normal"/>
        <w:tabs>
          <w:tab w:val="clear" w:pos="709"/>
          <w:tab w:val="left" w:pos="0" w:leader="none"/>
        </w:tabs>
        <w:ind w:right="394" w:firstLine="567"/>
        <w:jc w:val="right"/>
        <w:rPr>
          <w:sz w:val="22"/>
          <w:szCs w:val="22"/>
        </w:rPr>
      </w:pPr>
      <w:r>
        <w:rPr>
          <w:sz w:val="22"/>
          <w:szCs w:val="22"/>
        </w:rPr>
      </w:r>
    </w:p>
    <w:tbl>
      <w:tblPr>
        <w:tblW w:w="10080" w:type="dxa"/>
        <w:jc w:val="left"/>
        <w:tblInd w:w="2" w:type="dxa"/>
        <w:tblCellMar>
          <w:top w:w="0" w:type="dxa"/>
          <w:left w:w="70" w:type="dxa"/>
          <w:bottom w:w="0" w:type="dxa"/>
          <w:right w:w="70" w:type="dxa"/>
        </w:tblCellMar>
        <w:tblLook w:val="0000"/>
      </w:tblPr>
      <w:tblGrid>
        <w:gridCol w:w="5051"/>
        <w:gridCol w:w="5028"/>
      </w:tblGrid>
      <w:tr>
        <w:trPr>
          <w:trHeight w:val="1710" w:hRule="atLeast"/>
          <w:cantSplit w:val="true"/>
        </w:trPr>
        <w:tc>
          <w:tcPr>
            <w:tcW w:w="5051" w:type="dxa"/>
            <w:tcBorders/>
            <w:shd w:fill="auto" w:val="clear"/>
          </w:tcPr>
          <w:p>
            <w:pPr>
              <w:pStyle w:val="Style34"/>
              <w:ind w:left="0" w:hanging="0"/>
              <w:rPr>
                <w:b/>
                <w:b/>
                <w:bCs/>
                <w:sz w:val="22"/>
                <w:szCs w:val="22"/>
              </w:rPr>
            </w:pPr>
            <w:r>
              <w:rPr>
                <w:b/>
                <w:bCs/>
                <w:sz w:val="22"/>
                <w:szCs w:val="22"/>
              </w:rPr>
              <w:t xml:space="preserve">Заказчик: </w:t>
            </w:r>
          </w:p>
          <w:p>
            <w:pPr>
              <w:pStyle w:val="Style34"/>
              <w:ind w:left="0" w:hanging="0"/>
              <w:rPr>
                <w:b/>
                <w:b/>
                <w:bCs/>
                <w:sz w:val="22"/>
                <w:szCs w:val="22"/>
              </w:rPr>
            </w:pPr>
            <w:r>
              <w:rPr>
                <w:b/>
                <w:bCs/>
                <w:sz w:val="22"/>
                <w:szCs w:val="22"/>
              </w:rPr>
            </w:r>
          </w:p>
          <w:p>
            <w:pPr>
              <w:pStyle w:val="Style34"/>
              <w:ind w:left="0" w:hanging="0"/>
              <w:rPr>
                <w:b/>
                <w:b/>
                <w:bCs/>
                <w:sz w:val="22"/>
                <w:szCs w:val="22"/>
              </w:rPr>
            </w:pPr>
            <w:r>
              <w:rPr>
                <w:b/>
                <w:bCs/>
                <w:sz w:val="22"/>
                <w:szCs w:val="22"/>
              </w:rPr>
            </w:r>
          </w:p>
          <w:p>
            <w:pPr>
              <w:pStyle w:val="Style34"/>
              <w:ind w:left="0" w:hanging="0"/>
              <w:rPr>
                <w:b/>
                <w:b/>
                <w:sz w:val="22"/>
                <w:szCs w:val="22"/>
              </w:rPr>
            </w:pPr>
            <w:r>
              <w:rPr>
                <w:b/>
                <w:sz w:val="22"/>
                <w:szCs w:val="22"/>
              </w:rPr>
              <w:t xml:space="preserve">_________________/Сергеева Н.М./ </w:t>
            </w:r>
          </w:p>
          <w:p>
            <w:pPr>
              <w:pStyle w:val="Style34"/>
              <w:ind w:left="0" w:hanging="0"/>
              <w:rPr>
                <w:b/>
                <w:b/>
                <w:sz w:val="22"/>
                <w:szCs w:val="22"/>
              </w:rPr>
            </w:pPr>
            <w:r>
              <w:rPr>
                <w:b/>
                <w:sz w:val="22"/>
                <w:szCs w:val="22"/>
              </w:rPr>
            </w:r>
          </w:p>
          <w:p>
            <w:pPr>
              <w:pStyle w:val="Style34"/>
              <w:ind w:left="0" w:hanging="0"/>
              <w:rPr>
                <w:b/>
                <w:b/>
                <w:sz w:val="22"/>
                <w:szCs w:val="22"/>
              </w:rPr>
            </w:pPr>
            <w:r>
              <w:rPr>
                <w:sz w:val="22"/>
                <w:szCs w:val="22"/>
              </w:rPr>
              <w:t>"____"_____________ 2020 г.</w:t>
            </w:r>
          </w:p>
          <w:p>
            <w:pPr>
              <w:pStyle w:val="Style34"/>
              <w:ind w:left="0" w:hanging="0"/>
              <w:rPr>
                <w:b/>
                <w:b/>
                <w:bCs/>
                <w:sz w:val="22"/>
                <w:szCs w:val="22"/>
              </w:rPr>
            </w:pPr>
            <w:r>
              <w:rPr>
                <w:b/>
                <w:bCs/>
                <w:sz w:val="22"/>
                <w:szCs w:val="22"/>
              </w:rPr>
            </w:r>
          </w:p>
        </w:tc>
        <w:tc>
          <w:tcPr>
            <w:tcW w:w="5028" w:type="dxa"/>
            <w:tcBorders/>
            <w:shd w:fill="auto" w:val="clear"/>
          </w:tcPr>
          <w:p>
            <w:pPr>
              <w:pStyle w:val="Normal"/>
              <w:rPr>
                <w:b/>
                <w:b/>
                <w:bCs/>
                <w:sz w:val="22"/>
                <w:szCs w:val="22"/>
              </w:rPr>
            </w:pPr>
            <w:r>
              <w:rPr>
                <w:b/>
                <w:bCs/>
                <w:sz w:val="22"/>
                <w:szCs w:val="22"/>
              </w:rPr>
              <w:t>Исполнитель:</w:t>
            </w:r>
          </w:p>
          <w:p>
            <w:pPr>
              <w:pStyle w:val="Normal"/>
              <w:rPr>
                <w:b/>
                <w:b/>
                <w:bCs/>
                <w:sz w:val="22"/>
                <w:szCs w:val="22"/>
              </w:rPr>
            </w:pPr>
            <w:r>
              <w:rPr>
                <w:b/>
                <w:bCs/>
                <w:sz w:val="22"/>
                <w:szCs w:val="22"/>
              </w:rPr>
            </w:r>
          </w:p>
          <w:p>
            <w:pPr>
              <w:pStyle w:val="Normal"/>
              <w:rPr>
                <w:b/>
                <w:b/>
                <w:bCs/>
                <w:sz w:val="22"/>
                <w:szCs w:val="22"/>
              </w:rPr>
            </w:pPr>
            <w:r>
              <w:rPr>
                <w:b/>
                <w:bCs/>
                <w:sz w:val="22"/>
                <w:szCs w:val="22"/>
              </w:rPr>
            </w:r>
          </w:p>
          <w:p>
            <w:pPr>
              <w:pStyle w:val="Style34"/>
              <w:ind w:left="0" w:hanging="0"/>
              <w:rPr/>
            </w:pPr>
            <w:r>
              <w:rPr>
                <w:b/>
                <w:sz w:val="22"/>
                <w:szCs w:val="22"/>
              </w:rPr>
              <w:t>_________________/_________./</w:t>
            </w:r>
          </w:p>
          <w:p>
            <w:pPr>
              <w:pStyle w:val="Style34"/>
              <w:ind w:left="0" w:hanging="0"/>
              <w:rPr>
                <w:b/>
                <w:b/>
                <w:sz w:val="22"/>
                <w:szCs w:val="22"/>
              </w:rPr>
            </w:pPr>
            <w:r>
              <w:rPr>
                <w:b/>
                <w:sz w:val="22"/>
                <w:szCs w:val="22"/>
              </w:rPr>
            </w:r>
          </w:p>
          <w:p>
            <w:pPr>
              <w:pStyle w:val="Style34"/>
              <w:ind w:left="0" w:hanging="0"/>
              <w:rPr>
                <w:b/>
                <w:b/>
                <w:sz w:val="22"/>
                <w:szCs w:val="22"/>
              </w:rPr>
            </w:pPr>
            <w:r>
              <w:rPr>
                <w:sz w:val="22"/>
                <w:szCs w:val="22"/>
              </w:rPr>
              <w:t>"____"_____________ 2020 г.</w:t>
            </w:r>
          </w:p>
          <w:p>
            <w:pPr>
              <w:pStyle w:val="Normal"/>
              <w:rPr>
                <w:b/>
                <w:b/>
                <w:bCs/>
                <w:sz w:val="22"/>
                <w:szCs w:val="22"/>
              </w:rPr>
            </w:pPr>
            <w:r>
              <w:rPr>
                <w:b/>
                <w:bCs/>
                <w:sz w:val="22"/>
                <w:szCs w:val="22"/>
              </w:rPr>
            </w:r>
          </w:p>
        </w:tc>
      </w:tr>
    </w:tbl>
    <w:p>
      <w:pPr>
        <w:pStyle w:val="Normal"/>
        <w:tabs>
          <w:tab w:val="clear" w:pos="709"/>
          <w:tab w:val="left" w:pos="0" w:leader="none"/>
        </w:tabs>
        <w:ind w:right="394" w:firstLine="567"/>
        <w:jc w:val="right"/>
        <w:rPr>
          <w:sz w:val="22"/>
          <w:szCs w:val="22"/>
        </w:rPr>
      </w:pPr>
      <w:r>
        <w:rPr>
          <w:sz w:val="22"/>
          <w:szCs w:val="22"/>
        </w:rPr>
      </w:r>
    </w:p>
    <w:p>
      <w:pPr>
        <w:pStyle w:val="Normal"/>
        <w:tabs>
          <w:tab w:val="clear" w:pos="709"/>
          <w:tab w:val="left" w:pos="0" w:leader="none"/>
        </w:tabs>
        <w:ind w:right="394" w:firstLine="567"/>
        <w:jc w:val="right"/>
        <w:rPr>
          <w:sz w:val="22"/>
          <w:szCs w:val="22"/>
        </w:rPr>
      </w:pPr>
      <w:r>
        <w:rPr>
          <w:sz w:val="22"/>
          <w:szCs w:val="22"/>
        </w:rPr>
      </w:r>
    </w:p>
    <w:p>
      <w:pPr>
        <w:pStyle w:val="Normal"/>
        <w:tabs>
          <w:tab w:val="clear" w:pos="709"/>
          <w:tab w:val="left" w:pos="0" w:leader="none"/>
        </w:tabs>
        <w:ind w:right="394" w:hanging="0"/>
        <w:jc w:val="right"/>
        <w:rPr>
          <w:sz w:val="22"/>
          <w:szCs w:val="22"/>
        </w:rPr>
      </w:pPr>
      <w:r>
        <w:rPr>
          <w:sz w:val="22"/>
          <w:szCs w:val="22"/>
        </w:rPr>
      </w:r>
    </w:p>
    <w:p>
      <w:pPr>
        <w:pStyle w:val="Normal"/>
        <w:tabs>
          <w:tab w:val="clear" w:pos="709"/>
          <w:tab w:val="left" w:pos="0" w:leader="none"/>
        </w:tabs>
        <w:ind w:right="394" w:firstLine="567"/>
        <w:jc w:val="right"/>
        <w:rPr>
          <w:sz w:val="22"/>
          <w:szCs w:val="22"/>
        </w:rPr>
      </w:pPr>
      <w:r>
        <w:rPr>
          <w:sz w:val="22"/>
          <w:szCs w:val="22"/>
        </w:rPr>
      </w:r>
    </w:p>
    <w:p>
      <w:pPr>
        <w:pStyle w:val="Normal"/>
        <w:tabs>
          <w:tab w:val="clear" w:pos="709"/>
          <w:tab w:val="left" w:pos="0" w:leader="none"/>
        </w:tabs>
        <w:ind w:right="394" w:firstLine="567"/>
        <w:jc w:val="right"/>
        <w:rPr>
          <w:sz w:val="22"/>
          <w:szCs w:val="22"/>
        </w:rPr>
      </w:pPr>
      <w:r>
        <w:rPr>
          <w:sz w:val="22"/>
          <w:szCs w:val="22"/>
        </w:rPr>
      </w:r>
    </w:p>
    <w:p>
      <w:pPr>
        <w:pStyle w:val="Normal"/>
        <w:tabs>
          <w:tab w:val="clear" w:pos="709"/>
          <w:tab w:val="left" w:pos="0" w:leader="none"/>
        </w:tabs>
        <w:ind w:right="394" w:firstLine="567"/>
        <w:jc w:val="right"/>
        <w:rPr>
          <w:sz w:val="22"/>
          <w:szCs w:val="22"/>
        </w:rPr>
      </w:pPr>
      <w:r>
        <w:rPr>
          <w:sz w:val="22"/>
          <w:szCs w:val="22"/>
        </w:rPr>
      </w:r>
    </w:p>
    <w:p>
      <w:pPr>
        <w:pStyle w:val="Normal"/>
        <w:tabs>
          <w:tab w:val="clear" w:pos="709"/>
          <w:tab w:val="left" w:pos="0" w:leader="none"/>
        </w:tabs>
        <w:ind w:right="394" w:firstLine="567"/>
        <w:jc w:val="right"/>
        <w:rPr>
          <w:sz w:val="22"/>
          <w:szCs w:val="22"/>
        </w:rPr>
      </w:pPr>
      <w:r>
        <w:rPr>
          <w:sz w:val="22"/>
          <w:szCs w:val="22"/>
        </w:rPr>
      </w:r>
    </w:p>
    <w:p>
      <w:pPr>
        <w:pStyle w:val="Normal"/>
        <w:tabs>
          <w:tab w:val="clear" w:pos="709"/>
          <w:tab w:val="left" w:pos="0" w:leader="none"/>
        </w:tabs>
        <w:jc w:val="right"/>
        <w:rPr>
          <w:sz w:val="22"/>
          <w:szCs w:val="22"/>
        </w:rPr>
      </w:pPr>
      <w:r>
        <w:rPr>
          <w:sz w:val="22"/>
          <w:szCs w:val="22"/>
        </w:rPr>
        <w:t>Приложение  № 2</w:t>
      </w:r>
    </w:p>
    <w:p>
      <w:pPr>
        <w:pStyle w:val="ConsNormal"/>
        <w:widowControl/>
        <w:ind w:left="0" w:right="0" w:hanging="0"/>
        <w:jc w:val="right"/>
        <w:rPr>
          <w:rFonts w:ascii="Times New Roman" w:hAnsi="Times New Roman" w:cs="Times New Roman"/>
          <w:sz w:val="22"/>
          <w:szCs w:val="22"/>
        </w:rPr>
      </w:pPr>
      <w:r>
        <w:rPr>
          <w:rFonts w:cs="Times New Roman" w:ascii="Times New Roman" w:hAnsi="Times New Roman"/>
          <w:sz w:val="22"/>
          <w:szCs w:val="22"/>
        </w:rPr>
        <w:t>к Контракту № 1131/20</w:t>
      </w:r>
    </w:p>
    <w:p>
      <w:pPr>
        <w:pStyle w:val="ConsNormal"/>
        <w:widowControl/>
        <w:ind w:left="0" w:right="0" w:hanging="0"/>
        <w:jc w:val="right"/>
        <w:rPr>
          <w:rFonts w:ascii="Times New Roman" w:hAnsi="Times New Roman" w:cs="Times New Roman"/>
          <w:sz w:val="22"/>
          <w:szCs w:val="22"/>
        </w:rPr>
      </w:pPr>
      <w:r>
        <w:rPr>
          <w:rFonts w:cs="Times New Roman" w:ascii="Times New Roman" w:hAnsi="Times New Roman"/>
          <w:sz w:val="22"/>
          <w:szCs w:val="22"/>
        </w:rPr>
        <w:t>от «___» __________2020 г.</w:t>
      </w:r>
    </w:p>
    <w:p>
      <w:pPr>
        <w:pStyle w:val="Normal"/>
        <w:jc w:val="right"/>
        <w:rPr>
          <w:sz w:val="22"/>
          <w:szCs w:val="22"/>
        </w:rPr>
      </w:pPr>
      <w:r>
        <w:rPr>
          <w:sz w:val="22"/>
          <w:szCs w:val="22"/>
        </w:rPr>
      </w:r>
    </w:p>
    <w:p>
      <w:pPr>
        <w:pStyle w:val="ConsNormal"/>
        <w:widowControl/>
        <w:ind w:left="709" w:right="-185" w:hanging="0"/>
        <w:jc w:val="center"/>
        <w:rPr>
          <w:rFonts w:ascii="Times New Roman" w:hAnsi="Times New Roman" w:cs="Times New Roman"/>
          <w:sz w:val="22"/>
          <w:szCs w:val="22"/>
        </w:rPr>
      </w:pPr>
      <w:r>
        <w:rPr>
          <w:rFonts w:cs="Times New Roman" w:ascii="Times New Roman" w:hAnsi="Times New Roman"/>
          <w:sz w:val="22"/>
          <w:szCs w:val="22"/>
        </w:rPr>
      </w:r>
    </w:p>
    <w:p>
      <w:pPr>
        <w:pStyle w:val="Normal"/>
        <w:jc w:val="center"/>
        <w:rPr>
          <w:sz w:val="22"/>
          <w:szCs w:val="22"/>
        </w:rPr>
      </w:pPr>
      <w:r>
        <w:rPr>
          <w:b/>
          <w:bCs/>
          <w:sz w:val="22"/>
          <w:szCs w:val="22"/>
        </w:rPr>
        <w:t>РАСЧЕТ ЦЕНЫ КОНТРАКТА</w:t>
      </w:r>
    </w:p>
    <w:p>
      <w:pPr>
        <w:pStyle w:val="Normal"/>
        <w:jc w:val="center"/>
        <w:rPr>
          <w:sz w:val="22"/>
          <w:szCs w:val="22"/>
        </w:rPr>
      </w:pPr>
      <w:r>
        <w:rPr>
          <w:b/>
          <w:sz w:val="22"/>
          <w:szCs w:val="22"/>
        </w:rPr>
        <w:t>на оказание услуг по обслуживанию узла учета тепловой энергии и индивидуального теплового пункта в 2020 году</w:t>
      </w:r>
    </w:p>
    <w:p>
      <w:pPr>
        <w:pStyle w:val="Normal"/>
        <w:rPr>
          <w:sz w:val="22"/>
          <w:szCs w:val="22"/>
        </w:rPr>
      </w:pPr>
      <w:r>
        <w:rPr>
          <w:sz w:val="22"/>
          <w:szCs w:val="22"/>
        </w:rPr>
        <w:t xml:space="preserve">                                                                                                                    </w:t>
      </w:r>
    </w:p>
    <w:p>
      <w:pPr>
        <w:pStyle w:val="Normal"/>
        <w:rPr>
          <w:b/>
          <w:b/>
          <w:sz w:val="22"/>
          <w:szCs w:val="22"/>
        </w:rPr>
      </w:pPr>
      <w:r>
        <w:rPr>
          <w:b/>
          <w:sz w:val="22"/>
          <w:szCs w:val="22"/>
        </w:rPr>
      </w:r>
    </w:p>
    <w:tbl>
      <w:tblPr>
        <w:tblpPr w:bottomFromText="0" w:horzAnchor="margin" w:leftFromText="180" w:rightFromText="180" w:tblpX="0" w:tblpXSpec="center" w:tblpY="148" w:topFromText="0" w:vertAnchor="text"/>
        <w:tblW w:w="10314" w:type="dxa"/>
        <w:jc w:val="center"/>
        <w:tblInd w:w="0" w:type="dxa"/>
        <w:tblCellMar>
          <w:top w:w="0" w:type="dxa"/>
          <w:left w:w="108" w:type="dxa"/>
          <w:bottom w:w="0" w:type="dxa"/>
          <w:right w:w="108" w:type="dxa"/>
        </w:tblCellMar>
        <w:tblLook w:val="01e0"/>
      </w:tblPr>
      <w:tblGrid>
        <w:gridCol w:w="815"/>
        <w:gridCol w:w="3969"/>
        <w:gridCol w:w="1276"/>
        <w:gridCol w:w="1134"/>
        <w:gridCol w:w="1591"/>
        <w:gridCol w:w="3"/>
        <w:gridCol w:w="1525"/>
      </w:tblGrid>
      <w:tr>
        <w:trPr>
          <w:trHeight w:val="700" w:hRule="atLeast"/>
        </w:trPr>
        <w:tc>
          <w:tcPr>
            <w:tcW w:w="81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bCs/>
                <w:sz w:val="22"/>
                <w:szCs w:val="22"/>
              </w:rPr>
            </w:pPr>
            <w:r>
              <w:rPr>
                <w:bCs/>
                <w:sz w:val="22"/>
                <w:szCs w:val="22"/>
              </w:rPr>
              <w:t>№</w:t>
            </w:r>
          </w:p>
          <w:p>
            <w:pPr>
              <w:pStyle w:val="Normal"/>
              <w:jc w:val="center"/>
              <w:rPr>
                <w:bCs/>
                <w:sz w:val="22"/>
                <w:szCs w:val="22"/>
              </w:rPr>
            </w:pPr>
            <w:r>
              <w:rPr>
                <w:bCs/>
                <w:sz w:val="22"/>
                <w:szCs w:val="22"/>
              </w:rPr>
              <w:t xml:space="preserve"> </w:t>
            </w:r>
            <w:r>
              <w:rPr>
                <w:bCs/>
                <w:sz w:val="22"/>
                <w:szCs w:val="22"/>
              </w:rPr>
              <w:t>п.п</w:t>
            </w:r>
          </w:p>
        </w:tc>
        <w:tc>
          <w:tcPr>
            <w:tcW w:w="396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bCs/>
                <w:sz w:val="22"/>
                <w:szCs w:val="22"/>
              </w:rPr>
            </w:pPr>
            <w:r>
              <w:rPr>
                <w:bCs/>
                <w:sz w:val="22"/>
                <w:szCs w:val="22"/>
              </w:rPr>
              <w:t>Наименование услуги</w:t>
            </w:r>
          </w:p>
        </w:tc>
        <w:tc>
          <w:tcPr>
            <w:tcW w:w="127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bCs/>
                <w:sz w:val="22"/>
                <w:szCs w:val="22"/>
              </w:rPr>
            </w:pPr>
            <w:r>
              <w:rPr>
                <w:bCs/>
                <w:sz w:val="22"/>
                <w:szCs w:val="22"/>
              </w:rPr>
              <w:t>Ед. измер.</w:t>
            </w:r>
          </w:p>
        </w:tc>
        <w:tc>
          <w:tcPr>
            <w:tcW w:w="113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bCs/>
                <w:sz w:val="22"/>
                <w:szCs w:val="22"/>
              </w:rPr>
            </w:pPr>
            <w:r>
              <w:rPr>
                <w:bCs/>
                <w:sz w:val="22"/>
                <w:szCs w:val="22"/>
              </w:rPr>
              <w:t>Кол-во</w:t>
            </w:r>
          </w:p>
        </w:tc>
        <w:tc>
          <w:tcPr>
            <w:tcW w:w="159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bCs/>
                <w:sz w:val="22"/>
                <w:szCs w:val="22"/>
              </w:rPr>
            </w:pPr>
            <w:r>
              <w:rPr>
                <w:bCs/>
                <w:sz w:val="22"/>
                <w:szCs w:val="22"/>
              </w:rPr>
              <w:t>Стоимость ед.</w:t>
            </w:r>
          </w:p>
        </w:tc>
        <w:tc>
          <w:tcPr>
            <w:tcW w:w="152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bCs/>
                <w:sz w:val="22"/>
                <w:szCs w:val="22"/>
              </w:rPr>
            </w:pPr>
            <w:r>
              <w:rPr>
                <w:bCs/>
                <w:sz w:val="22"/>
                <w:szCs w:val="22"/>
              </w:rPr>
              <w:t>Общая сумма</w:t>
            </w:r>
          </w:p>
        </w:tc>
      </w:tr>
      <w:tr>
        <w:trPr>
          <w:trHeight w:val="457" w:hRule="atLeast"/>
        </w:trPr>
        <w:tc>
          <w:tcPr>
            <w:tcW w:w="81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sz w:val="22"/>
                <w:szCs w:val="22"/>
              </w:rPr>
            </w:pPr>
            <w:r>
              <w:rPr>
                <w:sz w:val="22"/>
                <w:szCs w:val="22"/>
              </w:rPr>
              <w:t>1</w:t>
            </w:r>
          </w:p>
        </w:tc>
        <w:tc>
          <w:tcPr>
            <w:tcW w:w="396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1260" w:leader="none"/>
              </w:tabs>
              <w:rPr>
                <w:sz w:val="22"/>
                <w:szCs w:val="22"/>
              </w:rPr>
            </w:pPr>
            <w:r>
              <w:rPr>
                <w:sz w:val="22"/>
                <w:szCs w:val="22"/>
              </w:rPr>
              <w:t>Обслуживание УУТЭ</w:t>
            </w:r>
          </w:p>
        </w:tc>
        <w:tc>
          <w:tcPr>
            <w:tcW w:w="127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1260" w:leader="none"/>
              </w:tabs>
              <w:jc w:val="center"/>
              <w:rPr>
                <w:sz w:val="22"/>
                <w:szCs w:val="22"/>
              </w:rPr>
            </w:pPr>
            <w:r>
              <w:rPr>
                <w:sz w:val="22"/>
                <w:szCs w:val="22"/>
              </w:rPr>
              <w:t>Мес.</w:t>
            </w:r>
          </w:p>
        </w:tc>
        <w:tc>
          <w:tcPr>
            <w:tcW w:w="113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1260" w:leader="none"/>
              </w:tabs>
              <w:jc w:val="center"/>
              <w:rPr>
                <w:sz w:val="22"/>
                <w:szCs w:val="22"/>
              </w:rPr>
            </w:pPr>
            <w:r>
              <w:rPr>
                <w:sz w:val="22"/>
                <w:szCs w:val="22"/>
              </w:rPr>
              <w:t>11</w:t>
            </w:r>
          </w:p>
        </w:tc>
        <w:tc>
          <w:tcPr>
            <w:tcW w:w="159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1260" w:leader="none"/>
              </w:tabs>
              <w:jc w:val="center"/>
              <w:rPr>
                <w:sz w:val="22"/>
                <w:szCs w:val="22"/>
              </w:rPr>
            </w:pPr>
            <w:r>
              <w:rPr/>
            </w:r>
          </w:p>
        </w:tc>
        <w:tc>
          <w:tcPr>
            <w:tcW w:w="152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1260" w:leader="none"/>
              </w:tabs>
              <w:jc w:val="center"/>
              <w:rPr>
                <w:sz w:val="22"/>
                <w:szCs w:val="22"/>
              </w:rPr>
            </w:pPr>
            <w:r>
              <w:rPr/>
            </w:r>
          </w:p>
        </w:tc>
      </w:tr>
      <w:tr>
        <w:trPr>
          <w:trHeight w:val="520" w:hRule="atLeast"/>
        </w:trPr>
        <w:tc>
          <w:tcPr>
            <w:tcW w:w="81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1260" w:leader="none"/>
              </w:tabs>
              <w:jc w:val="center"/>
              <w:rPr>
                <w:sz w:val="22"/>
                <w:szCs w:val="22"/>
              </w:rPr>
            </w:pPr>
            <w:r>
              <w:rPr>
                <w:sz w:val="22"/>
                <w:szCs w:val="22"/>
              </w:rPr>
              <w:t>2</w:t>
            </w:r>
          </w:p>
        </w:tc>
        <w:tc>
          <w:tcPr>
            <w:tcW w:w="396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1260" w:leader="none"/>
              </w:tabs>
              <w:rPr>
                <w:sz w:val="22"/>
                <w:szCs w:val="22"/>
              </w:rPr>
            </w:pPr>
            <w:r>
              <w:rPr>
                <w:sz w:val="22"/>
                <w:szCs w:val="22"/>
              </w:rPr>
              <w:t>Обслуживание ИТП</w:t>
            </w:r>
          </w:p>
        </w:tc>
        <w:tc>
          <w:tcPr>
            <w:tcW w:w="127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sz w:val="22"/>
                <w:szCs w:val="22"/>
              </w:rPr>
            </w:pPr>
            <w:r>
              <w:rPr>
                <w:sz w:val="22"/>
                <w:szCs w:val="22"/>
              </w:rPr>
              <w:t>Мес.</w:t>
            </w:r>
          </w:p>
        </w:tc>
        <w:tc>
          <w:tcPr>
            <w:tcW w:w="113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1260" w:leader="none"/>
              </w:tabs>
              <w:jc w:val="center"/>
              <w:rPr>
                <w:sz w:val="22"/>
                <w:szCs w:val="22"/>
              </w:rPr>
            </w:pPr>
            <w:r>
              <w:rPr>
                <w:sz w:val="22"/>
                <w:szCs w:val="22"/>
              </w:rPr>
              <w:t>11</w:t>
            </w:r>
          </w:p>
        </w:tc>
        <w:tc>
          <w:tcPr>
            <w:tcW w:w="159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1260" w:leader="none"/>
              </w:tabs>
              <w:jc w:val="center"/>
              <w:rPr>
                <w:sz w:val="22"/>
                <w:szCs w:val="22"/>
              </w:rPr>
            </w:pPr>
            <w:r>
              <w:rPr/>
            </w:r>
          </w:p>
        </w:tc>
        <w:tc>
          <w:tcPr>
            <w:tcW w:w="152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1260" w:leader="none"/>
              </w:tabs>
              <w:jc w:val="center"/>
              <w:rPr>
                <w:sz w:val="22"/>
                <w:szCs w:val="22"/>
              </w:rPr>
            </w:pPr>
            <w:r>
              <w:rPr/>
            </w:r>
          </w:p>
        </w:tc>
      </w:tr>
      <w:tr>
        <w:trPr>
          <w:trHeight w:val="539" w:hRule="atLeast"/>
        </w:trPr>
        <w:tc>
          <w:tcPr>
            <w:tcW w:w="8788" w:type="dxa"/>
            <w:gridSpan w:val="6"/>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1260" w:leader="none"/>
              </w:tabs>
              <w:jc w:val="center"/>
              <w:rPr>
                <w:sz w:val="22"/>
                <w:szCs w:val="22"/>
              </w:rPr>
            </w:pPr>
            <w:r>
              <w:rPr>
                <w:sz w:val="22"/>
                <w:szCs w:val="22"/>
              </w:rPr>
              <w:t>Итого:</w:t>
            </w:r>
          </w:p>
        </w:tc>
        <w:tc>
          <w:tcPr>
            <w:tcW w:w="152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9"/>
                <w:tab w:val="left" w:pos="1260" w:leader="none"/>
              </w:tabs>
              <w:jc w:val="center"/>
              <w:rPr>
                <w:sz w:val="22"/>
                <w:szCs w:val="22"/>
              </w:rPr>
            </w:pPr>
            <w:r>
              <w:rPr/>
            </w:r>
          </w:p>
        </w:tc>
      </w:tr>
    </w:tbl>
    <w:p>
      <w:pPr>
        <w:pStyle w:val="Normal"/>
        <w:ind w:left="-142" w:right="-7" w:hanging="0"/>
        <w:rPr>
          <w:b/>
          <w:b/>
          <w:color w:val="000000"/>
          <w:sz w:val="22"/>
          <w:szCs w:val="22"/>
        </w:rPr>
      </w:pPr>
      <w:r>
        <w:rPr>
          <w:b/>
          <w:color w:val="000000"/>
          <w:sz w:val="22"/>
          <w:szCs w:val="22"/>
        </w:rPr>
      </w:r>
    </w:p>
    <w:p>
      <w:pPr>
        <w:pStyle w:val="ConsNormal"/>
        <w:widowControl/>
        <w:ind w:left="-284" w:right="0" w:hanging="0"/>
        <w:rPr/>
      </w:pPr>
      <w:r>
        <w:rPr>
          <w:rFonts w:cs="Times New Roman" w:ascii="Times New Roman" w:hAnsi="Times New Roman"/>
          <w:b/>
          <w:sz w:val="22"/>
          <w:szCs w:val="22"/>
        </w:rPr>
        <w:t>Стоимость услуг составит:</w:t>
      </w:r>
      <w:r>
        <w:rPr>
          <w:rFonts w:cs="Times New Roman" w:ascii="Times New Roman" w:hAnsi="Times New Roman"/>
          <w:b/>
          <w:color w:val="000000"/>
          <w:sz w:val="22"/>
          <w:szCs w:val="22"/>
        </w:rPr>
        <w:t xml:space="preserve"> ____________</w:t>
      </w:r>
      <w:r>
        <w:rPr>
          <w:rFonts w:cs="Times New Roman" w:ascii="Times New Roman" w:hAnsi="Times New Roman"/>
          <w:b/>
          <w:iCs/>
          <w:sz w:val="22"/>
          <w:szCs w:val="22"/>
        </w:rPr>
        <w:t xml:space="preserve"> руб. (_______________________рублей _____копеек)</w:t>
      </w:r>
      <w:r>
        <w:rPr>
          <w:rFonts w:cs="Times New Roman" w:ascii="Times New Roman" w:hAnsi="Times New Roman"/>
          <w:b/>
          <w:color w:val="000000"/>
          <w:sz w:val="22"/>
          <w:szCs w:val="22"/>
        </w:rPr>
        <w:t xml:space="preserve">, </w:t>
      </w:r>
      <w:r>
        <w:rPr>
          <w:rFonts w:cs="Times New Roman" w:ascii="Times New Roman" w:hAnsi="Times New Roman"/>
          <w:b/>
          <w:sz w:val="22"/>
          <w:szCs w:val="22"/>
        </w:rPr>
        <w:t>НДС не облагается.</w:t>
      </w:r>
    </w:p>
    <w:p>
      <w:pPr>
        <w:pStyle w:val="ConsNormal"/>
        <w:widowControl/>
        <w:ind w:left="-284" w:right="0" w:hanging="0"/>
        <w:rPr>
          <w:rFonts w:ascii="Times New Roman" w:hAnsi="Times New Roman" w:cs="Times New Roman"/>
          <w:sz w:val="22"/>
          <w:szCs w:val="22"/>
        </w:rPr>
      </w:pPr>
      <w:r>
        <w:rPr>
          <w:rFonts w:cs="Times New Roman" w:ascii="Times New Roman" w:hAnsi="Times New Roman"/>
          <w:sz w:val="22"/>
          <w:szCs w:val="22"/>
        </w:rPr>
        <w:tab/>
      </w:r>
    </w:p>
    <w:p>
      <w:pPr>
        <w:pStyle w:val="Normal"/>
        <w:ind w:left="-426" w:hanging="0"/>
        <w:rPr>
          <w:b/>
          <w:b/>
          <w:bCs/>
          <w:i/>
          <w:i/>
          <w:iCs/>
          <w:sz w:val="22"/>
          <w:szCs w:val="22"/>
        </w:rPr>
      </w:pPr>
      <w:r>
        <w:rPr>
          <w:b/>
          <w:bCs/>
          <w:i/>
          <w:iCs/>
          <w:sz w:val="22"/>
          <w:szCs w:val="22"/>
        </w:rPr>
      </w:r>
    </w:p>
    <w:p>
      <w:pPr>
        <w:pStyle w:val="Normal"/>
        <w:ind w:left="-426" w:hanging="0"/>
        <w:rPr>
          <w:b/>
          <w:b/>
          <w:bCs/>
          <w:i/>
          <w:i/>
          <w:iCs/>
          <w:sz w:val="22"/>
          <w:szCs w:val="22"/>
        </w:rPr>
      </w:pPr>
      <w:r>
        <w:rPr>
          <w:b/>
          <w:bCs/>
          <w:i/>
          <w:iCs/>
          <w:sz w:val="22"/>
          <w:szCs w:val="22"/>
        </w:rPr>
      </w:r>
    </w:p>
    <w:p>
      <w:pPr>
        <w:pStyle w:val="Normal"/>
        <w:ind w:left="-426" w:hanging="0"/>
        <w:rPr>
          <w:b/>
          <w:b/>
          <w:bCs/>
          <w:i/>
          <w:i/>
          <w:iCs/>
          <w:sz w:val="22"/>
          <w:szCs w:val="22"/>
        </w:rPr>
      </w:pPr>
      <w:r>
        <w:rPr>
          <w:b/>
          <w:bCs/>
          <w:i/>
          <w:iCs/>
          <w:sz w:val="22"/>
          <w:szCs w:val="22"/>
        </w:rPr>
      </w:r>
    </w:p>
    <w:p>
      <w:pPr>
        <w:pStyle w:val="Normal"/>
        <w:ind w:left="-426" w:hanging="0"/>
        <w:rPr>
          <w:b/>
          <w:b/>
          <w:bCs/>
          <w:i/>
          <w:i/>
          <w:iCs/>
          <w:sz w:val="22"/>
          <w:szCs w:val="22"/>
        </w:rPr>
      </w:pPr>
      <w:r>
        <w:rPr>
          <w:b/>
          <w:bCs/>
          <w:i/>
          <w:iCs/>
          <w:sz w:val="22"/>
          <w:szCs w:val="22"/>
        </w:rPr>
      </w:r>
    </w:p>
    <w:tbl>
      <w:tblPr>
        <w:tblW w:w="9915" w:type="dxa"/>
        <w:jc w:val="left"/>
        <w:tblInd w:w="2" w:type="dxa"/>
        <w:tblCellMar>
          <w:top w:w="0" w:type="dxa"/>
          <w:left w:w="70" w:type="dxa"/>
          <w:bottom w:w="0" w:type="dxa"/>
          <w:right w:w="70" w:type="dxa"/>
        </w:tblCellMar>
        <w:tblLook w:val="0000"/>
      </w:tblPr>
      <w:tblGrid>
        <w:gridCol w:w="4968"/>
        <w:gridCol w:w="4946"/>
      </w:tblGrid>
      <w:tr>
        <w:trPr>
          <w:trHeight w:val="1529" w:hRule="atLeast"/>
          <w:cantSplit w:val="true"/>
        </w:trPr>
        <w:tc>
          <w:tcPr>
            <w:tcW w:w="4968" w:type="dxa"/>
            <w:tcBorders/>
            <w:shd w:fill="auto" w:val="clear"/>
          </w:tcPr>
          <w:p>
            <w:pPr>
              <w:pStyle w:val="Style34"/>
              <w:ind w:left="0" w:hanging="0"/>
              <w:rPr>
                <w:b/>
                <w:b/>
                <w:bCs/>
                <w:sz w:val="22"/>
                <w:szCs w:val="22"/>
              </w:rPr>
            </w:pPr>
            <w:r>
              <w:rPr>
                <w:b/>
                <w:bCs/>
                <w:sz w:val="22"/>
                <w:szCs w:val="22"/>
              </w:rPr>
              <w:t xml:space="preserve">Заказчик: </w:t>
            </w:r>
          </w:p>
          <w:p>
            <w:pPr>
              <w:pStyle w:val="Style34"/>
              <w:ind w:left="0" w:hanging="0"/>
              <w:rPr>
                <w:b/>
                <w:b/>
                <w:bCs/>
                <w:sz w:val="22"/>
                <w:szCs w:val="22"/>
              </w:rPr>
            </w:pPr>
            <w:r>
              <w:rPr>
                <w:b/>
                <w:bCs/>
                <w:sz w:val="22"/>
                <w:szCs w:val="22"/>
              </w:rPr>
            </w:r>
          </w:p>
          <w:p>
            <w:pPr>
              <w:pStyle w:val="Style34"/>
              <w:ind w:left="0" w:hanging="0"/>
              <w:rPr>
                <w:b/>
                <w:b/>
                <w:sz w:val="22"/>
                <w:szCs w:val="22"/>
              </w:rPr>
            </w:pPr>
            <w:r>
              <w:rPr>
                <w:b/>
                <w:sz w:val="22"/>
                <w:szCs w:val="22"/>
              </w:rPr>
              <w:t>_________________/Сергеева Н.М./</w:t>
            </w:r>
          </w:p>
          <w:p>
            <w:pPr>
              <w:pStyle w:val="Style34"/>
              <w:ind w:left="0" w:hanging="0"/>
              <w:rPr>
                <w:b/>
                <w:b/>
                <w:sz w:val="22"/>
                <w:szCs w:val="22"/>
              </w:rPr>
            </w:pPr>
            <w:r>
              <w:rPr>
                <w:b/>
                <w:sz w:val="22"/>
                <w:szCs w:val="22"/>
              </w:rPr>
            </w:r>
          </w:p>
          <w:p>
            <w:pPr>
              <w:pStyle w:val="Style34"/>
              <w:ind w:left="0" w:hanging="0"/>
              <w:rPr>
                <w:b/>
                <w:b/>
                <w:sz w:val="22"/>
                <w:szCs w:val="22"/>
              </w:rPr>
            </w:pPr>
            <w:r>
              <w:rPr>
                <w:sz w:val="22"/>
                <w:szCs w:val="22"/>
              </w:rPr>
              <w:t>"____"_____________ 2020 г.</w:t>
            </w:r>
          </w:p>
          <w:p>
            <w:pPr>
              <w:pStyle w:val="Style34"/>
              <w:ind w:left="0" w:hanging="0"/>
              <w:rPr>
                <w:b/>
                <w:b/>
                <w:bCs/>
                <w:sz w:val="22"/>
                <w:szCs w:val="22"/>
              </w:rPr>
            </w:pPr>
            <w:r>
              <w:rPr>
                <w:b/>
                <w:bCs/>
                <w:sz w:val="22"/>
                <w:szCs w:val="22"/>
              </w:rPr>
            </w:r>
          </w:p>
        </w:tc>
        <w:tc>
          <w:tcPr>
            <w:tcW w:w="4946" w:type="dxa"/>
            <w:tcBorders/>
            <w:shd w:fill="auto" w:val="clear"/>
          </w:tcPr>
          <w:p>
            <w:pPr>
              <w:pStyle w:val="Normal"/>
              <w:rPr>
                <w:b/>
                <w:b/>
                <w:bCs/>
                <w:sz w:val="22"/>
                <w:szCs w:val="22"/>
              </w:rPr>
            </w:pPr>
            <w:r>
              <w:rPr>
                <w:b/>
                <w:bCs/>
                <w:sz w:val="22"/>
                <w:szCs w:val="22"/>
              </w:rPr>
              <w:t>Исполнитель:</w:t>
            </w:r>
          </w:p>
          <w:p>
            <w:pPr>
              <w:pStyle w:val="Normal"/>
              <w:rPr>
                <w:b/>
                <w:b/>
                <w:bCs/>
                <w:sz w:val="22"/>
                <w:szCs w:val="22"/>
              </w:rPr>
            </w:pPr>
            <w:r>
              <w:rPr>
                <w:b/>
                <w:bCs/>
                <w:sz w:val="22"/>
                <w:szCs w:val="22"/>
              </w:rPr>
            </w:r>
          </w:p>
          <w:p>
            <w:pPr>
              <w:pStyle w:val="Style34"/>
              <w:ind w:left="0" w:hanging="0"/>
              <w:rPr>
                <w:b/>
                <w:b/>
                <w:sz w:val="22"/>
                <w:szCs w:val="22"/>
              </w:rPr>
            </w:pPr>
            <w:r>
              <w:rPr>
                <w:b/>
                <w:sz w:val="22"/>
                <w:szCs w:val="22"/>
              </w:rPr>
              <w:t>_________________/_________./</w:t>
            </w:r>
          </w:p>
          <w:p>
            <w:pPr>
              <w:pStyle w:val="Style34"/>
              <w:ind w:left="0" w:hanging="0"/>
              <w:rPr>
                <w:b/>
                <w:b/>
                <w:sz w:val="22"/>
                <w:szCs w:val="22"/>
              </w:rPr>
            </w:pPr>
            <w:r>
              <w:rPr>
                <w:b/>
                <w:sz w:val="22"/>
                <w:szCs w:val="22"/>
              </w:rPr>
            </w:r>
          </w:p>
          <w:p>
            <w:pPr>
              <w:pStyle w:val="Style34"/>
              <w:ind w:left="0" w:hanging="0"/>
              <w:rPr>
                <w:b/>
                <w:b/>
                <w:bCs/>
                <w:sz w:val="22"/>
                <w:szCs w:val="22"/>
              </w:rPr>
            </w:pPr>
            <w:r>
              <w:rPr>
                <w:sz w:val="22"/>
                <w:szCs w:val="22"/>
              </w:rPr>
              <w:t>"____"_____________ 2020 г.</w:t>
            </w:r>
          </w:p>
        </w:tc>
      </w:tr>
    </w:tbl>
    <w:p>
      <w:pPr>
        <w:pStyle w:val="Normal"/>
        <w:rPr/>
      </w:pPr>
      <w:r>
        <w:rPr/>
      </w:r>
    </w:p>
    <w:sectPr>
      <w:footerReference w:type="default" r:id="rId5"/>
      <w:footnotePr>
        <w:numFmt w:val="decimal"/>
      </w:footnotePr>
      <w:type w:val="nextPage"/>
      <w:pgSz w:w="11906" w:h="16838"/>
      <w:pgMar w:left="1560" w:right="850" w:header="0" w:top="899" w:footer="708" w:bottom="899"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ourier New">
    <w:charset w:val="cc"/>
    <w:family w:val="roman"/>
    <w:pitch w:val="variable"/>
  </w:font>
  <w:font w:name="Tahoma">
    <w:charset w:val="cc"/>
    <w:family w:val="roman"/>
    <w:pitch w:val="variable"/>
  </w:font>
  <w:font w:name="GaramondC">
    <w:charset w:val="cc"/>
    <w:family w:val="roman"/>
    <w:pitch w:val="variable"/>
  </w:font>
  <w:font w:name="Arial Narrow">
    <w:charset w:val="cc"/>
    <w:family w:val="roman"/>
    <w:pitch w:val="variable"/>
  </w:font>
  <w:font w:name="Cambria">
    <w:charset w:val="cc"/>
    <w:family w:val="roman"/>
    <w:pitch w:val="variable"/>
  </w:font>
  <w:font w:name="Verdana">
    <w:charset w:val="cc"/>
    <w:family w:val="roman"/>
    <w:pitch w:val="variable"/>
  </w:font>
  <w:font w:name="SchoolBookC">
    <w:charset w:val="cc"/>
    <w:family w:val="roman"/>
    <w:pitch w:val="variable"/>
  </w:font>
  <w:font w:name="Calibri">
    <w:charset w:val="cc"/>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9"/>
      <w:ind w:right="360" w:hanging="0"/>
      <w:rPr/>
    </w:pPr>
    <w:r>
      <w:rPr/>
      <mc:AlternateContent>
        <mc:Choice Requires="wps">
          <w:drawing>
            <wp:anchor behindDoc="1" distT="0" distB="0" distL="0" distR="0" simplePos="0" locked="0" layoutInCell="1" allowOverlap="1" relativeHeight="15">
              <wp:simplePos x="0" y="0"/>
              <wp:positionH relativeFrom="margin">
                <wp:align>right</wp:align>
              </wp:positionH>
              <wp:positionV relativeFrom="paragraph">
                <wp:posOffset>635</wp:posOffset>
              </wp:positionV>
              <wp:extent cx="1090930" cy="174625"/>
              <wp:effectExtent l="0" t="0" r="0" b="0"/>
              <wp:wrapSquare wrapText="largest"/>
              <wp:docPr id="1" name="Врезка1"/>
              <a:graphic xmlns:a="http://schemas.openxmlformats.org/drawingml/2006/main">
                <a:graphicData uri="http://schemas.microsoft.com/office/word/2010/wordprocessingShape">
                  <wps:wsp>
                    <wps:cNvSpPr/>
                    <wps:spPr>
                      <a:xfrm>
                        <a:off x="0" y="0"/>
                        <a:ext cx="1090440" cy="173880"/>
                      </a:xfrm>
                      <a:prstGeom prst="rect">
                        <a:avLst/>
                      </a:prstGeom>
                      <a:noFill/>
                      <a:ln>
                        <a:noFill/>
                      </a:ln>
                    </wps:spPr>
                    <wps:style>
                      <a:lnRef idx="0"/>
                      <a:fillRef idx="0"/>
                      <a:effectRef idx="0"/>
                      <a:fontRef idx="minor"/>
                    </wps:style>
                    <wps:txbx>
                      <w:txbxContent>
                        <w:p>
                          <w:pPr>
                            <w:pStyle w:val="Style39"/>
                            <w:rPr/>
                          </w:pPr>
                          <w:r>
                            <w:rPr>
                              <w:rStyle w:val="Pagenumber"/>
                            </w:rPr>
                            <w:fldChar w:fldCharType="begin"/>
                          </w:r>
                          <w:r>
                            <w:rPr>
                              <w:rStyle w:val="Pagenumber"/>
                            </w:rPr>
                            <w:instrText> PAGE </w:instrText>
                          </w:r>
                          <w:r>
                            <w:rPr>
                              <w:rStyle w:val="Pagenumber"/>
                            </w:rPr>
                            <w:fldChar w:fldCharType="separate"/>
                          </w:r>
                          <w:r>
                            <w:rPr>
                              <w:rStyle w:val="Pagenumber"/>
                            </w:rPr>
                            <w:t>3</w:t>
                          </w:r>
                          <w:r>
                            <w:rPr>
                              <w:rStyle w:val="Pagenumber"/>
                            </w:rPr>
                            <w:fldChar w:fldCharType="end"/>
                          </w:r>
                        </w:p>
                      </w:txbxContent>
                    </wps:txbx>
                    <wps:bodyPr lIns="0" rIns="0" tIns="0" bIns="0">
                      <a:spAutoFit/>
                    </wps:bodyPr>
                  </wps:wsp>
                </a:graphicData>
              </a:graphic>
            </wp:anchor>
          </w:drawing>
        </mc:Choice>
        <mc:Fallback>
          <w:pict>
            <v:rect id="shape_0" ID="Врезка1" fillcolor="white" stroked="f" style="position:absolute;margin-left:388.9pt;margin-top:0.05pt;width:85.8pt;height:13.65pt;mso-position-horizontal:right;mso-position-horizontal-relative:margin">
              <w10:wrap type="square"/>
              <v:fill o:detectmouseclick="t" type="solid" color2="black" opacity="0"/>
              <v:stroke color="#3465a4" joinstyle="round" endcap="flat"/>
              <v:textbox>
                <w:txbxContent>
                  <w:p>
                    <w:pPr>
                      <w:pStyle w:val="Style39"/>
                      <w:rPr/>
                    </w:pPr>
                    <w:r>
                      <w:rPr>
                        <w:rStyle w:val="Pagenumber"/>
                      </w:rPr>
                      <w:fldChar w:fldCharType="begin"/>
                    </w:r>
                    <w:r>
                      <w:rPr>
                        <w:rStyle w:val="Pagenumber"/>
                      </w:rPr>
                      <w:instrText> PAGE </w:instrText>
                    </w:r>
                    <w:r>
                      <w:rPr>
                        <w:rStyle w:val="Pagenumber"/>
                      </w:rPr>
                      <w:fldChar w:fldCharType="separate"/>
                    </w:r>
                    <w:r>
                      <w:rPr>
                        <w:rStyle w:val="Pagenumber"/>
                      </w:rPr>
                      <w:t>3</w:t>
                    </w:r>
                    <w:r>
                      <w:rPr>
                        <w:rStyle w:val="Pagenumber"/>
                      </w:rPr>
                      <w:fldChar w:fldCharType="end"/>
                    </w:r>
                  </w:p>
                </w:txbxContent>
              </v:textbox>
            </v:rect>
          </w:pict>
        </mc:Fallback>
      </mc:AlternateConten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Style57"/>
        <w:jc w:val="both"/>
        <w:rPr>
          <w:i/>
          <w:i/>
          <w:sz w:val="16"/>
          <w:szCs w:val="16"/>
        </w:rPr>
      </w:pPr>
      <w:r>
        <w:rPr>
          <w:rStyle w:val="Style26"/>
        </w:rPr>
        <w:footnoteRef/>
      </w:r>
      <w:r>
        <w:rPr>
          <w:sz w:val="16"/>
          <w:szCs w:val="16"/>
        </w:rPr>
        <w:t xml:space="preserve"> </w:t>
      </w:r>
      <w:r>
        <w:rPr>
          <w:i/>
          <w:sz w:val="16"/>
          <w:szCs w:val="16"/>
        </w:rPr>
        <w:t>В соответствии с п. 4 Правил размер штрафа устанавливается в виде фиксированной суммы, определяемой в следующем порядке:</w:t>
      </w:r>
    </w:p>
    <w:p>
      <w:pPr>
        <w:pStyle w:val="Style57"/>
        <w:jc w:val="both"/>
        <w:rPr>
          <w:i/>
          <w:i/>
          <w:sz w:val="16"/>
          <w:szCs w:val="16"/>
        </w:rPr>
      </w:pPr>
      <w:r>
        <w:rPr>
          <w:i/>
          <w:sz w:val="16"/>
          <w:szCs w:val="16"/>
        </w:rPr>
        <w:t>а) 3 процента цены контракта (этапа) в случае, если цена контракта (этапа) не превышает 3 млн. рублей;</w:t>
      </w:r>
    </w:p>
    <w:p>
      <w:pPr>
        <w:pStyle w:val="Style57"/>
        <w:rPr>
          <w:i/>
          <w:i/>
          <w:sz w:val="16"/>
          <w:szCs w:val="16"/>
        </w:rPr>
      </w:pPr>
      <w:r>
        <w:rPr>
          <w:i/>
          <w:sz w:val="16"/>
          <w:szCs w:val="16"/>
        </w:rPr>
        <w:t>б) 2 процента цены контракта (этапа) в случае, если цена контракта (этапа) составляет от 3 млн. рублей до 10 млн. рублей (включительно);</w:t>
      </w:r>
    </w:p>
    <w:p>
      <w:pPr>
        <w:pStyle w:val="Style57"/>
        <w:rPr/>
      </w:pPr>
      <w:r>
        <w:rPr>
          <w:i/>
          <w:sz w:val="16"/>
          <w:szCs w:val="16"/>
        </w:rPr>
        <w:t>в) 1 процент цены контракта (этапа) в случае, если цена контракта (этапа) составляет от 10 млн. рублей до 20 млн. рублей (включительно).</w:t>
      </w:r>
    </w:p>
  </w:footnote>
  <w:footnote w:id="3">
    <w:p>
      <w:pPr>
        <w:pStyle w:val="Style57"/>
        <w:jc w:val="both"/>
        <w:rPr>
          <w:i/>
          <w:i/>
          <w:sz w:val="16"/>
          <w:szCs w:val="16"/>
        </w:rPr>
      </w:pPr>
      <w:r>
        <w:rPr>
          <w:rStyle w:val="Style26"/>
        </w:rPr>
        <w:footnoteRef/>
      </w:r>
      <w:r>
        <w:rPr>
          <w:sz w:val="16"/>
          <w:szCs w:val="16"/>
        </w:rPr>
        <w:t xml:space="preserve"> </w:t>
      </w:r>
      <w:r>
        <w:rPr>
          <w:i/>
          <w:sz w:val="16"/>
          <w:szCs w:val="16"/>
        </w:rPr>
        <w:t>В соответствии с п. 5 Правил размер штрафа рассчитывается в порядке, установленном Правилами, и устанавливается в виде фиксированной суммы, определяемой в следующем порядке:</w:t>
      </w:r>
    </w:p>
    <w:p>
      <w:pPr>
        <w:pStyle w:val="Style57"/>
        <w:rPr>
          <w:i/>
          <w:i/>
          <w:sz w:val="16"/>
          <w:szCs w:val="16"/>
        </w:rPr>
      </w:pPr>
      <w:r>
        <w:rPr>
          <w:i/>
          <w:sz w:val="16"/>
          <w:szCs w:val="16"/>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57"/>
        <w:jc w:val="both"/>
        <w:rPr/>
      </w:pPr>
      <w:r>
        <w:rPr>
          <w:i/>
          <w:sz w:val="16"/>
          <w:szCs w:val="16"/>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footnote>
  <w:footnote w:id="4">
    <w:p>
      <w:pPr>
        <w:pStyle w:val="Style57"/>
        <w:rPr>
          <w:i/>
          <w:i/>
          <w:sz w:val="18"/>
          <w:szCs w:val="18"/>
        </w:rPr>
      </w:pPr>
      <w:r>
        <w:rPr>
          <w:rStyle w:val="Style26"/>
        </w:rPr>
        <w:footnoteRef/>
      </w:r>
      <w:r>
        <w:rPr>
          <w:sz w:val="18"/>
          <w:szCs w:val="18"/>
        </w:rPr>
        <w:t xml:space="preserve"> </w:t>
      </w:r>
      <w:r>
        <w:rPr>
          <w:i/>
          <w:sz w:val="18"/>
          <w:szCs w:val="18"/>
        </w:rPr>
        <w:t>В соответствии с п. 6 Правил размер штрафа устанавливается  в виде фиксированной суммы, определяемой в следующем порядке:</w:t>
      </w:r>
    </w:p>
    <w:p>
      <w:pPr>
        <w:pStyle w:val="Style57"/>
        <w:rPr>
          <w:i/>
          <w:i/>
          <w:sz w:val="18"/>
          <w:szCs w:val="18"/>
        </w:rPr>
      </w:pPr>
      <w:r>
        <w:rPr>
          <w:i/>
          <w:sz w:val="18"/>
          <w:szCs w:val="18"/>
        </w:rPr>
        <w:t>а) 1000 рублей, если цена контракта не превышает 3 млн. рублей;</w:t>
      </w:r>
    </w:p>
    <w:p>
      <w:pPr>
        <w:pStyle w:val="Style57"/>
        <w:rPr/>
      </w:pPr>
      <w:r>
        <w:rPr>
          <w:i/>
          <w:sz w:val="16"/>
          <w:szCs w:val="16"/>
        </w:rPr>
        <w:t>б) 5000 рублей, если цена контракта составляет от 3 млн. рублей до 50 млн. рублей (включительно).</w:t>
      </w:r>
    </w:p>
  </w:footnote>
  <w:footnote w:id="5">
    <w:p>
      <w:pPr>
        <w:pStyle w:val="Style57"/>
        <w:rPr>
          <w:i/>
          <w:i/>
          <w:sz w:val="16"/>
          <w:szCs w:val="16"/>
        </w:rPr>
      </w:pPr>
      <w:r>
        <w:rPr>
          <w:rStyle w:val="Style26"/>
        </w:rPr>
        <w:footnoteRef/>
      </w:r>
      <w:r>
        <w:rPr>
          <w:sz w:val="16"/>
          <w:szCs w:val="16"/>
        </w:rPr>
        <w:t xml:space="preserve"> </w:t>
      </w:r>
      <w:r>
        <w:rPr>
          <w:i/>
          <w:sz w:val="16"/>
          <w:szCs w:val="16"/>
        </w:rPr>
        <w:t>В соответствии с п. 9 Правил размер штрафа устанавливается  в виде фиксированной суммы, определяемой в следующем порядке:</w:t>
      </w:r>
    </w:p>
    <w:p>
      <w:pPr>
        <w:pStyle w:val="Style57"/>
        <w:rPr>
          <w:i/>
          <w:i/>
          <w:sz w:val="16"/>
          <w:szCs w:val="16"/>
        </w:rPr>
      </w:pPr>
      <w:r>
        <w:rPr>
          <w:i/>
          <w:sz w:val="16"/>
          <w:szCs w:val="16"/>
        </w:rPr>
        <w:t>а) 1000 рублей, если цена контракта не превышает 3 млн. рублей (включительно);</w:t>
      </w:r>
    </w:p>
    <w:p>
      <w:pPr>
        <w:pStyle w:val="Style57"/>
        <w:rPr/>
      </w:pPr>
      <w:r>
        <w:rPr>
          <w:i/>
          <w:sz w:val="16"/>
          <w:szCs w:val="16"/>
        </w:rPr>
        <w:t>б) 5000 рублей, если цена контракта составляет от 3 млн. рублей до 50 млн. рублей (включительно).</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1."/>
      <w:lvlJc w:val="left"/>
      <w:pPr>
        <w:ind w:left="1353" w:hanging="360"/>
      </w:pPr>
      <w:rPr>
        <w:sz w:val="22"/>
        <w:i w:val="false"/>
        <w:b w:val="false"/>
        <w:rFonts w:ascii="Times New Roman" w:hAnsi="Times New Roman" w:cs="Arial"/>
        <w:color w:val="auto"/>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2">
    <w:lvl w:ilvl="0">
      <w:start w:val="1"/>
      <w:numFmt w:val="decimal"/>
      <w:lvlText w:val="2.%1."/>
      <w:lvlJc w:val="left"/>
      <w:pPr>
        <w:ind w:left="1429" w:hanging="360"/>
      </w:pPr>
      <w:rPr>
        <w:sz w:val="22"/>
        <w:i w:val="false"/>
        <w:b w:val="false"/>
        <w:rFonts w:ascii="Times New Roman" w:hAnsi="Times New Roman" w:cs="Arial"/>
        <w:color w:val="auto"/>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
    <w:lvl w:ilvl="0">
      <w:start w:val="1"/>
      <w:numFmt w:val="decimal"/>
      <w:lvlText w:val="3.%1."/>
      <w:lvlJc w:val="left"/>
      <w:pPr>
        <w:ind w:left="1429" w:hanging="360"/>
      </w:pPr>
      <w:rPr>
        <w:sz w:val="22"/>
        <w:i w:val="false"/>
        <w:b w:val="false"/>
        <w:rFonts w:ascii="Times New Roman" w:hAnsi="Times New Roman" w:cs="Arial"/>
        <w:color w:val="auto"/>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
    <w:lvl w:ilvl="0">
      <w:start w:val="1"/>
      <w:numFmt w:val="decimal"/>
      <w:lvlText w:val="4.%1."/>
      <w:lvlJc w:val="left"/>
      <w:pPr>
        <w:ind w:left="2138" w:hanging="360"/>
      </w:pPr>
      <w:rPr>
        <w:sz w:val="24"/>
        <w:i w:val="false"/>
        <w:b w:val="false"/>
        <w:rFonts w:cs="Arial"/>
        <w:color w:val="auto"/>
      </w:rPr>
    </w:lvl>
    <w:lvl w:ilvl="1">
      <w:start w:val="1"/>
      <w:numFmt w:val="decimal"/>
      <w:lvlText w:val="4.%2."/>
      <w:lvlJc w:val="left"/>
      <w:pPr>
        <w:ind w:left="1440" w:hanging="360"/>
      </w:pPr>
      <w:rPr>
        <w:sz w:val="22"/>
        <w:i w:val="false"/>
        <w:b/>
        <w:rFonts w:ascii="Times New Roman" w:hAnsi="Times New Roman" w:cs="Arial"/>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decimal"/>
      <w:lvlText w:val="5.%1."/>
      <w:lvlJc w:val="left"/>
      <w:pPr>
        <w:ind w:left="1440" w:hanging="360"/>
      </w:pPr>
      <w:rPr>
        <w:sz w:val="22"/>
        <w:i w:val="false"/>
        <w:b w:val="false"/>
        <w:rFonts w:ascii="Times New Roman" w:hAnsi="Times New Roman" w:cs="Arial"/>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decimal"/>
      <w:lvlText w:val="8.%1."/>
      <w:lvlJc w:val="left"/>
      <w:pPr>
        <w:ind w:left="1440" w:hanging="360"/>
      </w:pPr>
      <w:rPr>
        <w:sz w:val="22"/>
        <w:i w:val="false"/>
        <w:b w:val="false"/>
        <w:rFonts w:ascii="Times New Roman" w:hAnsi="Times New Roman" w:cs="Arial"/>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bullet"/>
      <w:lvlText w:val=""/>
      <w:lvlJc w:val="left"/>
      <w:pPr>
        <w:ind w:left="786" w:hanging="360"/>
      </w:pPr>
      <w:rPr>
        <w:rFonts w:ascii="Symbol" w:hAnsi="Symbol" w:cs="Symbol" w:hint="default"/>
        <w:sz w:val="22"/>
        <w:rFonts w:cs="Symbol"/>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
    <w:lvl w:ilvl="0">
      <w:start w:val="1"/>
      <w:numFmt w:val="bullet"/>
      <w:lvlText w:val=""/>
      <w:lvlJc w:val="left"/>
      <w:pPr>
        <w:ind w:left="1287" w:hanging="360"/>
      </w:pPr>
      <w:rPr>
        <w:rFonts w:ascii="Symbol" w:hAnsi="Symbol" w:cs="Symbol" w:hint="default"/>
        <w:sz w:val="22"/>
        <w:rFonts w:cs="Symbol"/>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lvl w:ilvl="0">
      <w:start w:val="1"/>
      <w:numFmt w:val="bullet"/>
      <w:lvlText w:val=""/>
      <w:lvlJc w:val="left"/>
      <w:pPr>
        <w:ind w:left="1287" w:hanging="360"/>
      </w:pPr>
      <w:rPr>
        <w:rFonts w:ascii="Symbol" w:hAnsi="Symbol" w:cs="Symbol" w:hint="default"/>
        <w:sz w:val="22"/>
        <w:rFonts w:cs="Symbol"/>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
    <w:lvl w:ilvl="0">
      <w:start w:val="1"/>
      <w:numFmt w:val="bullet"/>
      <w:lvlText w:val=""/>
      <w:lvlJc w:val="left"/>
      <w:pPr>
        <w:ind w:left="1287" w:hanging="360"/>
      </w:pPr>
      <w:rPr>
        <w:rFonts w:ascii="Symbol" w:hAnsi="Symbol" w:cs="Symbol" w:hint="default"/>
        <w:sz w:val="22"/>
        <w:rFonts w:cs="Symbol"/>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1">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2">
    <w:lvl w:ilvl="0">
      <w:start w:val="1"/>
      <w:numFmt w:val="decimal"/>
      <w:lvlText w:val="3.%1."/>
      <w:lvlJc w:val="left"/>
      <w:pPr>
        <w:ind w:left="1429" w:hanging="360"/>
      </w:pPr>
      <w:rPr>
        <w:sz w:val="22"/>
        <w:i w:val="false"/>
        <w:b w:val="false"/>
        <w:rFonts w:ascii="Times New Roman" w:hAnsi="Times New Roman" w:cs="Arial"/>
        <w:color w:val="auto"/>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3">
    <w:lvl w:ilvl="0">
      <w:start w:val="7"/>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00"/>
  <w:embedSystemFonts/>
  <w:defaultTabStop w:val="709"/>
  <w:footnotePr>
    <w:numFmt w:val="decimal"/>
    <w:footnote w:id="0"/>
    <w:footnote w:id="1"/>
  </w:footnotePr>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9" w:semiHidden="0" w:unhideWhenUsed="0" w:qFormat="1"/>
    <w:lsdException w:name="heading 5" w:uiPriority="9" w:semiHidden="0" w:unhideWhenUsed="0" w:qFormat="1"/>
    <w:lsdException w:name="heading 6" w:uiPriority="9" w:semiHidden="0" w:unhideWhenUsed="0" w:qFormat="1"/>
    <w:lsdException w:name="heading 7" w:uiPriority="9" w:semiHidden="0" w:unhideWhenUsed="0" w:qFormat="1"/>
    <w:lsdException w:name="heading 8" w:uiPriority="9" w:semiHidden="0" w:unhideWhenUsed="0" w:qFormat="1"/>
    <w:lsdException w:name="heading 9" w:uiPriority="0"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semiHidden="0" w:unhideWhenUsed="0" w:qFormat="1"/>
  </w:latentStyles>
  <w:style w:type="paragraph" w:styleId="Normal" w:default="1">
    <w:name w:val="Normal"/>
    <w:qFormat/>
    <w:rsid w:val="00b907b1"/>
    <w:pPr>
      <w:widowControl/>
      <w:bidi w:val="0"/>
      <w:jc w:val="both"/>
    </w:pPr>
    <w:rPr>
      <w:rFonts w:ascii="Times New Roman" w:hAnsi="Times New Roman" w:eastAsia="Times New Roman" w:cs="Times New Roman"/>
      <w:color w:val="auto"/>
      <w:kern w:val="0"/>
      <w:sz w:val="24"/>
      <w:szCs w:val="24"/>
      <w:lang w:val="ru-RU" w:eastAsia="ru-RU" w:bidi="ar-SA"/>
    </w:rPr>
  </w:style>
  <w:style w:type="paragraph" w:styleId="1">
    <w:name w:val="Heading 1"/>
    <w:basedOn w:val="Normal"/>
    <w:next w:val="Normal"/>
    <w:link w:val="12"/>
    <w:qFormat/>
    <w:rsid w:val="00c024d4"/>
    <w:pPr>
      <w:keepNext w:val="true"/>
      <w:spacing w:before="240" w:after="60"/>
      <w:jc w:val="center"/>
      <w:outlineLvl w:val="0"/>
    </w:pPr>
    <w:rPr>
      <w:b/>
      <w:kern w:val="2"/>
      <w:sz w:val="36"/>
      <w:szCs w:val="20"/>
    </w:rPr>
  </w:style>
  <w:style w:type="paragraph" w:styleId="2">
    <w:name w:val="Heading 2"/>
    <w:basedOn w:val="Normal"/>
    <w:next w:val="Normal"/>
    <w:link w:val="25"/>
    <w:qFormat/>
    <w:rsid w:val="00c024d4"/>
    <w:pPr>
      <w:keepNext w:val="true"/>
      <w:jc w:val="center"/>
      <w:outlineLvl w:val="1"/>
    </w:pPr>
    <w:rPr>
      <w:b/>
      <w:bCs/>
    </w:rPr>
  </w:style>
  <w:style w:type="paragraph" w:styleId="3">
    <w:name w:val="Heading 3"/>
    <w:basedOn w:val="Normal"/>
    <w:next w:val="Normal"/>
    <w:link w:val="310"/>
    <w:qFormat/>
    <w:rsid w:val="00c024d4"/>
    <w:pPr>
      <w:keepNext w:val="true"/>
      <w:spacing w:before="240" w:after="60"/>
      <w:outlineLvl w:val="2"/>
    </w:pPr>
    <w:rPr>
      <w:rFonts w:ascii="Arial" w:hAnsi="Arial"/>
      <w:b/>
      <w:szCs w:val="20"/>
    </w:rPr>
  </w:style>
  <w:style w:type="paragraph" w:styleId="4">
    <w:name w:val="Heading 4"/>
    <w:basedOn w:val="Normal"/>
    <w:next w:val="Normal"/>
    <w:link w:val="42"/>
    <w:qFormat/>
    <w:rsid w:val="00c024d4"/>
    <w:pPr>
      <w:keepNext w:val="true"/>
      <w:spacing w:before="240" w:after="60"/>
      <w:outlineLvl w:val="3"/>
    </w:pPr>
    <w:rPr>
      <w:rFonts w:ascii="Arial" w:hAnsi="Arial"/>
      <w:szCs w:val="20"/>
    </w:rPr>
  </w:style>
  <w:style w:type="paragraph" w:styleId="5">
    <w:name w:val="Heading 5"/>
    <w:basedOn w:val="Normal"/>
    <w:next w:val="Normal"/>
    <w:link w:val="52"/>
    <w:qFormat/>
    <w:rsid w:val="00c024d4"/>
    <w:pPr>
      <w:spacing w:before="240" w:after="60"/>
      <w:outlineLvl w:val="4"/>
    </w:pPr>
    <w:rPr>
      <w:sz w:val="22"/>
      <w:szCs w:val="20"/>
    </w:rPr>
  </w:style>
  <w:style w:type="paragraph" w:styleId="6">
    <w:name w:val="Heading 6"/>
    <w:basedOn w:val="Normal"/>
    <w:next w:val="Normal"/>
    <w:link w:val="60"/>
    <w:qFormat/>
    <w:rsid w:val="00c024d4"/>
    <w:pPr>
      <w:spacing w:before="240" w:after="60"/>
      <w:outlineLvl w:val="5"/>
    </w:pPr>
    <w:rPr>
      <w:i/>
      <w:sz w:val="22"/>
      <w:szCs w:val="20"/>
    </w:rPr>
  </w:style>
  <w:style w:type="paragraph" w:styleId="7">
    <w:name w:val="Heading 7"/>
    <w:basedOn w:val="Normal"/>
    <w:next w:val="Normal"/>
    <w:link w:val="70"/>
    <w:qFormat/>
    <w:rsid w:val="00c024d4"/>
    <w:pPr>
      <w:spacing w:before="240" w:after="60"/>
      <w:outlineLvl w:val="6"/>
    </w:pPr>
    <w:rPr>
      <w:rFonts w:ascii="Arial" w:hAnsi="Arial"/>
      <w:sz w:val="20"/>
      <w:szCs w:val="20"/>
    </w:rPr>
  </w:style>
  <w:style w:type="paragraph" w:styleId="8">
    <w:name w:val="Heading 8"/>
    <w:basedOn w:val="Normal"/>
    <w:next w:val="Normal"/>
    <w:link w:val="80"/>
    <w:qFormat/>
    <w:rsid w:val="00c024d4"/>
    <w:pPr>
      <w:spacing w:before="240" w:after="60"/>
      <w:outlineLvl w:val="7"/>
    </w:pPr>
    <w:rPr>
      <w:rFonts w:ascii="Arial" w:hAnsi="Arial"/>
      <w:i/>
      <w:sz w:val="20"/>
      <w:szCs w:val="20"/>
    </w:rPr>
  </w:style>
  <w:style w:type="paragraph" w:styleId="9">
    <w:name w:val="Heading 9"/>
    <w:basedOn w:val="Normal"/>
    <w:next w:val="Normal"/>
    <w:link w:val="90"/>
    <w:qFormat/>
    <w:rsid w:val="00c024d4"/>
    <w:pPr>
      <w:spacing w:before="240" w:after="60"/>
      <w:outlineLvl w:val="8"/>
    </w:pPr>
    <w:rPr>
      <w:rFonts w:ascii="Arial" w:hAnsi="Arial"/>
      <w:b/>
      <w:i/>
      <w:sz w:val="18"/>
      <w:szCs w:val="20"/>
    </w:rPr>
  </w:style>
  <w:style w:type="character" w:styleId="DefaultParagraphFont" w:default="1">
    <w:name w:val="Default Paragraph Font"/>
    <w:uiPriority w:val="1"/>
    <w:semiHidden/>
    <w:unhideWhenUsed/>
    <w:qFormat/>
    <w:rPr/>
  </w:style>
  <w:style w:type="character" w:styleId="11" w:customStyle="1">
    <w:name w:val="Заголовок 1 Знак"/>
    <w:link w:val="11"/>
    <w:qFormat/>
    <w:rsid w:val="00c024d4"/>
    <w:rPr>
      <w:b/>
      <w:kern w:val="2"/>
      <w:sz w:val="36"/>
    </w:rPr>
  </w:style>
  <w:style w:type="character" w:styleId="21" w:customStyle="1">
    <w:name w:val="Заголовок 2 Знак"/>
    <w:link w:val="24"/>
    <w:qFormat/>
    <w:rsid w:val="00c024d4"/>
    <w:rPr>
      <w:b/>
      <w:bCs/>
      <w:sz w:val="24"/>
      <w:szCs w:val="24"/>
    </w:rPr>
  </w:style>
  <w:style w:type="character" w:styleId="31" w:customStyle="1">
    <w:name w:val="Заголовок 3 Знак1"/>
    <w:link w:val="34"/>
    <w:qFormat/>
    <w:rsid w:val="00c024d4"/>
    <w:rPr>
      <w:rFonts w:ascii="Arial" w:hAnsi="Arial"/>
      <w:b/>
      <w:sz w:val="24"/>
    </w:rPr>
  </w:style>
  <w:style w:type="character" w:styleId="41" w:customStyle="1">
    <w:name w:val="Заголовок 4 Знак"/>
    <w:link w:val="41"/>
    <w:qFormat/>
    <w:rsid w:val="00c024d4"/>
    <w:rPr>
      <w:rFonts w:ascii="Arial" w:hAnsi="Arial"/>
      <w:sz w:val="24"/>
    </w:rPr>
  </w:style>
  <w:style w:type="character" w:styleId="51" w:customStyle="1">
    <w:name w:val="Заголовок 5 Знак"/>
    <w:link w:val="51"/>
    <w:qFormat/>
    <w:rsid w:val="00c024d4"/>
    <w:rPr>
      <w:sz w:val="22"/>
    </w:rPr>
  </w:style>
  <w:style w:type="character" w:styleId="61" w:customStyle="1">
    <w:name w:val="Заголовок 6 Знак"/>
    <w:link w:val="6"/>
    <w:qFormat/>
    <w:rsid w:val="00c024d4"/>
    <w:rPr>
      <w:i/>
      <w:sz w:val="22"/>
    </w:rPr>
  </w:style>
  <w:style w:type="character" w:styleId="71" w:customStyle="1">
    <w:name w:val="Заголовок 7 Знак"/>
    <w:link w:val="7"/>
    <w:qFormat/>
    <w:rsid w:val="00c024d4"/>
    <w:rPr>
      <w:rFonts w:ascii="Arial" w:hAnsi="Arial"/>
    </w:rPr>
  </w:style>
  <w:style w:type="character" w:styleId="81" w:customStyle="1">
    <w:name w:val="Заголовок 8 Знак"/>
    <w:link w:val="8"/>
    <w:qFormat/>
    <w:rsid w:val="00c024d4"/>
    <w:rPr>
      <w:rFonts w:ascii="Arial" w:hAnsi="Arial"/>
      <w:i/>
    </w:rPr>
  </w:style>
  <w:style w:type="character" w:styleId="91" w:customStyle="1">
    <w:name w:val="Заголовок 9 Знак"/>
    <w:link w:val="9"/>
    <w:qFormat/>
    <w:rsid w:val="00c024d4"/>
    <w:rPr>
      <w:rFonts w:ascii="Arial" w:hAnsi="Arial"/>
      <w:b/>
      <w:i/>
      <w:sz w:val="18"/>
    </w:rPr>
  </w:style>
  <w:style w:type="character" w:styleId="Style5" w:customStyle="1">
    <w:name w:val="Основной текст с отступом Знак"/>
    <w:link w:val="a9"/>
    <w:uiPriority w:val="99"/>
    <w:qFormat/>
    <w:rsid w:val="00c024d4"/>
    <w:rPr>
      <w:sz w:val="24"/>
      <w:szCs w:val="24"/>
    </w:rPr>
  </w:style>
  <w:style w:type="character" w:styleId="22" w:customStyle="1">
    <w:name w:val="Основной текст с отступом 2 Знак"/>
    <w:link w:val="26"/>
    <w:qFormat/>
    <w:rsid w:val="00c024d4"/>
    <w:rPr>
      <w:sz w:val="24"/>
      <w:szCs w:val="24"/>
    </w:rPr>
  </w:style>
  <w:style w:type="character" w:styleId="Style6">
    <w:name w:val="Интернет-ссылка"/>
    <w:uiPriority w:val="99"/>
    <w:rsid w:val="00c024d4"/>
    <w:rPr>
      <w:color w:val="0000FF"/>
      <w:u w:val="single"/>
    </w:rPr>
  </w:style>
  <w:style w:type="character" w:styleId="32" w:customStyle="1">
    <w:name w:val="Основной текст с отступом 3 Знак"/>
    <w:link w:val="35"/>
    <w:qFormat/>
    <w:rsid w:val="00c024d4"/>
    <w:rPr>
      <w:sz w:val="24"/>
      <w:szCs w:val="24"/>
    </w:rPr>
  </w:style>
  <w:style w:type="character" w:styleId="Style7" w:customStyle="1">
    <w:name w:val="Текст Знак"/>
    <w:link w:val="ac"/>
    <w:qFormat/>
    <w:rsid w:val="00c024d4"/>
    <w:rPr>
      <w:rFonts w:ascii="Courier New" w:hAnsi="Courier New" w:cs="Courier New"/>
    </w:rPr>
  </w:style>
  <w:style w:type="character" w:styleId="23" w:customStyle="1">
    <w:name w:val="Основной текст 2 Знак"/>
    <w:link w:val="21"/>
    <w:qFormat/>
    <w:rsid w:val="00c024d4"/>
    <w:rPr>
      <w:sz w:val="24"/>
    </w:rPr>
  </w:style>
  <w:style w:type="character" w:styleId="Pagenumber">
    <w:name w:val="page number"/>
    <w:qFormat/>
    <w:rsid w:val="00c024d4"/>
    <w:rPr>
      <w:rFonts w:ascii="Times New Roman" w:hAnsi="Times New Roman"/>
    </w:rPr>
  </w:style>
  <w:style w:type="character" w:styleId="24" w:customStyle="1">
    <w:name w:val="Заголовок 2 со списком Знак"/>
    <w:link w:val="22"/>
    <w:qFormat/>
    <w:rsid w:val="00ef68af"/>
    <w:rPr>
      <w:bCs/>
      <w:sz w:val="24"/>
      <w:szCs w:val="24"/>
    </w:rPr>
  </w:style>
  <w:style w:type="character" w:styleId="33" w:customStyle="1">
    <w:name w:val="Заголовок 3 со списком Знак"/>
    <w:link w:val="31"/>
    <w:qFormat/>
    <w:rsid w:val="005d6d38"/>
    <w:rPr>
      <w:rFonts w:ascii="Arial" w:hAnsi="Arial"/>
      <w:b/>
      <w:sz w:val="24"/>
    </w:rPr>
  </w:style>
  <w:style w:type="character" w:styleId="Style8" w:customStyle="1">
    <w:name w:val="Нижний колонтитул Знак"/>
    <w:link w:val="af2"/>
    <w:uiPriority w:val="99"/>
    <w:qFormat/>
    <w:rsid w:val="00c024d4"/>
    <w:rPr>
      <w:sz w:val="24"/>
      <w:szCs w:val="24"/>
    </w:rPr>
  </w:style>
  <w:style w:type="character" w:styleId="Style9" w:customStyle="1">
    <w:name w:val="Верхний колонтитул Знак"/>
    <w:link w:val="af4"/>
    <w:qFormat/>
    <w:rsid w:val="00c024d4"/>
    <w:rPr>
      <w:sz w:val="24"/>
      <w:szCs w:val="24"/>
    </w:rPr>
  </w:style>
  <w:style w:type="character" w:styleId="Style10" w:customStyle="1">
    <w:name w:val="Основной текст Знак"/>
    <w:link w:val="af6"/>
    <w:qFormat/>
    <w:rsid w:val="00c024d4"/>
    <w:rPr>
      <w:sz w:val="24"/>
      <w:szCs w:val="24"/>
    </w:rPr>
  </w:style>
  <w:style w:type="character" w:styleId="34" w:customStyle="1">
    <w:name w:val="Основной текст 3 Знак"/>
    <w:link w:val="3a"/>
    <w:qFormat/>
    <w:rsid w:val="00c024d4"/>
    <w:rPr>
      <w:b/>
      <w:i/>
      <w:sz w:val="22"/>
      <w:szCs w:val="24"/>
    </w:rPr>
  </w:style>
  <w:style w:type="character" w:styleId="Style11" w:customStyle="1">
    <w:name w:val="Основной шрифт"/>
    <w:semiHidden/>
    <w:qFormat/>
    <w:rsid w:val="00c024d4"/>
    <w:rPr/>
  </w:style>
  <w:style w:type="character" w:styleId="FollowedHyperlink">
    <w:name w:val="FollowedHyperlink"/>
    <w:qFormat/>
    <w:rsid w:val="00c024d4"/>
    <w:rPr>
      <w:color w:val="800080"/>
      <w:u w:val="single"/>
    </w:rPr>
  </w:style>
  <w:style w:type="character" w:styleId="Style12" w:customStyle="1">
    <w:name w:val="ТЛ_Заказчик Знак"/>
    <w:link w:val="afb"/>
    <w:qFormat/>
    <w:rsid w:val="00c024d4"/>
    <w:rPr>
      <w:sz w:val="28"/>
      <w:szCs w:val="28"/>
    </w:rPr>
  </w:style>
  <w:style w:type="character" w:styleId="Style13" w:customStyle="1">
    <w:name w:val="ТЛ_Утверждаю Знак"/>
    <w:link w:val="afd"/>
    <w:qFormat/>
    <w:rsid w:val="00c024d4"/>
    <w:rPr>
      <w:sz w:val="28"/>
      <w:szCs w:val="28"/>
    </w:rPr>
  </w:style>
  <w:style w:type="character" w:styleId="Style14" w:customStyle="1">
    <w:name w:val="ТЛ_Название Знак"/>
    <w:link w:val="aff"/>
    <w:qFormat/>
    <w:rsid w:val="00c024d4"/>
    <w:rPr>
      <w:b/>
      <w:sz w:val="28"/>
      <w:szCs w:val="28"/>
    </w:rPr>
  </w:style>
  <w:style w:type="character" w:styleId="Style15" w:customStyle="1">
    <w:name w:val="ТЛ_Город и Дата Знак"/>
    <w:link w:val="aff1"/>
    <w:qFormat/>
    <w:rsid w:val="00c024d4"/>
    <w:rPr>
      <w:sz w:val="28"/>
      <w:szCs w:val="28"/>
    </w:rPr>
  </w:style>
  <w:style w:type="character" w:styleId="Style16" w:customStyle="1">
    <w:name w:val="АД_Наименование Разделов Знак"/>
    <w:link w:val="aff3"/>
    <w:qFormat/>
    <w:rsid w:val="00c024d4"/>
    <w:rPr>
      <w:b/>
      <w:kern w:val="2"/>
      <w:sz w:val="28"/>
    </w:rPr>
  </w:style>
  <w:style w:type="character" w:styleId="Style17" w:customStyle="1">
    <w:name w:val="АД_Наименование главы без нумерации Знак"/>
    <w:basedOn w:val="21"/>
    <w:link w:val="aff7"/>
    <w:qFormat/>
    <w:rsid w:val="005d6d38"/>
    <w:rPr>
      <w:b/>
      <w:bCs/>
      <w:sz w:val="24"/>
      <w:szCs w:val="24"/>
    </w:rPr>
  </w:style>
  <w:style w:type="character" w:styleId="Style18" w:customStyle="1">
    <w:name w:val="АД_Глава Знак"/>
    <w:basedOn w:val="24"/>
    <w:link w:val="aff5"/>
    <w:qFormat/>
    <w:rsid w:val="00ef68af"/>
    <w:rPr>
      <w:bCs/>
      <w:sz w:val="24"/>
      <w:szCs w:val="24"/>
    </w:rPr>
  </w:style>
  <w:style w:type="character" w:styleId="Style19" w:customStyle="1">
    <w:name w:val="АД_Нумерованный пункт Знак"/>
    <w:basedOn w:val="33"/>
    <w:link w:val="aff9"/>
    <w:qFormat/>
    <w:rsid w:val="005d6d38"/>
    <w:rPr>
      <w:rFonts w:ascii="Arial" w:hAnsi="Arial"/>
      <w:b/>
      <w:sz w:val="24"/>
    </w:rPr>
  </w:style>
  <w:style w:type="character" w:styleId="Style20" w:customStyle="1">
    <w:name w:val="АД_Нумерованный подпункт Знак"/>
    <w:link w:val="a3"/>
    <w:qFormat/>
    <w:rsid w:val="00b93edb"/>
    <w:rPr>
      <w:sz w:val="24"/>
      <w:szCs w:val="24"/>
    </w:rPr>
  </w:style>
  <w:style w:type="character" w:styleId="Style21" w:customStyle="1">
    <w:name w:val="АД_Основной текст Знак"/>
    <w:link w:val="affc"/>
    <w:qFormat/>
    <w:rsid w:val="00b907b1"/>
    <w:rPr>
      <w:sz w:val="24"/>
      <w:szCs w:val="24"/>
    </w:rPr>
  </w:style>
  <w:style w:type="character" w:styleId="Style22" w:customStyle="1">
    <w:name w:val="Текст выноски Знак"/>
    <w:link w:val="afff0"/>
    <w:qFormat/>
    <w:rsid w:val="005e7a15"/>
    <w:rPr>
      <w:rFonts w:ascii="Tahoma" w:hAnsi="Tahoma" w:cs="Tahoma"/>
      <w:sz w:val="16"/>
      <w:szCs w:val="16"/>
    </w:rPr>
  </w:style>
  <w:style w:type="character" w:styleId="Style23" w:customStyle="1">
    <w:name w:val="АД_Основной текст по центру полужирный Знак"/>
    <w:link w:val="afff2"/>
    <w:qFormat/>
    <w:rsid w:val="00727f86"/>
    <w:rPr>
      <w:b/>
      <w:sz w:val="24"/>
      <w:szCs w:val="24"/>
    </w:rPr>
  </w:style>
  <w:style w:type="character" w:styleId="35" w:customStyle="1">
    <w:name w:val="АД_Текст отступ 3 Знак"/>
    <w:link w:val="3c"/>
    <w:qFormat/>
    <w:rsid w:val="00ef71dc"/>
    <w:rPr>
      <w:sz w:val="24"/>
      <w:szCs w:val="24"/>
    </w:rPr>
  </w:style>
  <w:style w:type="character" w:styleId="42" w:customStyle="1">
    <w:name w:val="АД_Нумерованный подпункт 4 уровня Знак"/>
    <w:basedOn w:val="Style20"/>
    <w:link w:val="40"/>
    <w:qFormat/>
    <w:rsid w:val="00b93edb"/>
    <w:rPr>
      <w:sz w:val="24"/>
      <w:szCs w:val="24"/>
    </w:rPr>
  </w:style>
  <w:style w:type="character" w:styleId="36" w:customStyle="1">
    <w:name w:val="Заголовок 3 Знак"/>
    <w:uiPriority w:val="99"/>
    <w:qFormat/>
    <w:rsid w:val="007c78ed"/>
    <w:rPr>
      <w:rFonts w:ascii="Arial" w:hAnsi="Arial" w:cs="Arial"/>
      <w:b/>
      <w:bCs/>
      <w:sz w:val="26"/>
      <w:szCs w:val="26"/>
      <w:lang w:val="ru-RU" w:eastAsia="ru-RU" w:bidi="ar-SA"/>
    </w:rPr>
  </w:style>
  <w:style w:type="character" w:styleId="19" w:customStyle="1">
    <w:name w:val="Знак Знак19"/>
    <w:qFormat/>
    <w:rsid w:val="00201b9b"/>
    <w:rPr>
      <w:b/>
      <w:kern w:val="2"/>
      <w:sz w:val="36"/>
    </w:rPr>
  </w:style>
  <w:style w:type="character" w:styleId="ConsPlusNormal" w:customStyle="1">
    <w:name w:val="ConsPlusNormal Знак"/>
    <w:link w:val="ConsPlusNormal"/>
    <w:qFormat/>
    <w:locked/>
    <w:rsid w:val="007e3af9"/>
    <w:rPr>
      <w:rFonts w:ascii="Arial" w:hAnsi="Arial" w:cs="Arial"/>
      <w:lang w:val="ru-RU" w:eastAsia="ru-RU" w:bidi="ar-SA"/>
    </w:rPr>
  </w:style>
  <w:style w:type="character" w:styleId="ConsNormal1" w:customStyle="1">
    <w:name w:val="ConsNormal Знак Знак1"/>
    <w:link w:val="ConsNormal0"/>
    <w:uiPriority w:val="99"/>
    <w:qFormat/>
    <w:rsid w:val="007e3af9"/>
    <w:rPr>
      <w:rFonts w:ascii="Arial" w:hAnsi="Arial"/>
      <w:lang w:val="ru-RU" w:eastAsia="ru-RU" w:bidi="ar-SA"/>
    </w:rPr>
  </w:style>
  <w:style w:type="character" w:styleId="Style24" w:customStyle="1">
    <w:name w:val="Текст сноски Знак"/>
    <w:basedOn w:val="DefaultParagraphFont"/>
    <w:link w:val="afff7"/>
    <w:semiHidden/>
    <w:qFormat/>
    <w:locked/>
    <w:rsid w:val="00344b4c"/>
    <w:rPr/>
  </w:style>
  <w:style w:type="character" w:styleId="Default" w:customStyle="1">
    <w:name w:val="Default Знак"/>
    <w:link w:val="Default"/>
    <w:qFormat/>
    <w:locked/>
    <w:rsid w:val="006a5249"/>
    <w:rPr>
      <w:rFonts w:ascii="GaramondC" w:hAnsi="GaramondC"/>
      <w:color w:val="000000"/>
      <w:sz w:val="24"/>
      <w:szCs w:val="24"/>
      <w:lang w:val="ru-RU" w:eastAsia="ru-RU" w:bidi="ar-SA"/>
    </w:rPr>
  </w:style>
  <w:style w:type="character" w:styleId="Applestylespan" w:customStyle="1">
    <w:name w:val="apple-style-span"/>
    <w:qFormat/>
    <w:rsid w:val="00ef44af"/>
    <w:rPr/>
  </w:style>
  <w:style w:type="character" w:styleId="37" w:customStyle="1">
    <w:name w:val="Стиль3 Знак Знак Знак Знак"/>
    <w:link w:val="3f0"/>
    <w:uiPriority w:val="99"/>
    <w:qFormat/>
    <w:locked/>
    <w:rsid w:val="00680f4d"/>
    <w:rPr>
      <w:rFonts w:eastAsia="Calibri"/>
    </w:rPr>
  </w:style>
  <w:style w:type="character" w:styleId="BodyTextIndentChar" w:customStyle="1">
    <w:name w:val="Body Text Indent Char"/>
    <w:qFormat/>
    <w:locked/>
    <w:rsid w:val="0027100e"/>
    <w:rPr>
      <w:rFonts w:cs="Times New Roman"/>
      <w:sz w:val="24"/>
      <w:szCs w:val="24"/>
    </w:rPr>
  </w:style>
  <w:style w:type="character" w:styleId="Style25">
    <w:name w:val="Привязка сноски"/>
    <w:rPr>
      <w:vertAlign w:val="superscript"/>
    </w:rPr>
  </w:style>
  <w:style w:type="character" w:styleId="FootnoteCharacters">
    <w:name w:val="Footnote Characters"/>
    <w:basedOn w:val="DefaultParagraphFont"/>
    <w:uiPriority w:val="99"/>
    <w:qFormat/>
    <w:rsid w:val="002d4252"/>
    <w:rPr>
      <w:vertAlign w:val="superscript"/>
    </w:rPr>
  </w:style>
  <w:style w:type="character" w:styleId="12" w:customStyle="1">
    <w:name w:val="Текст сноски Знак1"/>
    <w:basedOn w:val="DefaultParagraphFont"/>
    <w:qFormat/>
    <w:rsid w:val="002d4252"/>
    <w:rPr>
      <w:rFonts w:eastAsia="Times New Roman" w:cs="Times New Roman"/>
      <w:sz w:val="20"/>
      <w:szCs w:val="20"/>
      <w:lang w:eastAsia="ru-RU"/>
    </w:rPr>
  </w:style>
  <w:style w:type="character" w:styleId="FontStyle23" w:customStyle="1">
    <w:name w:val="Font Style23"/>
    <w:basedOn w:val="DefaultParagraphFont"/>
    <w:uiPriority w:val="99"/>
    <w:qFormat/>
    <w:rsid w:val="002d4252"/>
    <w:rPr>
      <w:rFonts w:ascii="Times New Roman" w:hAnsi="Times New Roman" w:cs="Times New Roman"/>
      <w:sz w:val="24"/>
      <w:szCs w:val="24"/>
    </w:rPr>
  </w:style>
  <w:style w:type="character" w:styleId="Style26">
    <w:name w:val="Символ сноски"/>
    <w:qFormat/>
    <w:rPr/>
  </w:style>
  <w:style w:type="character" w:styleId="Style27">
    <w:name w:val="Привязка концевой сноски"/>
    <w:rPr>
      <w:vertAlign w:val="superscript"/>
    </w:rPr>
  </w:style>
  <w:style w:type="character" w:styleId="Style28">
    <w:name w:val="Символ концевой сноски"/>
    <w:qFormat/>
    <w:rPr/>
  </w:style>
  <w:style w:type="paragraph" w:styleId="Style29" w:customStyle="1">
    <w:name w:val="Заголовок"/>
    <w:next w:val="Style30"/>
    <w:qFormat/>
    <w:rsid w:val="009320f8"/>
    <w:pPr>
      <w:widowControl/>
      <w:bidi w:val="0"/>
      <w:jc w:val="left"/>
    </w:pPr>
    <w:rPr>
      <w:rFonts w:ascii="Arial" w:hAnsi="Arial" w:eastAsia="Times New Roman" w:cs="Times New Roman"/>
      <w:b/>
      <w:color w:val="auto"/>
      <w:kern w:val="0"/>
      <w:sz w:val="22"/>
      <w:szCs w:val="20"/>
      <w:lang w:val="ru-RU" w:eastAsia="ru-RU" w:bidi="ar-SA"/>
    </w:rPr>
  </w:style>
  <w:style w:type="paragraph" w:styleId="Style30">
    <w:name w:val="Body Text"/>
    <w:basedOn w:val="Normal"/>
    <w:link w:val="af7"/>
    <w:rsid w:val="00c024d4"/>
    <w:pPr>
      <w:spacing w:before="0" w:after="120"/>
    </w:pPr>
    <w:rPr/>
  </w:style>
  <w:style w:type="paragraph" w:styleId="Style31">
    <w:name w:val="List"/>
    <w:basedOn w:val="Style30"/>
    <w:pPr/>
    <w:rPr>
      <w:rFonts w:cs="Arial"/>
    </w:rPr>
  </w:style>
  <w:style w:type="paragraph" w:styleId="Style32">
    <w:name w:val="Caption"/>
    <w:basedOn w:val="Normal"/>
    <w:qFormat/>
    <w:pPr>
      <w:suppressLineNumbers/>
      <w:spacing w:before="120" w:after="120"/>
    </w:pPr>
    <w:rPr>
      <w:rFonts w:cs="Arial"/>
      <w:i/>
      <w:iCs/>
      <w:sz w:val="24"/>
      <w:szCs w:val="24"/>
    </w:rPr>
  </w:style>
  <w:style w:type="paragraph" w:styleId="Style33">
    <w:name w:val="Указатель"/>
    <w:basedOn w:val="Normal"/>
    <w:qFormat/>
    <w:pPr>
      <w:suppressLineNumbers/>
    </w:pPr>
    <w:rPr>
      <w:rFonts w:cs="Arial"/>
    </w:rPr>
  </w:style>
  <w:style w:type="paragraph" w:styleId="Style34">
    <w:name w:val="Body Text Indent"/>
    <w:basedOn w:val="Normal"/>
    <w:link w:val="aa"/>
    <w:uiPriority w:val="99"/>
    <w:rsid w:val="00c024d4"/>
    <w:pPr>
      <w:ind w:left="5760" w:hanging="0"/>
    </w:pPr>
    <w:rPr/>
  </w:style>
  <w:style w:type="paragraph" w:styleId="13" w:customStyle="1">
    <w:name w:val="Стиль1"/>
    <w:basedOn w:val="Normal"/>
    <w:qFormat/>
    <w:rsid w:val="00c024d4"/>
    <w:pPr>
      <w:keepNext w:val="true"/>
      <w:keepLines/>
      <w:widowControl w:val="false"/>
      <w:suppressLineNumbers/>
      <w:suppressAutoHyphens w:val="true"/>
      <w:spacing w:before="0" w:after="60"/>
    </w:pPr>
    <w:rPr>
      <w:b/>
      <w:sz w:val="28"/>
    </w:rPr>
  </w:style>
  <w:style w:type="paragraph" w:styleId="25" w:customStyle="1">
    <w:name w:val="Стиль2"/>
    <w:basedOn w:val="ListNumber2"/>
    <w:uiPriority w:val="99"/>
    <w:qFormat/>
    <w:rsid w:val="00c024d4"/>
    <w:pPr>
      <w:keepNext w:val="true"/>
      <w:keepLines/>
      <w:widowControl w:val="false"/>
      <w:suppressLineNumbers/>
      <w:suppressAutoHyphens w:val="true"/>
      <w:spacing w:before="0" w:after="60"/>
    </w:pPr>
    <w:rPr>
      <w:b/>
      <w:szCs w:val="20"/>
    </w:rPr>
  </w:style>
  <w:style w:type="paragraph" w:styleId="ListNumber2">
    <w:name w:val="List Number 2"/>
    <w:basedOn w:val="Normal"/>
    <w:qFormat/>
    <w:rsid w:val="00c024d4"/>
    <w:pPr/>
    <w:rPr/>
  </w:style>
  <w:style w:type="paragraph" w:styleId="38" w:customStyle="1">
    <w:name w:val="Стиль3 Знак"/>
    <w:basedOn w:val="BodyTextIndent2"/>
    <w:qFormat/>
    <w:rsid w:val="00c024d4"/>
    <w:pPr>
      <w:widowControl w:val="false"/>
      <w:spacing w:lineRule="auto" w:line="240" w:before="0" w:after="0"/>
      <w:textAlignment w:val="baseline"/>
    </w:pPr>
    <w:rPr>
      <w:szCs w:val="20"/>
    </w:rPr>
  </w:style>
  <w:style w:type="paragraph" w:styleId="BodyTextIndent2">
    <w:name w:val="Body Text Indent 2"/>
    <w:basedOn w:val="Normal"/>
    <w:link w:val="27"/>
    <w:qFormat/>
    <w:rsid w:val="00c024d4"/>
    <w:pPr>
      <w:spacing w:lineRule="auto" w:line="480" w:before="0" w:after="120"/>
      <w:ind w:left="283" w:hanging="0"/>
    </w:pPr>
    <w:rPr/>
  </w:style>
  <w:style w:type="paragraph" w:styleId="ConsNormal" w:customStyle="1">
    <w:name w:val="ConsNormal"/>
    <w:uiPriority w:val="99"/>
    <w:qFormat/>
    <w:rsid w:val="00c024d4"/>
    <w:pPr>
      <w:widowControl w:val="false"/>
      <w:bidi w:val="0"/>
      <w:ind w:left="709" w:right="19772" w:firstLine="720"/>
      <w:jc w:val="both"/>
    </w:pPr>
    <w:rPr>
      <w:rFonts w:ascii="Arial" w:hAnsi="Arial" w:eastAsia="Times New Roman" w:cs="Arial"/>
      <w:color w:val="auto"/>
      <w:kern w:val="0"/>
      <w:sz w:val="24"/>
      <w:szCs w:val="20"/>
      <w:lang w:val="ru-RU" w:eastAsia="ru-RU" w:bidi="ar-SA"/>
    </w:rPr>
  </w:style>
  <w:style w:type="paragraph" w:styleId="26">
    <w:name w:val="TOC 2"/>
    <w:basedOn w:val="Normal"/>
    <w:next w:val="Normal"/>
    <w:autoRedefine/>
    <w:uiPriority w:val="39"/>
    <w:rsid w:val="00040415"/>
    <w:pPr>
      <w:tabs>
        <w:tab w:val="clear" w:pos="709"/>
        <w:tab w:val="left" w:pos="720" w:leader="none"/>
        <w:tab w:val="right" w:pos="9720" w:leader="dot"/>
      </w:tabs>
      <w:ind w:left="240" w:hanging="0"/>
      <w:jc w:val="left"/>
    </w:pPr>
    <w:rPr>
      <w:smallCaps/>
      <w:sz w:val="20"/>
      <w:szCs w:val="20"/>
    </w:rPr>
  </w:style>
  <w:style w:type="paragraph" w:styleId="ListBullet2">
    <w:name w:val="List Bullet 2"/>
    <w:basedOn w:val="Normal"/>
    <w:autoRedefine/>
    <w:qFormat/>
    <w:rsid w:val="00c024d4"/>
    <w:pPr>
      <w:spacing w:before="0" w:after="60"/>
    </w:pPr>
    <w:rPr>
      <w:szCs w:val="20"/>
    </w:rPr>
  </w:style>
  <w:style w:type="paragraph" w:styleId="BodyTextIndent3">
    <w:name w:val="Body Text Indent 3"/>
    <w:basedOn w:val="Normal"/>
    <w:link w:val="36"/>
    <w:qFormat/>
    <w:rsid w:val="00c024d4"/>
    <w:pPr>
      <w:keepNext w:val="true"/>
      <w:keepLines/>
      <w:widowControl w:val="false"/>
      <w:suppressLineNumbers/>
      <w:tabs>
        <w:tab w:val="clear" w:pos="709"/>
        <w:tab w:val="left" w:pos="252" w:leader="none"/>
      </w:tabs>
      <w:suppressAutoHyphens w:val="true"/>
      <w:ind w:left="720" w:hanging="0"/>
    </w:pPr>
    <w:rPr/>
  </w:style>
  <w:style w:type="paragraph" w:styleId="14">
    <w:name w:val="TOC 1"/>
    <w:basedOn w:val="Normal"/>
    <w:next w:val="Normal"/>
    <w:autoRedefine/>
    <w:uiPriority w:val="39"/>
    <w:rsid w:val="00626baa"/>
    <w:pPr>
      <w:keepNext w:val="true"/>
      <w:keepLines/>
      <w:widowControl w:val="false"/>
      <w:suppressLineNumbers/>
      <w:tabs>
        <w:tab w:val="clear" w:pos="709"/>
        <w:tab w:val="right" w:pos="9720" w:leader="dot"/>
      </w:tabs>
      <w:suppressAutoHyphens w:val="true"/>
      <w:spacing w:before="120" w:after="120"/>
    </w:pPr>
    <w:rPr>
      <w:bCs/>
      <w:caps/>
    </w:rPr>
  </w:style>
  <w:style w:type="paragraph" w:styleId="39">
    <w:name w:val="TOC 3"/>
    <w:basedOn w:val="Normal"/>
    <w:next w:val="Normal"/>
    <w:autoRedefine/>
    <w:uiPriority w:val="39"/>
    <w:rsid w:val="00a511b1"/>
    <w:pPr>
      <w:tabs>
        <w:tab w:val="clear" w:pos="709"/>
        <w:tab w:val="left" w:pos="1200" w:leader="none"/>
        <w:tab w:val="right" w:pos="9720" w:leader="dot"/>
      </w:tabs>
      <w:ind w:left="480" w:hanging="0"/>
      <w:jc w:val="left"/>
    </w:pPr>
    <w:rPr>
      <w:i/>
      <w:iCs/>
      <w:sz w:val="20"/>
      <w:szCs w:val="20"/>
    </w:rPr>
  </w:style>
  <w:style w:type="paragraph" w:styleId="43">
    <w:name w:val="TOC 4"/>
    <w:basedOn w:val="Normal"/>
    <w:next w:val="Normal"/>
    <w:autoRedefine/>
    <w:rsid w:val="00c024d4"/>
    <w:pPr>
      <w:ind w:left="720" w:hanging="0"/>
    </w:pPr>
    <w:rPr>
      <w:sz w:val="18"/>
      <w:szCs w:val="18"/>
    </w:rPr>
  </w:style>
  <w:style w:type="paragraph" w:styleId="52">
    <w:name w:val="TOC 5"/>
    <w:basedOn w:val="Normal"/>
    <w:next w:val="Normal"/>
    <w:autoRedefine/>
    <w:rsid w:val="00c024d4"/>
    <w:pPr>
      <w:ind w:left="960" w:hanging="0"/>
    </w:pPr>
    <w:rPr>
      <w:sz w:val="18"/>
      <w:szCs w:val="18"/>
    </w:rPr>
  </w:style>
  <w:style w:type="paragraph" w:styleId="62">
    <w:name w:val="TOC 6"/>
    <w:basedOn w:val="Normal"/>
    <w:next w:val="Normal"/>
    <w:autoRedefine/>
    <w:rsid w:val="00c024d4"/>
    <w:pPr>
      <w:ind w:left="1200" w:hanging="0"/>
    </w:pPr>
    <w:rPr>
      <w:sz w:val="18"/>
      <w:szCs w:val="18"/>
    </w:rPr>
  </w:style>
  <w:style w:type="paragraph" w:styleId="72">
    <w:name w:val="TOC 7"/>
    <w:basedOn w:val="Normal"/>
    <w:next w:val="Normal"/>
    <w:autoRedefine/>
    <w:rsid w:val="00c024d4"/>
    <w:pPr>
      <w:ind w:left="1440" w:hanging="0"/>
    </w:pPr>
    <w:rPr>
      <w:sz w:val="18"/>
      <w:szCs w:val="18"/>
    </w:rPr>
  </w:style>
  <w:style w:type="paragraph" w:styleId="82">
    <w:name w:val="TOC 8"/>
    <w:basedOn w:val="Normal"/>
    <w:next w:val="Normal"/>
    <w:autoRedefine/>
    <w:rsid w:val="00c024d4"/>
    <w:pPr>
      <w:ind w:left="1680" w:hanging="0"/>
    </w:pPr>
    <w:rPr>
      <w:sz w:val="18"/>
      <w:szCs w:val="18"/>
    </w:rPr>
  </w:style>
  <w:style w:type="paragraph" w:styleId="92">
    <w:name w:val="TOC 9"/>
    <w:basedOn w:val="Normal"/>
    <w:next w:val="Normal"/>
    <w:autoRedefine/>
    <w:rsid w:val="00c024d4"/>
    <w:pPr>
      <w:ind w:left="1920" w:hanging="0"/>
    </w:pPr>
    <w:rPr>
      <w:sz w:val="18"/>
      <w:szCs w:val="18"/>
    </w:rPr>
  </w:style>
  <w:style w:type="paragraph" w:styleId="PlainText">
    <w:name w:val="Plain Text"/>
    <w:basedOn w:val="Normal"/>
    <w:link w:val="ad"/>
    <w:qFormat/>
    <w:rsid w:val="00c024d4"/>
    <w:pPr/>
    <w:rPr>
      <w:rFonts w:ascii="Courier New" w:hAnsi="Courier New"/>
      <w:sz w:val="20"/>
      <w:szCs w:val="20"/>
    </w:rPr>
  </w:style>
  <w:style w:type="paragraph" w:styleId="BodyText2">
    <w:name w:val="Body Text 2"/>
    <w:basedOn w:val="Normal"/>
    <w:link w:val="29"/>
    <w:qFormat/>
    <w:rsid w:val="00c024d4"/>
    <w:pPr>
      <w:spacing w:before="0" w:after="60"/>
    </w:pPr>
    <w:rPr>
      <w:szCs w:val="20"/>
    </w:rPr>
  </w:style>
  <w:style w:type="paragraph" w:styleId="ListBullet3">
    <w:name w:val="List Bullet 3"/>
    <w:basedOn w:val="Normal"/>
    <w:autoRedefine/>
    <w:qFormat/>
    <w:rsid w:val="00c024d4"/>
    <w:pPr>
      <w:spacing w:before="0" w:after="60"/>
    </w:pPr>
    <w:rPr>
      <w:szCs w:val="20"/>
    </w:rPr>
  </w:style>
  <w:style w:type="paragraph" w:styleId="ListBullet4">
    <w:name w:val="List Bullet 4"/>
    <w:basedOn w:val="Normal"/>
    <w:autoRedefine/>
    <w:qFormat/>
    <w:rsid w:val="00c024d4"/>
    <w:pPr>
      <w:tabs>
        <w:tab w:val="clear" w:pos="709"/>
        <w:tab w:val="left" w:pos="1209" w:leader="none"/>
      </w:tabs>
      <w:spacing w:before="0" w:after="60"/>
      <w:ind w:left="1209" w:hanging="360"/>
    </w:pPr>
    <w:rPr>
      <w:szCs w:val="20"/>
    </w:rPr>
  </w:style>
  <w:style w:type="paragraph" w:styleId="ListBullet5">
    <w:name w:val="List Bullet 5"/>
    <w:basedOn w:val="Normal"/>
    <w:autoRedefine/>
    <w:qFormat/>
    <w:rsid w:val="00c024d4"/>
    <w:pPr>
      <w:tabs>
        <w:tab w:val="clear" w:pos="709"/>
        <w:tab w:val="left" w:pos="1492" w:leader="none"/>
      </w:tabs>
      <w:spacing w:before="0" w:after="60"/>
      <w:ind w:left="1492" w:hanging="0"/>
    </w:pPr>
    <w:rPr>
      <w:szCs w:val="20"/>
    </w:rPr>
  </w:style>
  <w:style w:type="paragraph" w:styleId="ListNumber">
    <w:name w:val="List Number"/>
    <w:basedOn w:val="Normal"/>
    <w:qFormat/>
    <w:rsid w:val="00c024d4"/>
    <w:pPr>
      <w:tabs>
        <w:tab w:val="clear" w:pos="709"/>
        <w:tab w:val="left" w:pos="360" w:leader="none"/>
      </w:tabs>
      <w:spacing w:before="0" w:after="60"/>
      <w:ind w:left="360" w:hanging="0"/>
    </w:pPr>
    <w:rPr>
      <w:szCs w:val="20"/>
    </w:rPr>
  </w:style>
  <w:style w:type="paragraph" w:styleId="ListNumber3">
    <w:name w:val="List Number 3"/>
    <w:basedOn w:val="Normal"/>
    <w:qFormat/>
    <w:rsid w:val="00c024d4"/>
    <w:pPr>
      <w:tabs>
        <w:tab w:val="clear" w:pos="709"/>
        <w:tab w:val="left" w:pos="926" w:leader="none"/>
      </w:tabs>
      <w:spacing w:before="0" w:after="60"/>
      <w:ind w:left="926" w:hanging="0"/>
    </w:pPr>
    <w:rPr>
      <w:szCs w:val="20"/>
    </w:rPr>
  </w:style>
  <w:style w:type="paragraph" w:styleId="ListNumber4">
    <w:name w:val="List Number 4"/>
    <w:basedOn w:val="Normal"/>
    <w:qFormat/>
    <w:rsid w:val="00c024d4"/>
    <w:pPr>
      <w:tabs>
        <w:tab w:val="clear" w:pos="709"/>
        <w:tab w:val="left" w:pos="1209" w:leader="none"/>
      </w:tabs>
      <w:spacing w:before="0" w:after="60"/>
      <w:ind w:left="1209" w:hanging="0"/>
    </w:pPr>
    <w:rPr>
      <w:szCs w:val="20"/>
    </w:rPr>
  </w:style>
  <w:style w:type="paragraph" w:styleId="ListNumber5">
    <w:name w:val="List Number 5"/>
    <w:basedOn w:val="Normal"/>
    <w:qFormat/>
    <w:rsid w:val="00c024d4"/>
    <w:pPr>
      <w:tabs>
        <w:tab w:val="clear" w:pos="709"/>
        <w:tab w:val="left" w:pos="1492" w:leader="none"/>
      </w:tabs>
      <w:spacing w:before="0" w:after="60"/>
      <w:ind w:left="1492" w:hanging="0"/>
    </w:pPr>
    <w:rPr>
      <w:szCs w:val="20"/>
    </w:rPr>
  </w:style>
  <w:style w:type="paragraph" w:styleId="Style35" w:customStyle="1">
    <w:name w:val="Раздел"/>
    <w:basedOn w:val="Normal"/>
    <w:semiHidden/>
    <w:qFormat/>
    <w:rsid w:val="00c024d4"/>
    <w:pPr>
      <w:tabs>
        <w:tab w:val="clear" w:pos="709"/>
        <w:tab w:val="left" w:pos="1440" w:leader="none"/>
      </w:tabs>
      <w:spacing w:before="120" w:after="120"/>
      <w:ind w:left="720" w:hanging="720"/>
      <w:jc w:val="center"/>
    </w:pPr>
    <w:rPr>
      <w:rFonts w:ascii="Arial Narrow" w:hAnsi="Arial Narrow"/>
      <w:b/>
      <w:sz w:val="28"/>
      <w:szCs w:val="20"/>
    </w:rPr>
  </w:style>
  <w:style w:type="paragraph" w:styleId="310" w:customStyle="1">
    <w:name w:val="Раздел 3"/>
    <w:basedOn w:val="Normal"/>
    <w:semiHidden/>
    <w:qFormat/>
    <w:rsid w:val="00c024d4"/>
    <w:pPr>
      <w:tabs>
        <w:tab w:val="clear" w:pos="709"/>
        <w:tab w:val="left" w:pos="360" w:leader="none"/>
      </w:tabs>
      <w:spacing w:before="120" w:after="120"/>
      <w:ind w:left="360" w:hanging="360"/>
      <w:jc w:val="center"/>
    </w:pPr>
    <w:rPr>
      <w:b/>
      <w:szCs w:val="20"/>
    </w:rPr>
  </w:style>
  <w:style w:type="paragraph" w:styleId="Style36" w:customStyle="1">
    <w:name w:val="Условия контракта"/>
    <w:basedOn w:val="Normal"/>
    <w:semiHidden/>
    <w:qFormat/>
    <w:rsid w:val="00c024d4"/>
    <w:pPr>
      <w:spacing w:before="240" w:after="120"/>
    </w:pPr>
    <w:rPr>
      <w:b/>
      <w:szCs w:val="20"/>
    </w:rPr>
  </w:style>
  <w:style w:type="paragraph" w:styleId="Instruction" w:customStyle="1">
    <w:name w:val="Instruction"/>
    <w:basedOn w:val="BodyText2"/>
    <w:semiHidden/>
    <w:qFormat/>
    <w:rsid w:val="00c024d4"/>
    <w:pPr>
      <w:spacing w:before="180" w:after="60"/>
    </w:pPr>
    <w:rPr>
      <w:b/>
    </w:rPr>
  </w:style>
  <w:style w:type="paragraph" w:styleId="NormalWeb">
    <w:name w:val="Normal (Web)"/>
    <w:basedOn w:val="Normal"/>
    <w:qFormat/>
    <w:rsid w:val="00c024d4"/>
    <w:pPr>
      <w:spacing w:beforeAutospacing="1" w:afterAutospacing="1"/>
    </w:pPr>
    <w:rPr/>
  </w:style>
  <w:style w:type="paragraph" w:styleId="311" w:customStyle="1">
    <w:name w:val="Стиль3"/>
    <w:basedOn w:val="BodyTextIndent2"/>
    <w:uiPriority w:val="99"/>
    <w:qFormat/>
    <w:rsid w:val="00c024d4"/>
    <w:pPr>
      <w:widowControl w:val="false"/>
      <w:tabs>
        <w:tab w:val="clear" w:pos="709"/>
        <w:tab w:val="left" w:pos="1307" w:leader="none"/>
      </w:tabs>
      <w:spacing w:lineRule="auto" w:line="240" w:before="0" w:after="0"/>
      <w:ind w:left="1080" w:hanging="0"/>
      <w:textAlignment w:val="baseline"/>
    </w:pPr>
    <w:rPr>
      <w:szCs w:val="20"/>
    </w:rPr>
  </w:style>
  <w:style w:type="paragraph" w:styleId="211" w:customStyle="1">
    <w:name w:val="содержание2-11"/>
    <w:basedOn w:val="Normal"/>
    <w:qFormat/>
    <w:rsid w:val="00c024d4"/>
    <w:pPr>
      <w:spacing w:before="0" w:after="60"/>
    </w:pPr>
    <w:rPr/>
  </w:style>
  <w:style w:type="paragraph" w:styleId="ListBullet">
    <w:name w:val="List Bullet"/>
    <w:basedOn w:val="Normal"/>
    <w:autoRedefine/>
    <w:qFormat/>
    <w:rsid w:val="00c024d4"/>
    <w:pPr>
      <w:widowControl w:val="false"/>
      <w:spacing w:before="0" w:after="60"/>
    </w:pPr>
    <w:rPr/>
  </w:style>
  <w:style w:type="paragraph" w:styleId="Style37" w:customStyle="1">
    <w:name w:val="Тендерные данные"/>
    <w:basedOn w:val="Normal"/>
    <w:semiHidden/>
    <w:qFormat/>
    <w:rsid w:val="00c024d4"/>
    <w:pPr>
      <w:tabs>
        <w:tab w:val="clear" w:pos="709"/>
        <w:tab w:val="left" w:pos="1985" w:leader="none"/>
      </w:tabs>
      <w:spacing w:before="120" w:after="60"/>
    </w:pPr>
    <w:rPr>
      <w:b/>
      <w:szCs w:val="20"/>
    </w:rPr>
  </w:style>
  <w:style w:type="paragraph" w:styleId="27" w:customStyle="1">
    <w:name w:val="Заголовок 2 со списком"/>
    <w:basedOn w:val="2"/>
    <w:next w:val="Normal"/>
    <w:link w:val="2a"/>
    <w:qFormat/>
    <w:rsid w:val="00c024d4"/>
    <w:pPr>
      <w:spacing w:lineRule="auto" w:line="360"/>
    </w:pPr>
    <w:rPr>
      <w:b w:val="false"/>
    </w:rPr>
  </w:style>
  <w:style w:type="paragraph" w:styleId="312" w:customStyle="1">
    <w:name w:val="Заголовок 3 со списком"/>
    <w:basedOn w:val="3"/>
    <w:link w:val="39"/>
    <w:qFormat/>
    <w:rsid w:val="00c024d4"/>
    <w:pPr/>
    <w:rPr/>
  </w:style>
  <w:style w:type="paragraph" w:styleId="Style38">
    <w:name w:val="Верхний и нижний колонтитулы"/>
    <w:basedOn w:val="Normal"/>
    <w:qFormat/>
    <w:pPr/>
    <w:rPr/>
  </w:style>
  <w:style w:type="paragraph" w:styleId="Style39">
    <w:name w:val="Footer"/>
    <w:basedOn w:val="Normal"/>
    <w:link w:val="af3"/>
    <w:uiPriority w:val="99"/>
    <w:rsid w:val="00c024d4"/>
    <w:pPr>
      <w:tabs>
        <w:tab w:val="clear" w:pos="709"/>
        <w:tab w:val="center" w:pos="4677" w:leader="none"/>
        <w:tab w:val="right" w:pos="9355" w:leader="none"/>
      </w:tabs>
    </w:pPr>
    <w:rPr/>
  </w:style>
  <w:style w:type="paragraph" w:styleId="Style40">
    <w:name w:val="Header"/>
    <w:basedOn w:val="Normal"/>
    <w:link w:val="af5"/>
    <w:rsid w:val="00c024d4"/>
    <w:pPr>
      <w:tabs>
        <w:tab w:val="clear" w:pos="709"/>
        <w:tab w:val="center" w:pos="4677" w:leader="none"/>
        <w:tab w:val="right" w:pos="9355" w:leader="none"/>
      </w:tabs>
    </w:pPr>
    <w:rPr/>
  </w:style>
  <w:style w:type="paragraph" w:styleId="BodyText3">
    <w:name w:val="Body Text 3"/>
    <w:basedOn w:val="Normal"/>
    <w:link w:val="3b"/>
    <w:qFormat/>
    <w:rsid w:val="00c024d4"/>
    <w:pPr>
      <w:keepNext w:val="true"/>
      <w:keepLines/>
      <w:widowControl w:val="false"/>
      <w:suppressLineNumbers/>
      <w:tabs>
        <w:tab w:val="clear" w:pos="709"/>
        <w:tab w:val="left" w:pos="0" w:leader="none"/>
        <w:tab w:val="left" w:pos="567" w:leader="none"/>
        <w:tab w:val="left" w:pos="1133" w:leader="none"/>
        <w:tab w:val="left" w:pos="1699" w:leader="none"/>
        <w:tab w:val="left" w:pos="2266" w:leader="none"/>
        <w:tab w:val="left" w:pos="2832" w:leader="none"/>
        <w:tab w:val="left" w:pos="3399" w:leader="none"/>
        <w:tab w:val="left" w:pos="3965" w:leader="none"/>
        <w:tab w:val="left" w:pos="4531" w:leader="none"/>
        <w:tab w:val="left" w:pos="5098" w:leader="none"/>
        <w:tab w:val="left" w:pos="5664" w:leader="none"/>
        <w:tab w:val="left" w:pos="6231" w:leader="none"/>
        <w:tab w:val="left" w:pos="6797" w:leader="none"/>
        <w:tab w:val="left" w:pos="7363" w:leader="none"/>
        <w:tab w:val="left" w:pos="7930" w:leader="none"/>
        <w:tab w:val="left" w:pos="8496" w:leader="none"/>
        <w:tab w:val="left" w:pos="9063" w:leader="none"/>
      </w:tabs>
      <w:suppressAutoHyphens w:val="true"/>
      <w:spacing w:before="148" w:after="112"/>
    </w:pPr>
    <w:rPr>
      <w:b/>
      <w:i/>
      <w:sz w:val="22"/>
    </w:rPr>
  </w:style>
  <w:style w:type="paragraph" w:styleId="Style41" w:customStyle="1">
    <w:name w:val="текст таблицы"/>
    <w:basedOn w:val="Normal"/>
    <w:qFormat/>
    <w:rsid w:val="00c024d4"/>
    <w:pPr>
      <w:spacing w:before="120" w:after="0"/>
      <w:ind w:right="-102" w:hanging="0"/>
    </w:pPr>
    <w:rPr/>
  </w:style>
  <w:style w:type="paragraph" w:styleId="Style42" w:customStyle="1">
    <w:name w:val="ТЛ_Заказчик"/>
    <w:basedOn w:val="Normal"/>
    <w:link w:val="afc"/>
    <w:qFormat/>
    <w:rsid w:val="00c024d4"/>
    <w:pPr>
      <w:jc w:val="center"/>
    </w:pPr>
    <w:rPr>
      <w:sz w:val="28"/>
      <w:szCs w:val="28"/>
    </w:rPr>
  </w:style>
  <w:style w:type="paragraph" w:styleId="Style43" w:customStyle="1">
    <w:name w:val="ТЛ_Утверждаю"/>
    <w:basedOn w:val="Normal"/>
    <w:link w:val="afe"/>
    <w:qFormat/>
    <w:rsid w:val="00c024d4"/>
    <w:pPr>
      <w:ind w:left="4860" w:hanging="0"/>
      <w:jc w:val="center"/>
    </w:pPr>
    <w:rPr>
      <w:sz w:val="28"/>
      <w:szCs w:val="28"/>
    </w:rPr>
  </w:style>
  <w:style w:type="paragraph" w:styleId="Style44" w:customStyle="1">
    <w:name w:val="ТЛ_Название"/>
    <w:basedOn w:val="Normal"/>
    <w:link w:val="aff0"/>
    <w:qFormat/>
    <w:rsid w:val="00c024d4"/>
    <w:pPr>
      <w:jc w:val="center"/>
    </w:pPr>
    <w:rPr>
      <w:b/>
      <w:sz w:val="28"/>
      <w:szCs w:val="28"/>
    </w:rPr>
  </w:style>
  <w:style w:type="paragraph" w:styleId="Style45" w:customStyle="1">
    <w:name w:val="ТЛ_Город и Дата"/>
    <w:basedOn w:val="Normal"/>
    <w:link w:val="aff2"/>
    <w:qFormat/>
    <w:rsid w:val="00c024d4"/>
    <w:pPr>
      <w:jc w:val="center"/>
    </w:pPr>
    <w:rPr>
      <w:sz w:val="28"/>
      <w:szCs w:val="28"/>
    </w:rPr>
  </w:style>
  <w:style w:type="paragraph" w:styleId="Style46" w:customStyle="1">
    <w:name w:val="АД_Наименование Разделов"/>
    <w:basedOn w:val="1"/>
    <w:link w:val="aff4"/>
    <w:qFormat/>
    <w:rsid w:val="00c024d4"/>
    <w:pPr/>
    <w:rPr>
      <w:sz w:val="28"/>
    </w:rPr>
  </w:style>
  <w:style w:type="paragraph" w:styleId="Style47" w:customStyle="1">
    <w:name w:val="АД_Наименование главы с нумерацией"/>
    <w:basedOn w:val="27"/>
    <w:link w:val="aff6"/>
    <w:qFormat/>
    <w:rsid w:val="00ef68af"/>
    <w:pPr/>
    <w:rPr>
      <w:b/>
    </w:rPr>
  </w:style>
  <w:style w:type="paragraph" w:styleId="Style48" w:customStyle="1">
    <w:name w:val="АД_Наименование главы без нумерации"/>
    <w:basedOn w:val="2"/>
    <w:link w:val="aff8"/>
    <w:qFormat/>
    <w:rsid w:val="005d6d38"/>
    <w:pPr/>
    <w:rPr/>
  </w:style>
  <w:style w:type="paragraph" w:styleId="Style49" w:customStyle="1">
    <w:name w:val="АД_Нумерованный пункт"/>
    <w:basedOn w:val="312"/>
    <w:link w:val="affa"/>
    <w:qFormat/>
    <w:rsid w:val="005d6d38"/>
    <w:pPr>
      <w:tabs>
        <w:tab w:val="clear" w:pos="709"/>
        <w:tab w:val="left" w:pos="720" w:leader="none"/>
      </w:tabs>
      <w:ind w:left="720" w:hanging="720"/>
    </w:pPr>
    <w:rPr>
      <w:rFonts w:ascii="Times New Roman" w:hAnsi="Times New Roman"/>
    </w:rPr>
  </w:style>
  <w:style w:type="paragraph" w:styleId="Style50" w:customStyle="1">
    <w:name w:val="АД_Нумерованный подпункт"/>
    <w:basedOn w:val="Normal"/>
    <w:link w:val="affb"/>
    <w:qFormat/>
    <w:rsid w:val="00b93edb"/>
    <w:pPr>
      <w:tabs>
        <w:tab w:val="clear" w:pos="709"/>
        <w:tab w:val="left" w:pos="720" w:leader="none"/>
      </w:tabs>
      <w:ind w:left="720" w:hanging="720"/>
    </w:pPr>
    <w:rPr/>
  </w:style>
  <w:style w:type="paragraph" w:styleId="Style51" w:customStyle="1">
    <w:name w:val="АД_Основной текст"/>
    <w:basedOn w:val="Normal"/>
    <w:link w:val="affd"/>
    <w:qFormat/>
    <w:rsid w:val="00b907b1"/>
    <w:pPr>
      <w:ind w:firstLine="567"/>
    </w:pPr>
    <w:rPr/>
  </w:style>
  <w:style w:type="paragraph" w:styleId="15" w:customStyle="1">
    <w:name w:val="Стиль АД_Список 1"/>
    <w:basedOn w:val="Normal"/>
    <w:qFormat/>
    <w:rsid w:val="00ef71dc"/>
    <w:pPr>
      <w:tabs>
        <w:tab w:val="clear" w:pos="709"/>
        <w:tab w:val="left" w:pos="720" w:leader="none"/>
      </w:tabs>
    </w:pPr>
    <w:rPr>
      <w:b/>
      <w:bCs/>
      <w:i/>
      <w:iCs/>
    </w:rPr>
  </w:style>
  <w:style w:type="paragraph" w:styleId="Style52" w:customStyle="1">
    <w:name w:val="АД_Заголовки таблиц"/>
    <w:basedOn w:val="Normal"/>
    <w:qFormat/>
    <w:rsid w:val="00fd53e3"/>
    <w:pPr>
      <w:jc w:val="center"/>
    </w:pPr>
    <w:rPr>
      <w:b/>
      <w:bCs/>
    </w:rPr>
  </w:style>
  <w:style w:type="paragraph" w:styleId="TOCHeading">
    <w:name w:val="TOC Heading"/>
    <w:basedOn w:val="1"/>
    <w:next w:val="Normal"/>
    <w:uiPriority w:val="39"/>
    <w:qFormat/>
    <w:rsid w:val="005e7a15"/>
    <w:pPr>
      <w:keepLines/>
      <w:spacing w:lineRule="auto" w:line="276" w:before="480" w:after="0"/>
      <w:jc w:val="left"/>
    </w:pPr>
    <w:rPr>
      <w:rFonts w:ascii="Cambria" w:hAnsi="Cambria"/>
      <w:bCs/>
      <w:color w:val="365F91"/>
      <w:kern w:val="0"/>
      <w:sz w:val="28"/>
      <w:szCs w:val="28"/>
      <w:lang w:eastAsia="en-US"/>
    </w:rPr>
  </w:style>
  <w:style w:type="paragraph" w:styleId="BalloonText">
    <w:name w:val="Balloon Text"/>
    <w:basedOn w:val="Normal"/>
    <w:link w:val="afff1"/>
    <w:qFormat/>
    <w:rsid w:val="005e7a15"/>
    <w:pPr/>
    <w:rPr>
      <w:rFonts w:ascii="Tahoma" w:hAnsi="Tahoma"/>
      <w:sz w:val="16"/>
      <w:szCs w:val="16"/>
    </w:rPr>
  </w:style>
  <w:style w:type="paragraph" w:styleId="Style53" w:customStyle="1">
    <w:name w:val="АД_Основной текст по центру полужирный"/>
    <w:basedOn w:val="Normal"/>
    <w:link w:val="afff3"/>
    <w:qFormat/>
    <w:rsid w:val="00727f86"/>
    <w:pPr>
      <w:ind w:firstLine="567"/>
      <w:jc w:val="center"/>
    </w:pPr>
    <w:rPr>
      <w:b/>
    </w:rPr>
  </w:style>
  <w:style w:type="paragraph" w:styleId="313" w:customStyle="1">
    <w:name w:val="АД_Текст отступ 3"/>
    <w:basedOn w:val="Normal"/>
    <w:link w:val="3d"/>
    <w:qFormat/>
    <w:rsid w:val="00ef71dc"/>
    <w:pPr>
      <w:ind w:left="1418" w:hanging="0"/>
    </w:pPr>
    <w:rPr/>
  </w:style>
  <w:style w:type="paragraph" w:styleId="44" w:customStyle="1">
    <w:name w:val="АД_Нумерованный подпункт 4 уровня"/>
    <w:basedOn w:val="Style50"/>
    <w:link w:val="45"/>
    <w:qFormat/>
    <w:rsid w:val="00b93edb"/>
    <w:pPr>
      <w:tabs>
        <w:tab w:val="clear" w:pos="720"/>
        <w:tab w:val="left" w:pos="993" w:leader="none"/>
      </w:tabs>
      <w:ind w:left="993" w:hanging="993"/>
    </w:pPr>
    <w:rPr/>
  </w:style>
  <w:style w:type="paragraph" w:styleId="Style54" w:customStyle="1">
    <w:name w:val="АД_Список абв"/>
    <w:basedOn w:val="Normal"/>
    <w:qFormat/>
    <w:rsid w:val="00fa74ee"/>
    <w:pPr/>
    <w:rPr/>
  </w:style>
  <w:style w:type="paragraph" w:styleId="16" w:customStyle="1">
    <w:name w:val="Обычный1"/>
    <w:qFormat/>
    <w:rsid w:val="009320f8"/>
    <w:pPr>
      <w:widowControl w:val="false"/>
      <w:bidi w:val="0"/>
      <w:snapToGrid w:val="false"/>
      <w:spacing w:lineRule="auto" w:line="300"/>
      <w:ind w:firstLine="720"/>
      <w:jc w:val="both"/>
    </w:pPr>
    <w:rPr>
      <w:rFonts w:ascii="Times New Roman" w:hAnsi="Times New Roman" w:eastAsia="Times New Roman" w:cs="Times New Roman"/>
      <w:color w:val="auto"/>
      <w:kern w:val="0"/>
      <w:sz w:val="24"/>
      <w:szCs w:val="20"/>
      <w:lang w:val="ru-RU" w:eastAsia="ru-RU" w:bidi="ar-SA"/>
    </w:rPr>
  </w:style>
  <w:style w:type="paragraph" w:styleId="BlockText">
    <w:name w:val="Block Text"/>
    <w:basedOn w:val="Normal"/>
    <w:qFormat/>
    <w:rsid w:val="009320f8"/>
    <w:pPr>
      <w:spacing w:before="0" w:after="120"/>
      <w:ind w:left="1440" w:right="1440" w:hanging="0"/>
    </w:pPr>
    <w:rPr>
      <w:szCs w:val="20"/>
    </w:rPr>
  </w:style>
  <w:style w:type="paragraph" w:styleId="WW2" w:customStyle="1">
    <w:name w:val="WW-Основной текст с отступом 2"/>
    <w:basedOn w:val="Normal"/>
    <w:qFormat/>
    <w:rsid w:val="009320f8"/>
    <w:pPr>
      <w:suppressAutoHyphens w:val="true"/>
      <w:ind w:left="-540" w:hanging="0"/>
    </w:pPr>
    <w:rPr>
      <w:rFonts w:ascii="Arial" w:hAnsi="Arial" w:cs="Arial"/>
      <w:sz w:val="18"/>
      <w:lang w:eastAsia="ar-SA"/>
    </w:rPr>
  </w:style>
  <w:style w:type="paragraph" w:styleId="WW3" w:customStyle="1">
    <w:name w:val="WW-Основной текст с отступом 3"/>
    <w:basedOn w:val="Normal"/>
    <w:qFormat/>
    <w:rsid w:val="009320f8"/>
    <w:pPr>
      <w:suppressAutoHyphens w:val="true"/>
      <w:ind w:left="-540" w:hanging="0"/>
    </w:pPr>
    <w:rPr>
      <w:rFonts w:ascii="Arial" w:hAnsi="Arial" w:cs="Arial"/>
      <w:sz w:val="17"/>
      <w:lang w:eastAsia="ar-SA"/>
    </w:rPr>
  </w:style>
  <w:style w:type="paragraph" w:styleId="Style55" w:customStyle="1">
    <w:name w:val="Список нум."/>
    <w:basedOn w:val="Normal"/>
    <w:qFormat/>
    <w:rsid w:val="008575b3"/>
    <w:pPr>
      <w:keepNext w:val="true"/>
      <w:tabs>
        <w:tab w:val="clear" w:pos="709"/>
        <w:tab w:val="left" w:pos="1701" w:leader="none"/>
      </w:tabs>
      <w:spacing w:lineRule="auto" w:line="360" w:before="120" w:after="120"/>
      <w:jc w:val="left"/>
    </w:pPr>
    <w:rPr>
      <w:rFonts w:ascii="Arial" w:hAnsi="Arial"/>
      <w:szCs w:val="20"/>
    </w:rPr>
  </w:style>
  <w:style w:type="paragraph" w:styleId="1VI" w:customStyle="1">
    <w:name w:val="Заголовок 1 (раздел VI)"/>
    <w:basedOn w:val="1"/>
    <w:qFormat/>
    <w:rsid w:val="008575b3"/>
    <w:pPr>
      <w:keepLines/>
      <w:widowControl w:val="false"/>
      <w:tabs>
        <w:tab w:val="clear" w:pos="709"/>
        <w:tab w:val="left" w:pos="643" w:leader="none"/>
      </w:tabs>
      <w:suppressAutoHyphens w:val="true"/>
      <w:ind w:left="643" w:right="567" w:firstLine="709"/>
    </w:pPr>
    <w:rPr>
      <w:rFonts w:ascii="Arial" w:hAnsi="Arial" w:cs="Arial"/>
      <w:bCs/>
      <w:kern w:val="2"/>
      <w:sz w:val="28"/>
      <w:szCs w:val="32"/>
    </w:rPr>
  </w:style>
  <w:style w:type="paragraph" w:styleId="FR1" w:customStyle="1">
    <w:name w:val="FR1"/>
    <w:uiPriority w:val="99"/>
    <w:qFormat/>
    <w:rsid w:val="00d01b6c"/>
    <w:pPr>
      <w:widowControl w:val="false"/>
      <w:bidi w:val="0"/>
      <w:spacing w:before="200" w:after="0"/>
      <w:ind w:left="40" w:firstLine="680"/>
      <w:jc w:val="both"/>
    </w:pPr>
    <w:rPr>
      <w:rFonts w:ascii="Arial" w:hAnsi="Arial" w:eastAsia="Times New Roman" w:cs="Times New Roman"/>
      <w:color w:val="auto"/>
      <w:kern w:val="0"/>
      <w:sz w:val="24"/>
      <w:szCs w:val="20"/>
      <w:lang w:val="ru-RU" w:eastAsia="ru-RU" w:bidi="ar-SA"/>
    </w:rPr>
  </w:style>
  <w:style w:type="paragraph" w:styleId="ConsPlusNormal1" w:customStyle="1">
    <w:name w:val="ConsPlusNormal"/>
    <w:link w:val="ConsPlusNormal0"/>
    <w:qFormat/>
    <w:rsid w:val="00d01b6c"/>
    <w:pPr>
      <w:widowControl w:val="false"/>
      <w:bidi w:val="0"/>
      <w:ind w:firstLine="720"/>
      <w:jc w:val="left"/>
    </w:pPr>
    <w:rPr>
      <w:rFonts w:ascii="Arial" w:hAnsi="Arial" w:eastAsia="Times New Roman" w:cs="Arial"/>
      <w:color w:val="auto"/>
      <w:kern w:val="0"/>
      <w:sz w:val="24"/>
      <w:szCs w:val="20"/>
      <w:lang w:val="ru-RU" w:eastAsia="ru-RU" w:bidi="ar-SA"/>
    </w:rPr>
  </w:style>
  <w:style w:type="paragraph" w:styleId="FR2" w:customStyle="1">
    <w:name w:val="FR2"/>
    <w:qFormat/>
    <w:rsid w:val="00cf54c3"/>
    <w:pPr>
      <w:widowControl w:val="false"/>
      <w:bidi w:val="0"/>
      <w:spacing w:before="20" w:after="0"/>
      <w:jc w:val="center"/>
    </w:pPr>
    <w:rPr>
      <w:rFonts w:ascii="Arial" w:hAnsi="Arial" w:eastAsia="Times New Roman" w:cs="Times New Roman"/>
      <w:color w:val="auto"/>
      <w:kern w:val="0"/>
      <w:sz w:val="24"/>
      <w:szCs w:val="20"/>
      <w:lang w:val="ru-RU" w:eastAsia="ru-RU" w:bidi="ar-SA"/>
    </w:rPr>
  </w:style>
  <w:style w:type="paragraph" w:styleId="Style56" w:customStyle="1">
    <w:name w:val="Знак"/>
    <w:basedOn w:val="Normal"/>
    <w:qFormat/>
    <w:rsid w:val="009c5df0"/>
    <w:pPr>
      <w:spacing w:lineRule="exact" w:line="240" w:before="0" w:after="160"/>
    </w:pPr>
    <w:rPr>
      <w:rFonts w:ascii="Verdana" w:hAnsi="Verdana"/>
      <w:sz w:val="22"/>
      <w:szCs w:val="20"/>
      <w:lang w:val="en-US" w:eastAsia="en-US"/>
    </w:rPr>
  </w:style>
  <w:style w:type="paragraph" w:styleId="Style57">
    <w:name w:val="Footnote Text"/>
    <w:basedOn w:val="Normal"/>
    <w:link w:val="afff8"/>
    <w:qFormat/>
    <w:rsid w:val="007c78ed"/>
    <w:pPr>
      <w:jc w:val="left"/>
    </w:pPr>
    <w:rPr>
      <w:sz w:val="20"/>
      <w:szCs w:val="20"/>
    </w:rPr>
  </w:style>
  <w:style w:type="paragraph" w:styleId="314" w:customStyle="1">
    <w:name w:val="Стиль3 Знак Знак"/>
    <w:basedOn w:val="BodyTextIndent2"/>
    <w:qFormat/>
    <w:rsid w:val="007c78ed"/>
    <w:pPr>
      <w:widowControl w:val="false"/>
      <w:tabs>
        <w:tab w:val="clear" w:pos="709"/>
        <w:tab w:val="left" w:pos="227" w:leader="none"/>
      </w:tabs>
      <w:spacing w:lineRule="auto" w:line="240" w:before="0" w:after="0"/>
      <w:ind w:left="0" w:hanging="0"/>
      <w:textAlignment w:val="baseline"/>
    </w:pPr>
    <w:rPr>
      <w:szCs w:val="20"/>
    </w:rPr>
  </w:style>
  <w:style w:type="paragraph" w:styleId="03zagolovok2" w:customStyle="1">
    <w:name w:val="03zagolovok2"/>
    <w:basedOn w:val="Normal"/>
    <w:qFormat/>
    <w:rsid w:val="007c78ed"/>
    <w:pPr>
      <w:keepNext w:val="true"/>
      <w:spacing w:lineRule="atLeast" w:line="360" w:before="360" w:after="120"/>
      <w:jc w:val="left"/>
      <w:outlineLvl w:val="1"/>
    </w:pPr>
    <w:rPr>
      <w:rFonts w:ascii="GaramondC" w:hAnsi="GaramondC"/>
      <w:b/>
      <w:color w:val="000000"/>
      <w:sz w:val="28"/>
      <w:szCs w:val="28"/>
    </w:rPr>
  </w:style>
  <w:style w:type="paragraph" w:styleId="Style58">
    <w:name w:val="Title"/>
    <w:basedOn w:val="Normal"/>
    <w:qFormat/>
    <w:rsid w:val="007c78ed"/>
    <w:pPr>
      <w:widowControl w:val="false"/>
      <w:shd w:val="clear" w:color="auto" w:fill="FFFFFF"/>
      <w:ind w:left="72" w:hanging="0"/>
      <w:jc w:val="center"/>
    </w:pPr>
    <w:rPr>
      <w:bCs/>
      <w:color w:val="000000"/>
      <w:spacing w:val="13"/>
      <w:szCs w:val="22"/>
    </w:rPr>
  </w:style>
  <w:style w:type="paragraph" w:styleId="Style59" w:customStyle="1">
    <w:name w:val="текст"/>
    <w:qFormat/>
    <w:rsid w:val="007c78ed"/>
    <w:pPr>
      <w:widowControl/>
      <w:bidi w:val="0"/>
      <w:jc w:val="both"/>
    </w:pPr>
    <w:rPr>
      <w:rFonts w:ascii="SchoolBookC" w:hAnsi="SchoolBookC" w:eastAsia="Times New Roman" w:cs="Times New Roman"/>
      <w:color w:val="000000"/>
      <w:kern w:val="0"/>
      <w:sz w:val="24"/>
      <w:szCs w:val="20"/>
      <w:lang w:val="ru-RU" w:eastAsia="ru-RU" w:bidi="ar-SA"/>
    </w:rPr>
  </w:style>
  <w:style w:type="paragraph" w:styleId="Style60" w:customStyle="1">
    <w:name w:val="втяжка"/>
    <w:basedOn w:val="17"/>
    <w:next w:val="17"/>
    <w:qFormat/>
    <w:rsid w:val="007c78ed"/>
    <w:pPr>
      <w:tabs>
        <w:tab w:val="clear" w:pos="709"/>
        <w:tab w:val="left" w:pos="567" w:leader="none"/>
      </w:tabs>
      <w:spacing w:before="57" w:after="0"/>
      <w:ind w:left="567" w:hanging="567"/>
    </w:pPr>
    <w:rPr/>
  </w:style>
  <w:style w:type="paragraph" w:styleId="17" w:customStyle="1">
    <w:name w:val="текст1"/>
    <w:qFormat/>
    <w:rsid w:val="007c78ed"/>
    <w:pPr>
      <w:widowControl/>
      <w:bidi w:val="0"/>
      <w:ind w:firstLine="397"/>
      <w:jc w:val="both"/>
    </w:pPr>
    <w:rPr>
      <w:rFonts w:ascii="SchoolBookC" w:hAnsi="SchoolBookC" w:eastAsia="Times New Roman" w:cs="Times New Roman"/>
      <w:color w:val="auto"/>
      <w:kern w:val="0"/>
      <w:sz w:val="24"/>
      <w:szCs w:val="20"/>
      <w:lang w:val="ru-RU" w:eastAsia="ru-RU" w:bidi="ar-SA"/>
    </w:rPr>
  </w:style>
  <w:style w:type="paragraph" w:styleId="2CharCharCharCharCharCharCharCharCharCharCharCharCharCharCharChar" w:customStyle="1">
    <w:name w:val="Знак Знак2 Char Char Знак Знак Char Char Знак Знак Char Char Знак Знак Char Char Знак Знак Char Char Знак Знак Char Char Знак Знак Char Char Знак Знак Char Char"/>
    <w:basedOn w:val="Normal"/>
    <w:qFormat/>
    <w:rsid w:val="007c78ed"/>
    <w:pPr>
      <w:spacing w:beforeAutospacing="1" w:afterAutospacing="1"/>
      <w:jc w:val="left"/>
    </w:pPr>
    <w:rPr>
      <w:rFonts w:ascii="Tahoma" w:hAnsi="Tahoma"/>
      <w:sz w:val="20"/>
      <w:szCs w:val="20"/>
      <w:lang w:val="en-US" w:eastAsia="en-US"/>
    </w:rPr>
  </w:style>
  <w:style w:type="paragraph" w:styleId="2CharCharCharCharCharCharCharCharCharCharCharCharCharCharCharChar1" w:customStyle="1">
    <w:name w:val="Знак Знак2 Char Char Знак Знак Char Char Знак Знак Char Char Знак Знак Char Char Знак Знак Char Char Знак Знак Char Char Знак Знак Char Char Знак Знак Char Char1"/>
    <w:basedOn w:val="Normal"/>
    <w:qFormat/>
    <w:rsid w:val="007c78ed"/>
    <w:pPr>
      <w:spacing w:beforeAutospacing="1" w:afterAutospacing="1"/>
      <w:jc w:val="left"/>
    </w:pPr>
    <w:rPr>
      <w:rFonts w:ascii="Tahoma" w:hAnsi="Tahoma"/>
      <w:sz w:val="20"/>
      <w:szCs w:val="20"/>
      <w:lang w:val="en-US" w:eastAsia="en-US"/>
    </w:rPr>
  </w:style>
  <w:style w:type="paragraph" w:styleId="CharChar" w:customStyle="1">
    <w:name w:val="Char Char"/>
    <w:basedOn w:val="Normal"/>
    <w:qFormat/>
    <w:rsid w:val="00c90639"/>
    <w:pPr>
      <w:spacing w:beforeAutospacing="1" w:afterAutospacing="1"/>
      <w:jc w:val="left"/>
    </w:pPr>
    <w:rPr>
      <w:rFonts w:ascii="Tahoma" w:hAnsi="Tahoma"/>
      <w:sz w:val="20"/>
      <w:szCs w:val="20"/>
      <w:lang w:val="en-US" w:eastAsia="en-US"/>
    </w:rPr>
  </w:style>
  <w:style w:type="paragraph" w:styleId="TimesNewRoman" w:customStyle="1">
    <w:name w:val="Обычный + Times New Roman"/>
    <w:basedOn w:val="Normal"/>
    <w:qFormat/>
    <w:rsid w:val="007e3af9"/>
    <w:pPr>
      <w:widowControl w:val="false"/>
      <w:shd w:val="clear" w:color="auto" w:fill="FFFFFF"/>
      <w:ind w:left="11" w:right="45" w:firstLine="703"/>
    </w:pPr>
    <w:rPr>
      <w:color w:val="000000"/>
      <w:spacing w:val="-7"/>
    </w:rPr>
  </w:style>
  <w:style w:type="paragraph" w:styleId="ConsNormal2" w:customStyle="1">
    <w:name w:val="ConsNormal Знак"/>
    <w:link w:val="ConsNormal1"/>
    <w:uiPriority w:val="99"/>
    <w:qFormat/>
    <w:rsid w:val="007e3af9"/>
    <w:pPr>
      <w:widowControl/>
      <w:bidi w:val="0"/>
      <w:ind w:right="19772" w:firstLine="720"/>
      <w:jc w:val="left"/>
    </w:pPr>
    <w:rPr>
      <w:rFonts w:ascii="Arial" w:hAnsi="Arial" w:eastAsia="Times New Roman" w:cs="Times New Roman"/>
      <w:color w:val="auto"/>
      <w:kern w:val="0"/>
      <w:sz w:val="24"/>
      <w:szCs w:val="20"/>
      <w:lang w:val="ru-RU" w:eastAsia="ru-RU" w:bidi="ar-SA"/>
    </w:rPr>
  </w:style>
  <w:style w:type="paragraph" w:styleId="18" w:customStyle="1">
    <w:name w:val="Знак1 Знак Знак Знак Знак Знак"/>
    <w:basedOn w:val="Normal"/>
    <w:qFormat/>
    <w:rsid w:val="009e4800"/>
    <w:pPr>
      <w:widowControl w:val="false"/>
      <w:spacing w:lineRule="exact" w:line="240" w:before="0" w:after="160"/>
      <w:jc w:val="right"/>
    </w:pPr>
    <w:rPr>
      <w:rFonts w:ascii="Arial" w:hAnsi="Arial" w:cs="Arial"/>
      <w:sz w:val="20"/>
      <w:szCs w:val="20"/>
      <w:lang w:val="en-GB" w:eastAsia="en-US"/>
    </w:rPr>
  </w:style>
  <w:style w:type="paragraph" w:styleId="ConsNonformat" w:customStyle="1">
    <w:name w:val="ConsNonformat"/>
    <w:qFormat/>
    <w:rsid w:val="009d68e2"/>
    <w:pPr>
      <w:widowControl w:val="false"/>
      <w:bidi w:val="0"/>
      <w:jc w:val="left"/>
    </w:pPr>
    <w:rPr>
      <w:rFonts w:ascii="Courier New" w:hAnsi="Courier New" w:eastAsia="Times New Roman" w:cs="Courier New"/>
      <w:color w:val="auto"/>
      <w:kern w:val="0"/>
      <w:sz w:val="24"/>
      <w:szCs w:val="20"/>
      <w:lang w:val="ru-RU" w:eastAsia="ru-RU" w:bidi="ar-SA"/>
    </w:rPr>
  </w:style>
  <w:style w:type="paragraph" w:styleId="ConsTitle" w:customStyle="1">
    <w:name w:val="ConsTitle"/>
    <w:qFormat/>
    <w:rsid w:val="009d68e2"/>
    <w:pPr>
      <w:widowControl w:val="false"/>
      <w:bidi w:val="0"/>
      <w:jc w:val="left"/>
    </w:pPr>
    <w:rPr>
      <w:rFonts w:ascii="Arial" w:hAnsi="Arial" w:eastAsia="Times New Roman" w:cs="Arial"/>
      <w:b/>
      <w:bCs/>
      <w:color w:val="auto"/>
      <w:kern w:val="0"/>
      <w:sz w:val="16"/>
      <w:szCs w:val="16"/>
      <w:lang w:val="ru-RU" w:eastAsia="ru-RU" w:bidi="ar-SA"/>
    </w:rPr>
  </w:style>
  <w:style w:type="paragraph" w:styleId="212" w:customStyle="1">
    <w:name w:val="Основной текст 21"/>
    <w:basedOn w:val="Normal"/>
    <w:semiHidden/>
    <w:qFormat/>
    <w:rsid w:val="009d68e2"/>
    <w:pPr>
      <w:ind w:firstLine="720"/>
    </w:pPr>
    <w:rPr>
      <w:szCs w:val="20"/>
    </w:rPr>
  </w:style>
  <w:style w:type="paragraph" w:styleId="110" w:customStyle="1">
    <w:name w:val="Знак1 Знак Знак Знак"/>
    <w:basedOn w:val="Normal"/>
    <w:qFormat/>
    <w:rsid w:val="00e95473"/>
    <w:pPr>
      <w:widowControl w:val="false"/>
      <w:spacing w:lineRule="exact" w:line="240" w:before="0" w:after="160"/>
      <w:jc w:val="right"/>
    </w:pPr>
    <w:rPr>
      <w:rFonts w:ascii="Arial" w:hAnsi="Arial" w:cs="Arial"/>
      <w:sz w:val="20"/>
      <w:szCs w:val="20"/>
      <w:lang w:val="en-GB" w:eastAsia="en-US"/>
    </w:rPr>
  </w:style>
  <w:style w:type="paragraph" w:styleId="111" w:customStyle="1">
    <w:name w:val="Знак1 Знак Знак Знак Знак Знак1 Знак Знак Знак Знак Знак Знак"/>
    <w:basedOn w:val="Normal"/>
    <w:qFormat/>
    <w:rsid w:val="0095592c"/>
    <w:pPr>
      <w:widowControl w:val="false"/>
      <w:spacing w:lineRule="exact" w:line="240" w:before="0" w:after="160"/>
      <w:jc w:val="right"/>
    </w:pPr>
    <w:rPr>
      <w:rFonts w:ascii="Arial" w:hAnsi="Arial" w:cs="Arial"/>
      <w:sz w:val="20"/>
      <w:szCs w:val="20"/>
      <w:lang w:val="en-GB" w:eastAsia="en-US"/>
    </w:rPr>
  </w:style>
  <w:style w:type="paragraph" w:styleId="112" w:customStyle="1">
    <w:name w:val="Знак1 Знак Знак"/>
    <w:basedOn w:val="Normal"/>
    <w:qFormat/>
    <w:rsid w:val="00a966fd"/>
    <w:pPr>
      <w:widowControl w:val="false"/>
      <w:spacing w:lineRule="exact" w:line="240" w:before="0" w:after="160"/>
      <w:jc w:val="right"/>
    </w:pPr>
    <w:rPr>
      <w:rFonts w:ascii="Arial" w:hAnsi="Arial" w:cs="Arial"/>
      <w:sz w:val="20"/>
      <w:szCs w:val="20"/>
      <w:lang w:val="en-GB" w:eastAsia="en-US"/>
    </w:rPr>
  </w:style>
  <w:style w:type="paragraph" w:styleId="Default1" w:customStyle="1">
    <w:name w:val="Default"/>
    <w:link w:val="Default0"/>
    <w:qFormat/>
    <w:rsid w:val="006a5249"/>
    <w:pPr>
      <w:widowControl w:val="false"/>
      <w:bidi w:val="0"/>
      <w:jc w:val="left"/>
    </w:pPr>
    <w:rPr>
      <w:rFonts w:ascii="GaramondC" w:hAnsi="GaramondC" w:eastAsia="Times New Roman" w:cs="Times New Roman"/>
      <w:color w:val="000000"/>
      <w:kern w:val="0"/>
      <w:sz w:val="24"/>
      <w:szCs w:val="24"/>
      <w:lang w:val="ru-RU" w:eastAsia="ru-RU" w:bidi="ar-SA"/>
    </w:rPr>
  </w:style>
  <w:style w:type="paragraph" w:styleId="Pa21" w:customStyle="1">
    <w:name w:val="Pa21"/>
    <w:basedOn w:val="Default1"/>
    <w:next w:val="Default1"/>
    <w:qFormat/>
    <w:rsid w:val="006a5249"/>
    <w:pPr>
      <w:spacing w:lineRule="atLeast" w:line="211" w:before="120" w:after="0"/>
    </w:pPr>
    <w:rPr>
      <w:color w:val="auto"/>
    </w:rPr>
  </w:style>
  <w:style w:type="paragraph" w:styleId="Pa20" w:customStyle="1">
    <w:name w:val="Pa20"/>
    <w:basedOn w:val="Default1"/>
    <w:next w:val="Default1"/>
    <w:qFormat/>
    <w:rsid w:val="006a5249"/>
    <w:pPr>
      <w:spacing w:lineRule="atLeast" w:line="241" w:before="280" w:after="0"/>
    </w:pPr>
    <w:rPr>
      <w:color w:val="auto"/>
    </w:rPr>
  </w:style>
  <w:style w:type="paragraph" w:styleId="Pa26" w:customStyle="1">
    <w:name w:val="Pa26"/>
    <w:basedOn w:val="Default1"/>
    <w:next w:val="Default1"/>
    <w:qFormat/>
    <w:rsid w:val="006a5249"/>
    <w:pPr>
      <w:spacing w:lineRule="atLeast" w:line="211" w:before="100" w:after="0"/>
    </w:pPr>
    <w:rPr>
      <w:color w:val="auto"/>
    </w:rPr>
  </w:style>
  <w:style w:type="paragraph" w:styleId="Pa22" w:customStyle="1">
    <w:name w:val="Pa22"/>
    <w:basedOn w:val="Default1"/>
    <w:next w:val="Default1"/>
    <w:qFormat/>
    <w:rsid w:val="006a5249"/>
    <w:pPr>
      <w:spacing w:lineRule="atLeast" w:line="241" w:before="240" w:after="0"/>
    </w:pPr>
    <w:rPr>
      <w:color w:val="auto"/>
    </w:rPr>
  </w:style>
  <w:style w:type="paragraph" w:styleId="ConsPlusTitle" w:customStyle="1">
    <w:name w:val="ConsPlusTitle"/>
    <w:qFormat/>
    <w:rsid w:val="006a5249"/>
    <w:pPr>
      <w:widowControl/>
      <w:bidi w:val="0"/>
      <w:jc w:val="left"/>
    </w:pPr>
    <w:rPr>
      <w:rFonts w:ascii="Arial" w:hAnsi="Arial" w:eastAsia="Times New Roman" w:cs="Arial"/>
      <w:b/>
      <w:bCs/>
      <w:color w:val="auto"/>
      <w:kern w:val="0"/>
      <w:sz w:val="24"/>
      <w:szCs w:val="20"/>
      <w:lang w:val="ru-RU" w:eastAsia="ru-RU" w:bidi="ar-SA"/>
    </w:rPr>
  </w:style>
  <w:style w:type="paragraph" w:styleId="ConsPlusNonformat" w:customStyle="1">
    <w:name w:val="ConsPlusNonformat"/>
    <w:qFormat/>
    <w:rsid w:val="006a5249"/>
    <w:pPr>
      <w:widowControl/>
      <w:bidi w:val="0"/>
      <w:jc w:val="left"/>
    </w:pPr>
    <w:rPr>
      <w:rFonts w:ascii="Courier New" w:hAnsi="Courier New" w:eastAsia="Times New Roman" w:cs="Courier New"/>
      <w:color w:val="auto"/>
      <w:kern w:val="0"/>
      <w:sz w:val="24"/>
      <w:szCs w:val="20"/>
      <w:lang w:val="ru-RU" w:eastAsia="ru-RU" w:bidi="ar-SA"/>
    </w:rPr>
  </w:style>
  <w:style w:type="paragraph" w:styleId="Style61" w:customStyle="1">
    <w:name w:val="Контракт-раздел"/>
    <w:basedOn w:val="Normal"/>
    <w:next w:val="Style62"/>
    <w:qFormat/>
    <w:rsid w:val="002a3a84"/>
    <w:pPr>
      <w:keepNext w:val="true"/>
      <w:tabs>
        <w:tab w:val="clear" w:pos="709"/>
        <w:tab w:val="left" w:pos="540" w:leader="none"/>
      </w:tabs>
      <w:suppressAutoHyphens w:val="true"/>
      <w:spacing w:before="360" w:after="120"/>
      <w:jc w:val="center"/>
      <w:outlineLvl w:val="1"/>
    </w:pPr>
    <w:rPr>
      <w:b/>
      <w:bCs/>
      <w:smallCaps/>
    </w:rPr>
  </w:style>
  <w:style w:type="paragraph" w:styleId="Style62" w:customStyle="1">
    <w:name w:val="Контракт-пункт"/>
    <w:basedOn w:val="Normal"/>
    <w:qFormat/>
    <w:rsid w:val="002a3a84"/>
    <w:pPr/>
    <w:rPr/>
  </w:style>
  <w:style w:type="paragraph" w:styleId="Style63" w:customStyle="1">
    <w:name w:val="Контракт-подпункт"/>
    <w:basedOn w:val="Normal"/>
    <w:qFormat/>
    <w:rsid w:val="002a3a84"/>
    <w:pPr/>
    <w:rPr/>
  </w:style>
  <w:style w:type="paragraph" w:styleId="Style64" w:customStyle="1">
    <w:name w:val="Контракт-подподпункт"/>
    <w:basedOn w:val="Normal"/>
    <w:qFormat/>
    <w:rsid w:val="002a3a84"/>
    <w:pPr/>
    <w:rPr/>
  </w:style>
  <w:style w:type="paragraph" w:styleId="315" w:customStyle="1">
    <w:name w:val="Стиль3 Знак Знак Знак"/>
    <w:basedOn w:val="BodyTextIndent2"/>
    <w:link w:val="3f1"/>
    <w:uiPriority w:val="99"/>
    <w:qFormat/>
    <w:rsid w:val="00680f4d"/>
    <w:pPr>
      <w:widowControl w:val="false"/>
      <w:tabs>
        <w:tab w:val="clear" w:pos="709"/>
        <w:tab w:val="left" w:pos="227" w:leader="none"/>
      </w:tabs>
      <w:spacing w:lineRule="auto" w:line="240" w:before="0" w:after="0"/>
      <w:ind w:left="0" w:hanging="0"/>
      <w:textAlignment w:val="baseline"/>
    </w:pPr>
    <w:rPr>
      <w:rFonts w:eastAsia="Calibri"/>
      <w:sz w:val="20"/>
      <w:szCs w:val="20"/>
    </w:rPr>
  </w:style>
  <w:style w:type="paragraph" w:styleId="Formattext" w:customStyle="1">
    <w:name w:val="formattext"/>
    <w:basedOn w:val="Normal"/>
    <w:qFormat/>
    <w:rsid w:val="00055fa4"/>
    <w:pPr>
      <w:spacing w:beforeAutospacing="1" w:afterAutospacing="1"/>
      <w:jc w:val="left"/>
    </w:pPr>
    <w:rPr>
      <w:rFonts w:eastAsia="Calibri"/>
    </w:rPr>
  </w:style>
  <w:style w:type="paragraph" w:styleId="2111" w:customStyle="1">
    <w:name w:val="Основной текст 211"/>
    <w:basedOn w:val="Normal"/>
    <w:semiHidden/>
    <w:qFormat/>
    <w:rsid w:val="001b5929"/>
    <w:pPr>
      <w:ind w:firstLine="720"/>
    </w:pPr>
    <w:rPr>
      <w:szCs w:val="20"/>
    </w:rPr>
  </w:style>
  <w:style w:type="paragraph" w:styleId="161" w:customStyle="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Normal"/>
    <w:qFormat/>
    <w:rsid w:val="00dd5b17"/>
    <w:pPr>
      <w:widowControl w:val="false"/>
      <w:spacing w:lineRule="exact" w:line="240" w:before="0" w:after="160"/>
      <w:jc w:val="right"/>
    </w:pPr>
    <w:rPr>
      <w:rFonts w:ascii="Arial" w:hAnsi="Arial" w:cs="Arial"/>
      <w:sz w:val="20"/>
      <w:szCs w:val="20"/>
      <w:lang w:val="en-GB" w:eastAsia="en-US"/>
    </w:rPr>
  </w:style>
  <w:style w:type="paragraph" w:styleId="Style65" w:customStyle="1">
    <w:name w:val="Готовый"/>
    <w:basedOn w:val="Normal"/>
    <w:qFormat/>
    <w:rsid w:val="007622a5"/>
    <w:pPr>
      <w:widowControl w:val="false"/>
      <w:tabs>
        <w:tab w:val="clear" w:pos="709"/>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jc w:val="left"/>
    </w:pPr>
    <w:rPr>
      <w:rFonts w:ascii="Courier New" w:hAnsi="Courier New"/>
      <w:sz w:val="20"/>
      <w:szCs w:val="20"/>
    </w:rPr>
  </w:style>
  <w:style w:type="paragraph" w:styleId="Style66">
    <w:name w:val="Содержимое врезки"/>
    <w:basedOn w:val="Normal"/>
    <w:qFormat/>
    <w:pPr/>
    <w:rPr/>
  </w:style>
  <w:style w:type="numbering" w:styleId="NoList" w:default="1">
    <w:name w:val="No List"/>
    <w:uiPriority w:val="99"/>
    <w:semiHidden/>
    <w:unhideWhenUsed/>
    <w:qFormat/>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table" w:styleId="afff5">
    <w:name w:val="Table Grid"/>
    <w:basedOn w:val="a7"/>
    <w:rsid w:val="009320f8"/>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A1A4BACCF115888C56AB011436B5243A1BCBD87D36520CE0A12D6815394EFF45A526FB93B9AB60DFR2gBI" TargetMode="External"/><Relationship Id="rId3" Type="http://schemas.openxmlformats.org/officeDocument/2006/relationships/hyperlink" Target="consultantplus://offline/ref=A1A4BACCF115888C56AB011436B5243A1BCBD87D36520CE0A12D681539R4gEI" TargetMode="External"/><Relationship Id="rId4" Type="http://schemas.openxmlformats.org/officeDocument/2006/relationships/hyperlink" Target="consultantplus://offline/ref=A1A4BACCF115888C56AB011436B5243A1BCBD87D36520CE0A12D6815394EFF45A526FB93B9AB60DDR2g3I" TargetMode="Externa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F0637E-37D5-4D37-8368-57CC12D5B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Application>LibreOffice/6.3.2.2$Windows_X86_64 LibreOffice_project/98b30e735bda24bc04ab42594c85f7fd8be07b9c</Application>
  <Pages>14</Pages>
  <Words>6284</Words>
  <Characters>45611</Characters>
  <CharactersWithSpaces>51932</CharactersWithSpaces>
  <Paragraphs>456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2017-11-15T10:16:00Z</dcterms:created>
  <dc:creator>///</dc:creator>
  <dc:description/>
  <dc:language>ru-RU</dc:language>
  <cp:lastModifiedBy/>
  <cp:lastPrinted>2014-06-26T14:05:00Z</cp:lastPrinted>
  <dcterms:modified xsi:type="dcterms:W3CDTF">2020-02-20T09:37:35Z</dcterms:modified>
  <cp:revision>61</cp:revision>
  <dc:subject/>
  <dc:title>Федеральная таможенная служба</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