
<file path=[Content_Types].xml><?xml version="1.0" encoding="utf-8"?>
<Types xmlns="http://schemas.openxmlformats.org/package/2006/content-types">
  <Default ContentType="image/x-emf" Extension="emf"/>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B000000">
      <w:pPr>
        <w:widowControl w:val="1"/>
        <w:ind/>
        <w:jc w:val="center"/>
        <w:outlineLvl w:val="0"/>
        <w:rPr>
          <w:b w:val="1"/>
          <w:sz w:val="22"/>
        </w:rPr>
      </w:pPr>
      <w:r>
        <w:rPr>
          <w:b w:val="1"/>
          <w:caps w:val="1"/>
          <w:sz w:val="22"/>
        </w:rPr>
        <w:t>ПРОЕКТ контрактА</w:t>
      </w:r>
      <w:r>
        <w:rPr>
          <w:b w:val="1"/>
          <w:sz w:val="22"/>
        </w:rPr>
        <w:t xml:space="preserve"> № </w:t>
      </w:r>
      <w:r>
        <w:rPr>
          <w:b w:val="1"/>
          <w:sz w:val="22"/>
        </w:rPr>
        <w:t>___</w:t>
      </w:r>
      <w:r>
        <w:rPr>
          <w:b w:val="1"/>
          <w:sz w:val="22"/>
        </w:rPr>
        <w:t>/26</w:t>
      </w:r>
    </w:p>
    <w:p w14:paraId="0C000000">
      <w:pPr>
        <w:widowControl w:val="1"/>
        <w:ind/>
        <w:jc w:val="center"/>
        <w:rPr>
          <w:sz w:val="22"/>
        </w:rPr>
      </w:pPr>
    </w:p>
    <w:p w14:paraId="0D000000">
      <w:pPr>
        <w:widowControl w:val="1"/>
        <w:spacing w:line="276" w:lineRule="auto"/>
        <w:ind/>
        <w:jc w:val="cente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r>
      <w:r>
        <w:rPr>
          <w:sz w:val="22"/>
        </w:rPr>
        <w:t xml:space="preserve">      ____________________  2026 г.</w:t>
      </w:r>
    </w:p>
    <w:p w14:paraId="0E000000">
      <w:pPr>
        <w:widowControl w:val="1"/>
        <w:spacing w:line="276" w:lineRule="auto"/>
        <w:ind/>
        <w:jc w:val="center"/>
        <w:rPr>
          <w:sz w:val="22"/>
        </w:rPr>
      </w:pPr>
    </w:p>
    <w:p w14:paraId="0F000000">
      <w:pPr>
        <w:widowControl w:val="1"/>
        <w:ind w:firstLine="720"/>
        <w:jc w:val="both"/>
        <w:rPr>
          <w:sz w:val="22"/>
        </w:rPr>
      </w:pPr>
      <w:r>
        <w:rPr>
          <w:sz w:val="22"/>
        </w:rPr>
        <w:t xml:space="preserve">Государственное бюджетное общеобразовательное учреждение Петергофская гимназия императора Александра </w:t>
      </w:r>
      <w:r>
        <w:rPr>
          <w:sz w:val="22"/>
        </w:rPr>
        <w:t>II</w:t>
      </w:r>
      <w:r>
        <w:rPr>
          <w:sz w:val="22"/>
        </w:rPr>
        <w:t>, в лице директора Моисеенко Инны Петровны, действующего на</w:t>
      </w:r>
      <w:r>
        <w:rPr>
          <w:sz w:val="22"/>
        </w:rPr>
        <w:t> </w:t>
      </w:r>
      <w:r>
        <w:rPr>
          <w:sz w:val="22"/>
        </w:rPr>
        <w:t>основании</w:t>
      </w:r>
      <w:r>
        <w:rPr>
          <w:sz w:val="22"/>
        </w:rPr>
        <w:t xml:space="preserve"> </w:t>
      </w:r>
      <w:r>
        <w:rPr>
          <w:sz w:val="22"/>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br/>
      </w:r>
      <w:r>
        <w:rPr>
          <w:rFonts w:ascii="Times New Roman" w:hAnsi="Times New Roman"/>
          <w:b w:val="0"/>
          <w:i w:val="0"/>
          <w:caps w:val="0"/>
          <w:color w:val="000000"/>
          <w:spacing w:val="0"/>
          <w:sz w:val="22"/>
        </w:rPr>
        <w:t>262781901991378190100100040000000244</w:t>
      </w:r>
      <w:r>
        <w:rPr>
          <w:rFonts w:ascii="Tahoma" w:hAnsi="Tahoma"/>
          <w:color w:val="000000"/>
          <w:sz w:val="18"/>
          <w:shd w:fill="F1F1F1" w:val="clear"/>
        </w:rPr>
        <w:t xml:space="preserve"> </w:t>
      </w:r>
      <w:r>
        <w:rPr>
          <w:sz w:val="22"/>
        </w:rPr>
        <w:t xml:space="preserve"> настоящий контракт (далее - Контракт) о нижеследующем:</w:t>
      </w:r>
    </w:p>
    <w:p w14:paraId="10000000">
      <w:pPr>
        <w:widowControl w:val="1"/>
        <w:ind/>
        <w:jc w:val="center"/>
        <w:rPr>
          <w:b w:val="1"/>
          <w:sz w:val="22"/>
        </w:rPr>
      </w:pPr>
    </w:p>
    <w:p w14:paraId="11000000">
      <w:pPr>
        <w:widowControl w:val="1"/>
        <w:ind/>
        <w:jc w:val="center"/>
        <w:rPr>
          <w:sz w:val="22"/>
        </w:rPr>
      </w:pPr>
      <w:r>
        <w:rPr>
          <w:b w:val="1"/>
          <w:sz w:val="22"/>
        </w:rPr>
        <w:t>Предмет Контракта</w:t>
      </w:r>
    </w:p>
    <w:p w14:paraId="12000000">
      <w:pPr>
        <w:pStyle w:val="Style_3"/>
        <w:widowControl w:val="1"/>
        <w:ind w:left="1069"/>
        <w:rPr>
          <w:b w:val="1"/>
          <w:sz w:val="22"/>
        </w:rPr>
      </w:pPr>
    </w:p>
    <w:p w14:paraId="13000000">
      <w:pPr>
        <w:widowControl w:val="1"/>
        <w:ind w:firstLine="567"/>
        <w:jc w:val="both"/>
      </w:pPr>
      <w:r>
        <w:rPr>
          <w:sz w:val="22"/>
        </w:rPr>
        <w:t xml:space="preserve">1.1. Поставщик принимает на себя обязательство по </w:t>
      </w:r>
      <w:r>
        <w:rPr>
          <w:b w:val="1"/>
        </w:rPr>
        <w:t xml:space="preserve">поставке </w:t>
      </w:r>
      <w:r>
        <w:rPr>
          <w:b w:val="1"/>
        </w:rPr>
        <w:t>медалей</w:t>
      </w:r>
      <w:r>
        <w:rPr>
          <w:b w:val="1"/>
        </w:rPr>
        <w:t xml:space="preserve"> </w:t>
      </w:r>
      <w:r>
        <w:rPr>
          <w:sz w:val="22"/>
        </w:rPr>
        <w:t>(далее – Товар)</w:t>
      </w:r>
      <w:r>
        <w:rPr>
          <w:sz w:val="22"/>
        </w:rPr>
        <w:t xml:space="preserve"> Заказчику в обусловленный настоящим Контрактом срок, согласно Расчету цены контракта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4000000">
      <w:pPr>
        <w:widowControl w:val="1"/>
        <w:tabs>
          <w:tab w:leader="none" w:pos="4153" w:val="center"/>
          <w:tab w:leader="none" w:pos="8306" w:val="right"/>
        </w:tabs>
        <w:spacing w:before="120"/>
        <w:ind w:firstLine="567"/>
        <w:jc w:val="both"/>
        <w:rPr>
          <w:b w:val="1"/>
          <w:sz w:val="22"/>
          <w:u w:val="single"/>
        </w:rPr>
      </w:pPr>
      <w:r>
        <w:rPr>
          <w:sz w:val="22"/>
        </w:rPr>
        <w:t xml:space="preserve">1.2. Поставка Товара осуществляется в сроки, установленные разделом 3 настоящего Контракта, по адресу Заказчика: </w:t>
      </w:r>
      <w:r>
        <w:t xml:space="preserve"> </w:t>
      </w:r>
      <w:r>
        <w:rPr>
          <w:b w:val="1"/>
          <w:u w:val="single"/>
        </w:rPr>
        <w:t>г. Санкт</w:t>
      </w:r>
      <w:r>
        <w:rPr>
          <w:b w:val="1"/>
          <w:u w:val="single"/>
        </w:rPr>
        <w:t>-Пе</w:t>
      </w:r>
      <w:r>
        <w:rPr>
          <w:b w:val="1"/>
          <w:u w:val="single"/>
        </w:rPr>
        <w:t>тербург</w:t>
      </w:r>
      <w:r>
        <w:rPr>
          <w:b w:val="1"/>
          <w:u w:val="single"/>
        </w:rPr>
        <w:t xml:space="preserve">, </w:t>
      </w:r>
      <w:r>
        <w:rPr>
          <w:b w:val="1"/>
          <w:sz w:val="22"/>
          <w:u w:val="single"/>
        </w:rPr>
        <w:t>г. Петергоф, Санкт-Петербургский пр., д. 43, литера А</w:t>
      </w:r>
    </w:p>
    <w:p w14:paraId="15000000">
      <w:pPr>
        <w:widowControl w:val="1"/>
        <w:ind w:firstLine="567"/>
        <w:jc w:val="both"/>
        <w:rPr>
          <w:sz w:val="22"/>
        </w:rPr>
      </w:pPr>
    </w:p>
    <w:p w14:paraId="16000000">
      <w:pPr>
        <w:widowControl w:val="1"/>
        <w:ind w:firstLine="567"/>
        <w:jc w:val="both"/>
        <w:rPr>
          <w:sz w:val="22"/>
        </w:rPr>
      </w:pPr>
      <w:r>
        <w:rPr>
          <w:sz w:val="22"/>
        </w:rPr>
        <w:t>2. Цена Контракта, порядок расчетов, обеспечение исполнения Контракта</w:t>
      </w:r>
    </w:p>
    <w:p w14:paraId="17000000">
      <w:pPr>
        <w:widowControl w:val="1"/>
        <w:spacing w:before="120"/>
        <w:ind/>
        <w:jc w:val="center"/>
        <w:rPr>
          <w:b w:val="1"/>
          <w:sz w:val="22"/>
        </w:rPr>
      </w:pPr>
    </w:p>
    <w:p w14:paraId="18000000">
      <w:pPr>
        <w:widowControl w:val="1"/>
        <w:ind w:firstLine="708"/>
        <w:rPr>
          <w:sz w:val="22"/>
        </w:rPr>
      </w:pPr>
      <w:r>
        <w:rPr>
          <w:sz w:val="22"/>
        </w:rPr>
        <w:t>2.1. Цена Контракта составляет _______________ (указать сумму прописью) рублей __ копеек, в том числе НДС - (__%) _________ (указать сумму прописью) рублей ___ копеек</w:t>
      </w:r>
      <w:r>
        <w:rPr>
          <w:rStyle w:val="Style_4_ch"/>
          <w:sz w:val="22"/>
        </w:rPr>
        <w:footnoteReference w:id="1"/>
      </w:r>
      <w:r>
        <w:rPr>
          <w:sz w:val="22"/>
        </w:rPr>
        <w:t>.</w:t>
      </w:r>
    </w:p>
    <w:p w14:paraId="19000000">
      <w:pPr>
        <w:widowControl w:val="1"/>
        <w:ind w:firstLine="708"/>
        <w:rPr>
          <w:sz w:val="22"/>
        </w:rPr>
      </w:pPr>
      <w:r>
        <w:rPr>
          <w:sz w:val="22"/>
        </w:rPr>
        <w:t>2.2. Цена Контракта является твердой и определяется на весь срок его исполнения.</w:t>
      </w:r>
    </w:p>
    <w:p w14:paraId="1A000000">
      <w:pPr>
        <w:widowControl w:val="1"/>
        <w:ind w:firstLine="709"/>
        <w:jc w:val="both"/>
        <w:rPr>
          <w:sz w:val="22"/>
        </w:rPr>
      </w:pPr>
      <w:r>
        <w:rPr>
          <w:sz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14:paraId="1B000000">
      <w:pPr>
        <w:widowControl w:val="1"/>
        <w:ind w:firstLine="709"/>
        <w:jc w:val="both"/>
        <w:rPr>
          <w:sz w:val="22"/>
        </w:rPr>
      </w:pPr>
      <w:r>
        <w:rPr>
          <w:sz w:val="22"/>
        </w:rPr>
        <w:t>2.4. Оплата по настоящему Контракту производится Заказчиком без авансирования (без предварительной оплаты) в срок не более десяти рабочих дней с даты подписания Заказчиком акта приемки Товара. При этом Поставщик предоставляет Заказчику счет, счет-фактуру</w:t>
      </w:r>
      <w:r>
        <w:rPr>
          <w:rStyle w:val="Style_4_ch"/>
          <w:sz w:val="22"/>
        </w:rPr>
        <w:footnoteReference w:id="2"/>
      </w:r>
      <w:r>
        <w:rPr>
          <w:sz w:val="22"/>
        </w:rPr>
        <w:t>, товарную накладную на поставленный Товар.</w:t>
      </w:r>
    </w:p>
    <w:p w14:paraId="1C000000">
      <w:pPr>
        <w:widowControl w:val="1"/>
        <w:ind w:firstLine="709"/>
        <w:jc w:val="both"/>
        <w:rPr>
          <w:sz w:val="22"/>
        </w:rPr>
      </w:pPr>
      <w:r>
        <w:rPr>
          <w:sz w:val="22"/>
        </w:rPr>
        <w:t xml:space="preserve">В случае осуществления поставки Товара отдельными частями, входящими в комплект, оплата производится в срок не более десяти рабочих дней с даты подписания Заказчиком акта приемки последней поставленной части, входящей в комплект Товара. </w:t>
      </w:r>
    </w:p>
    <w:p w14:paraId="1D000000">
      <w:pPr>
        <w:widowControl w:val="1"/>
        <w:ind w:firstLine="709"/>
        <w:jc w:val="both"/>
        <w:rPr>
          <w:sz w:val="22"/>
        </w:rPr>
      </w:pPr>
      <w:r>
        <w:rPr>
          <w:sz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1E000000">
      <w:pPr>
        <w:widowControl w:val="1"/>
        <w:ind w:firstLine="709"/>
        <w:jc w:val="both"/>
        <w:rPr>
          <w:sz w:val="22"/>
        </w:rPr>
      </w:pPr>
      <w:r>
        <w:rPr>
          <w:sz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000000">
      <w:pPr>
        <w:widowControl w:val="1"/>
        <w:ind w:firstLine="567"/>
        <w:jc w:val="both"/>
        <w:rPr>
          <w:sz w:val="22"/>
        </w:rPr>
      </w:pPr>
      <w:r>
        <w:rPr>
          <w:sz w:val="22"/>
        </w:rPr>
        <w:t xml:space="preserve">2.7. Источник финансирования – </w:t>
      </w:r>
      <w:r>
        <w:rPr>
          <w:sz w:val="22"/>
        </w:rPr>
        <w:t>Источник финансирования Контракта - Внебюджетные средства. Субсидии на госзадания.</w:t>
      </w:r>
    </w:p>
    <w:p w14:paraId="20000000">
      <w:pPr>
        <w:widowControl w:val="1"/>
        <w:ind/>
        <w:jc w:val="both"/>
        <w:rPr>
          <w:sz w:val="22"/>
        </w:rPr>
      </w:pPr>
      <w:r>
        <w:rPr>
          <w:sz w:val="22"/>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21000000">
      <w:pPr>
        <w:widowControl w:val="1"/>
        <w:ind w:firstLine="709"/>
        <w:jc w:val="both"/>
        <w:rPr>
          <w:sz w:val="22"/>
        </w:rPr>
      </w:pPr>
      <w:r>
        <w:rPr>
          <w:sz w:val="22"/>
        </w:rPr>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Pr>
          <w:i w:val="1"/>
          <w:sz w:val="22"/>
        </w:rPr>
        <w:t xml:space="preserve">предложенной участником </w:t>
      </w:r>
      <w:r>
        <w:rPr>
          <w:sz w:val="22"/>
        </w:rPr>
        <w:t>на количество Товара</w:t>
      </w:r>
      <w:r>
        <w:rPr>
          <w:i w:val="1"/>
          <w:sz w:val="22"/>
        </w:rPr>
        <w:t>.</w:t>
      </w:r>
    </w:p>
    <w:p w14:paraId="22000000">
      <w:pPr>
        <w:widowControl w:val="1"/>
        <w:ind w:firstLine="709"/>
        <w:jc w:val="both"/>
        <w:rPr>
          <w:sz w:val="22"/>
        </w:rPr>
      </w:pPr>
      <w:r>
        <w:rPr>
          <w:color w:val="000000"/>
          <w:sz w:val="22"/>
        </w:rPr>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3000000">
      <w:pPr>
        <w:widowControl w:val="1"/>
        <w:spacing w:before="120"/>
        <w:ind/>
        <w:jc w:val="center"/>
        <w:rPr>
          <w:b w:val="1"/>
          <w:sz w:val="22"/>
        </w:rPr>
      </w:pPr>
    </w:p>
    <w:p w14:paraId="24000000">
      <w:pPr>
        <w:widowControl w:val="1"/>
        <w:spacing w:before="120"/>
        <w:ind/>
        <w:jc w:val="center"/>
        <w:rPr>
          <w:b w:val="1"/>
          <w:sz w:val="22"/>
        </w:rPr>
      </w:pPr>
      <w:r>
        <w:rPr>
          <w:b w:val="1"/>
          <w:sz w:val="22"/>
        </w:rPr>
        <w:t>3. Срок (период) поставки Товара</w:t>
      </w:r>
    </w:p>
    <w:p w14:paraId="25000000">
      <w:pPr>
        <w:widowControl w:val="1"/>
        <w:spacing w:before="120"/>
        <w:ind/>
        <w:jc w:val="center"/>
        <w:rPr>
          <w:b w:val="1"/>
          <w:sz w:val="22"/>
        </w:rPr>
      </w:pPr>
    </w:p>
    <w:p w14:paraId="26000000">
      <w:pPr>
        <w:widowControl w:val="1"/>
        <w:tabs>
          <w:tab w:leader="none" w:pos="10348" w:val="left"/>
        </w:tabs>
        <w:ind w:firstLine="567" w:left="0"/>
        <w:jc w:val="both"/>
        <w:rPr>
          <w:b w:val="1"/>
          <w:sz w:val="22"/>
        </w:rPr>
      </w:pPr>
      <w:r>
        <w:rPr>
          <w:sz w:val="22"/>
        </w:rPr>
        <w:t xml:space="preserve">3.1. </w:t>
      </w:r>
      <w:r>
        <w:rPr>
          <w:b w:val="1"/>
          <w:sz w:val="22"/>
        </w:rPr>
        <w:t xml:space="preserve">Поставка Товара осуществляется </w:t>
      </w:r>
      <w:r>
        <w:rPr>
          <w:b w:val="1"/>
        </w:rPr>
        <w:t>c даты заключения контракта до 15 мая 2026г.</w:t>
      </w:r>
    </w:p>
    <w:p w14:paraId="27000000">
      <w:pPr>
        <w:widowControl w:val="1"/>
        <w:ind w:firstLine="567"/>
        <w:jc w:val="both"/>
        <w:rPr>
          <w:sz w:val="22"/>
        </w:rPr>
      </w:pPr>
      <w:r>
        <w:rPr>
          <w:sz w:val="22"/>
          <w:highlight w:val="white"/>
        </w:rPr>
        <w:t xml:space="preserve">3.2. Поставка </w:t>
      </w:r>
      <w:r>
        <w:rPr>
          <w:sz w:val="22"/>
        </w:rPr>
        <w:t>Товара должна осуществляться по рабочим дням с 09.00 час. до 17.00 час. (по пятницам с 09.00 час. до 16.00 час.).</w:t>
      </w:r>
    </w:p>
    <w:p w14:paraId="28000000">
      <w:pPr>
        <w:widowControl w:val="1"/>
        <w:spacing w:before="120"/>
        <w:ind/>
        <w:jc w:val="center"/>
        <w:rPr>
          <w:b w:val="1"/>
          <w:sz w:val="22"/>
        </w:rPr>
      </w:pPr>
    </w:p>
    <w:p w14:paraId="29000000">
      <w:pPr>
        <w:widowControl w:val="1"/>
        <w:spacing w:before="120"/>
        <w:ind/>
        <w:jc w:val="center"/>
        <w:rPr>
          <w:b w:val="1"/>
          <w:sz w:val="22"/>
        </w:rPr>
      </w:pPr>
      <w:r>
        <w:rPr>
          <w:b w:val="1"/>
          <w:sz w:val="22"/>
        </w:rPr>
        <w:t>4. Порядок поставки Товара</w:t>
      </w:r>
    </w:p>
    <w:p w14:paraId="2A000000">
      <w:pPr>
        <w:widowControl w:val="1"/>
        <w:spacing w:before="120"/>
        <w:ind/>
        <w:jc w:val="center"/>
        <w:rPr>
          <w:b w:val="1"/>
          <w:sz w:val="22"/>
        </w:rPr>
      </w:pPr>
    </w:p>
    <w:p w14:paraId="2B000000">
      <w:pPr>
        <w:widowControl w:val="1"/>
        <w:ind w:firstLine="567"/>
        <w:jc w:val="both"/>
        <w:rPr>
          <w:b w:val="1"/>
          <w:i w:val="1"/>
          <w:sz w:val="22"/>
        </w:rPr>
      </w:pPr>
      <w:r>
        <w:rPr>
          <w:sz w:val="22"/>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 </w:t>
      </w:r>
    </w:p>
    <w:p w14:paraId="2C000000">
      <w:pPr>
        <w:widowControl w:val="1"/>
        <w:ind w:firstLine="567"/>
        <w:jc w:val="both"/>
        <w:rPr>
          <w:sz w:val="22"/>
        </w:rPr>
      </w:pPr>
      <w:r>
        <w:rPr>
          <w:sz w:val="22"/>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14:paraId="2D000000">
      <w:pPr>
        <w:widowControl w:val="1"/>
        <w:ind w:firstLine="567"/>
        <w:jc w:val="both"/>
        <w:rPr>
          <w:sz w:val="22"/>
        </w:rPr>
      </w:pPr>
      <w:r>
        <w:rPr>
          <w:sz w:val="22"/>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E000000">
      <w:pPr>
        <w:widowControl w:val="1"/>
        <w:spacing w:before="120"/>
        <w:ind/>
        <w:jc w:val="center"/>
        <w:rPr>
          <w:b w:val="1"/>
          <w:sz w:val="22"/>
        </w:rPr>
      </w:pPr>
    </w:p>
    <w:p w14:paraId="2F000000">
      <w:pPr>
        <w:widowControl w:val="1"/>
        <w:spacing w:before="120"/>
        <w:ind/>
        <w:jc w:val="center"/>
        <w:rPr>
          <w:b w:val="1"/>
          <w:sz w:val="22"/>
        </w:rPr>
      </w:pPr>
      <w:r>
        <w:rPr>
          <w:b w:val="1"/>
          <w:sz w:val="22"/>
        </w:rPr>
        <w:t xml:space="preserve">5. Порядок и срок приемки поставленного Товара, оформление результатов приемки </w:t>
      </w:r>
    </w:p>
    <w:p w14:paraId="30000000">
      <w:pPr>
        <w:widowControl w:val="1"/>
        <w:spacing w:before="120"/>
        <w:ind/>
        <w:jc w:val="center"/>
        <w:rPr>
          <w:b w:val="1"/>
          <w:sz w:val="22"/>
        </w:rPr>
      </w:pPr>
    </w:p>
    <w:p w14:paraId="31000000">
      <w:pPr>
        <w:widowControl w:val="1"/>
        <w:ind w:firstLine="567"/>
        <w:jc w:val="both"/>
        <w:rPr>
          <w:sz w:val="22"/>
        </w:rPr>
      </w:pPr>
      <w:r>
        <w:rPr>
          <w:sz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32000000">
      <w:pPr>
        <w:widowControl w:val="1"/>
        <w:ind w:firstLine="567"/>
        <w:jc w:val="both"/>
        <w:rPr>
          <w:sz w:val="22"/>
        </w:rPr>
      </w:pPr>
      <w:r>
        <w:rPr>
          <w:sz w:val="22"/>
        </w:rPr>
        <w:t>Для приемки Товара Заказчик вправе создать приемочную комиссию.</w:t>
      </w:r>
    </w:p>
    <w:p w14:paraId="33000000">
      <w:pPr>
        <w:widowControl w:val="1"/>
        <w:ind w:firstLine="567"/>
        <w:jc w:val="both"/>
        <w:rPr>
          <w:sz w:val="22"/>
        </w:rPr>
      </w:pPr>
      <w:r>
        <w:rPr>
          <w:sz w:val="22"/>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14:paraId="34000000">
      <w:pPr>
        <w:widowControl w:val="1"/>
        <w:ind w:firstLine="567"/>
        <w:jc w:val="both"/>
        <w:rPr>
          <w:sz w:val="22"/>
        </w:rPr>
      </w:pPr>
      <w:r>
        <w:rPr>
          <w:sz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35000000">
      <w:pPr>
        <w:widowControl w:val="1"/>
        <w:ind w:firstLine="567"/>
        <w:jc w:val="both"/>
        <w:rPr>
          <w:sz w:val="22"/>
        </w:rPr>
      </w:pPr>
      <w:r>
        <w:rPr>
          <w:sz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36000000">
      <w:pPr>
        <w:widowControl w:val="1"/>
        <w:ind w:firstLine="567"/>
        <w:jc w:val="both"/>
        <w:rPr>
          <w:sz w:val="22"/>
        </w:rPr>
      </w:pPr>
      <w:r>
        <w:rPr>
          <w:sz w:val="22"/>
        </w:rPr>
        <w:t>5.3. Порядок осуществления приемки поставленного Товара:</w:t>
      </w:r>
    </w:p>
    <w:p w14:paraId="37000000">
      <w:pPr>
        <w:widowControl w:val="1"/>
        <w:ind w:firstLine="567"/>
        <w:jc w:val="both"/>
        <w:rPr>
          <w:sz w:val="22"/>
        </w:rPr>
      </w:pPr>
      <w:r>
        <w:rPr>
          <w:sz w:val="22"/>
        </w:rPr>
        <w:t>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14:paraId="38000000">
      <w:pPr>
        <w:widowControl w:val="1"/>
        <w:ind w:firstLine="567"/>
        <w:jc w:val="both"/>
        <w:rPr>
          <w:sz w:val="22"/>
        </w:rPr>
      </w:pPr>
      <w:r>
        <w:rPr>
          <w:sz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39000000">
      <w:pPr>
        <w:widowControl w:val="1"/>
        <w:ind w:firstLine="567"/>
        <w:jc w:val="both"/>
        <w:rPr>
          <w:sz w:val="22"/>
        </w:rPr>
      </w:pPr>
      <w:r>
        <w:rPr>
          <w:sz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A000000">
      <w:pPr>
        <w:widowControl w:val="1"/>
        <w:ind w:firstLine="567"/>
        <w:jc w:val="both"/>
        <w:rPr>
          <w:sz w:val="22"/>
        </w:rPr>
      </w:pPr>
      <w:r>
        <w:rPr>
          <w:sz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B000000">
      <w:pPr>
        <w:widowControl w:val="1"/>
        <w:ind w:firstLine="567"/>
        <w:jc w:val="both"/>
        <w:rPr>
          <w:sz w:val="22"/>
        </w:rPr>
      </w:pPr>
      <w:r>
        <w:rPr>
          <w:sz w:val="22"/>
        </w:rPr>
        <w:t>5.3.5. Поставщик своими силами и за свой счет обязан устранить недостатки Товара в установленный Заказчиком срок.</w:t>
      </w:r>
    </w:p>
    <w:p w14:paraId="3C000000">
      <w:pPr>
        <w:widowControl w:val="1"/>
        <w:ind w:firstLine="567"/>
        <w:jc w:val="both"/>
        <w:rPr>
          <w:sz w:val="22"/>
        </w:rPr>
      </w:pPr>
      <w:r>
        <w:rPr>
          <w:sz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3D000000">
      <w:pPr>
        <w:widowControl w:val="1"/>
        <w:ind w:firstLine="567"/>
        <w:jc w:val="both"/>
        <w:rPr>
          <w:sz w:val="22"/>
        </w:rPr>
      </w:pPr>
      <w:r>
        <w:rPr>
          <w:sz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3E000000">
      <w:pPr>
        <w:widowControl w:val="1"/>
        <w:ind w:firstLine="567"/>
        <w:jc w:val="both"/>
        <w:rPr>
          <w:sz w:val="22"/>
        </w:rPr>
      </w:pPr>
      <w:r>
        <w:rPr>
          <w:sz w:val="22"/>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14:paraId="3F000000">
      <w:pPr>
        <w:widowControl w:val="1"/>
        <w:ind w:firstLine="567"/>
        <w:jc w:val="both"/>
        <w:rPr>
          <w:sz w:val="22"/>
        </w:rPr>
      </w:pPr>
      <w:r>
        <w:rPr>
          <w:sz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0000000">
      <w:pPr>
        <w:widowControl w:val="1"/>
        <w:ind w:firstLine="567"/>
        <w:jc w:val="both"/>
        <w:rPr>
          <w:sz w:val="22"/>
        </w:rPr>
      </w:pPr>
      <w:r>
        <w:rPr>
          <w:sz w:val="22"/>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1000000">
      <w:pPr>
        <w:widowControl w:val="1"/>
        <w:ind w:firstLine="567"/>
        <w:jc w:val="both"/>
        <w:rPr>
          <w:sz w:val="22"/>
        </w:rPr>
      </w:pPr>
      <w:r>
        <w:rPr>
          <w:sz w:val="22"/>
        </w:rPr>
        <w:t xml:space="preserve">5.3.9. Товар считается поставленным со дня подписания Заказчиком акта приемки Товара. </w:t>
      </w:r>
    </w:p>
    <w:p w14:paraId="42000000">
      <w:pPr>
        <w:widowControl w:val="1"/>
        <w:ind w:firstLine="567"/>
        <w:jc w:val="both"/>
        <w:rPr>
          <w:sz w:val="22"/>
        </w:rPr>
      </w:pPr>
      <w:r>
        <w:rPr>
          <w:sz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43000000">
      <w:pPr>
        <w:widowControl w:val="1"/>
        <w:ind w:firstLine="567"/>
        <w:jc w:val="both"/>
        <w:rPr>
          <w:sz w:val="22"/>
        </w:rPr>
      </w:pPr>
    </w:p>
    <w:p w14:paraId="44000000">
      <w:pPr>
        <w:widowControl w:val="1"/>
        <w:spacing w:before="120"/>
        <w:ind/>
        <w:jc w:val="center"/>
        <w:rPr>
          <w:b w:val="1"/>
          <w:sz w:val="22"/>
        </w:rPr>
      </w:pPr>
      <w:r>
        <w:rPr>
          <w:b w:val="1"/>
          <w:sz w:val="22"/>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45000000">
      <w:pPr>
        <w:widowControl w:val="1"/>
        <w:ind w:firstLine="567"/>
        <w:jc w:val="center"/>
      </w:pPr>
    </w:p>
    <w:p w14:paraId="46000000">
      <w:pPr>
        <w:widowControl w:val="1"/>
        <w:ind w:firstLine="567"/>
        <w:jc w:val="both"/>
        <w:rPr>
          <w:b w:val="1"/>
          <w:i w:val="1"/>
          <w:sz w:val="22"/>
        </w:rPr>
      </w:pPr>
      <w:r>
        <w:rPr>
          <w:sz w:val="22"/>
        </w:rPr>
        <w:t>6.1. Качество поставляемого Товара должно полностью соответствовать требованиям, указанным в приложении № 1 к настоящему Контракту.</w:t>
      </w:r>
    </w:p>
    <w:p w14:paraId="47000000">
      <w:pPr>
        <w:widowControl w:val="1"/>
        <w:ind w:firstLine="567"/>
        <w:jc w:val="both"/>
        <w:rPr>
          <w:sz w:val="22"/>
        </w:rPr>
      </w:pPr>
      <w:r>
        <w:rPr>
          <w:sz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8000000">
      <w:pPr>
        <w:widowControl w:val="1"/>
        <w:ind w:firstLine="567"/>
        <w:jc w:val="both"/>
        <w:rPr>
          <w:sz w:val="22"/>
        </w:rPr>
      </w:pPr>
      <w:r>
        <w:rPr>
          <w:sz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9000000">
      <w:pPr>
        <w:widowControl w:val="1"/>
        <w:ind w:firstLine="567"/>
        <w:jc w:val="both"/>
        <w:rPr>
          <w:sz w:val="22"/>
        </w:rPr>
      </w:pPr>
      <w:r>
        <w:rPr>
          <w:sz w:val="22"/>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4A000000">
      <w:pPr>
        <w:widowControl w:val="1"/>
        <w:ind w:firstLine="567"/>
        <w:jc w:val="both"/>
        <w:rPr>
          <w:b w:val="1"/>
          <w:i w:val="1"/>
          <w:sz w:val="22"/>
        </w:rPr>
      </w:pPr>
      <w:r>
        <w:rPr>
          <w:sz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4B000000">
      <w:pPr>
        <w:widowControl w:val="1"/>
        <w:ind w:firstLine="567"/>
        <w:jc w:val="both"/>
        <w:rPr>
          <w:sz w:val="22"/>
        </w:rPr>
      </w:pPr>
      <w:r>
        <w:rPr>
          <w:sz w:val="22"/>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14:paraId="4C000000">
      <w:pPr>
        <w:widowControl w:val="1"/>
        <w:ind w:firstLine="567"/>
        <w:jc w:val="both"/>
        <w:rPr>
          <w:sz w:val="22"/>
        </w:rPr>
      </w:pPr>
      <w:r>
        <w:rPr>
          <w:sz w:val="22"/>
        </w:rPr>
        <w:t>6.5. На время ремонта дефектный Товар, по требованию Заказчика, подлежит замене на аналогичный новый Товар.</w:t>
      </w:r>
    </w:p>
    <w:p w14:paraId="4D000000">
      <w:pPr>
        <w:widowControl w:val="1"/>
        <w:spacing w:before="120"/>
        <w:ind/>
        <w:jc w:val="center"/>
        <w:rPr>
          <w:b w:val="1"/>
          <w:sz w:val="22"/>
        </w:rPr>
      </w:pPr>
    </w:p>
    <w:p w14:paraId="4E000000">
      <w:pPr>
        <w:widowControl w:val="1"/>
        <w:spacing w:before="120"/>
        <w:ind/>
        <w:jc w:val="center"/>
        <w:rPr>
          <w:b w:val="1"/>
          <w:sz w:val="22"/>
        </w:rPr>
      </w:pPr>
      <w:r>
        <w:rPr>
          <w:b w:val="1"/>
          <w:sz w:val="22"/>
        </w:rPr>
        <w:t>7. Права и обязанности Сторон</w:t>
      </w:r>
    </w:p>
    <w:p w14:paraId="4F000000">
      <w:pPr>
        <w:widowControl w:val="1"/>
        <w:spacing w:before="120"/>
        <w:ind/>
        <w:jc w:val="center"/>
        <w:rPr>
          <w:b w:val="1"/>
          <w:sz w:val="22"/>
        </w:rPr>
      </w:pPr>
    </w:p>
    <w:p w14:paraId="50000000">
      <w:pPr>
        <w:widowControl w:val="1"/>
        <w:ind w:firstLine="567"/>
        <w:jc w:val="both"/>
        <w:rPr>
          <w:sz w:val="22"/>
        </w:rPr>
      </w:pPr>
      <w:r>
        <w:rPr>
          <w:sz w:val="22"/>
        </w:rPr>
        <w:t>7.1. Заказчик обязан:</w:t>
      </w:r>
    </w:p>
    <w:p w14:paraId="51000000">
      <w:pPr>
        <w:widowControl w:val="1"/>
        <w:ind w:firstLine="567"/>
        <w:jc w:val="both"/>
        <w:rPr>
          <w:sz w:val="22"/>
        </w:rPr>
      </w:pPr>
      <w:r>
        <w:rPr>
          <w:sz w:val="22"/>
        </w:rPr>
        <w:t>7.1.1. Принять поставленный Товар в порядке и сроки, предусмотренные Контрактом. Указать Поставщику места размещения Товара.</w:t>
      </w:r>
    </w:p>
    <w:p w14:paraId="52000000">
      <w:pPr>
        <w:widowControl w:val="1"/>
        <w:ind w:firstLine="567"/>
        <w:jc w:val="both"/>
        <w:rPr>
          <w:sz w:val="22"/>
        </w:rPr>
      </w:pPr>
      <w:r>
        <w:rPr>
          <w:sz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53000000">
      <w:pPr>
        <w:widowControl w:val="1"/>
        <w:ind w:firstLine="567"/>
        <w:jc w:val="both"/>
        <w:rPr>
          <w:sz w:val="22"/>
        </w:rPr>
      </w:pPr>
      <w:r>
        <w:rPr>
          <w:sz w:val="22"/>
        </w:rPr>
        <w:t>7.2. Заказчик вправе:</w:t>
      </w:r>
    </w:p>
    <w:p w14:paraId="54000000">
      <w:pPr>
        <w:widowControl w:val="1"/>
        <w:ind w:firstLine="567"/>
        <w:jc w:val="both"/>
        <w:rPr>
          <w:sz w:val="22"/>
        </w:rPr>
      </w:pPr>
      <w:r>
        <w:rPr>
          <w:sz w:val="22"/>
        </w:rPr>
        <w:t>7.2.1. Требовать надлежащего исполнения обязательств в соответствии с условиями Контракта.</w:t>
      </w:r>
    </w:p>
    <w:p w14:paraId="55000000">
      <w:pPr>
        <w:widowControl w:val="1"/>
        <w:ind w:firstLine="567"/>
        <w:jc w:val="both"/>
        <w:rPr>
          <w:sz w:val="22"/>
        </w:rPr>
      </w:pPr>
      <w:r>
        <w:rPr>
          <w:sz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6000000">
      <w:pPr>
        <w:widowControl w:val="1"/>
        <w:ind w:firstLine="567"/>
        <w:jc w:val="both"/>
        <w:rPr>
          <w:sz w:val="22"/>
        </w:rPr>
      </w:pPr>
      <w:r>
        <w:rPr>
          <w:sz w:val="22"/>
        </w:rPr>
        <w:t>7.2.3. Запрашивать у Поставщика информацию о ходе и состоянии исполнения обязательств по Контракту.</w:t>
      </w:r>
    </w:p>
    <w:p w14:paraId="57000000">
      <w:pPr>
        <w:widowControl w:val="1"/>
        <w:ind w:firstLine="567"/>
        <w:jc w:val="both"/>
        <w:rPr>
          <w:sz w:val="22"/>
        </w:rPr>
      </w:pPr>
      <w:r>
        <w:rPr>
          <w:sz w:val="22"/>
        </w:rPr>
        <w:t>7.2.4. Осуществлять контроль за порядком и сроками поставки Товара, не вмешиваясь в оперативно-хозяйственную деятельность Поставщика.</w:t>
      </w:r>
    </w:p>
    <w:p w14:paraId="58000000">
      <w:pPr>
        <w:widowControl w:val="1"/>
        <w:ind w:firstLine="567"/>
        <w:jc w:val="both"/>
        <w:rPr>
          <w:sz w:val="22"/>
        </w:rPr>
      </w:pPr>
      <w:r>
        <w:rPr>
          <w:sz w:val="22"/>
        </w:rPr>
        <w:t>7.2.5. Отказаться от принятия и оплаты Товара, не соответствующего требованиям Контракта.</w:t>
      </w:r>
    </w:p>
    <w:p w14:paraId="59000000">
      <w:pPr>
        <w:widowControl w:val="1"/>
        <w:ind w:firstLine="567"/>
        <w:jc w:val="both"/>
        <w:rPr>
          <w:sz w:val="22"/>
        </w:rPr>
      </w:pPr>
      <w:r>
        <w:rPr>
          <w:sz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A000000">
      <w:pPr>
        <w:widowControl w:val="1"/>
        <w:ind w:firstLine="567"/>
        <w:jc w:val="both"/>
        <w:rPr>
          <w:color w:val="000000"/>
          <w:sz w:val="22"/>
        </w:rPr>
      </w:pPr>
      <w:r>
        <w:rPr>
          <w:sz w:val="22"/>
        </w:rPr>
        <w:t>7.2.7. П</w:t>
      </w:r>
      <w:r>
        <w:rPr>
          <w:color w:val="000000"/>
          <w:sz w:val="22"/>
        </w:rPr>
        <w:t>ринять решение об одностороннем отказе от исполнения Контракта.</w:t>
      </w:r>
    </w:p>
    <w:p w14:paraId="5B000000">
      <w:pPr>
        <w:widowControl w:val="1"/>
        <w:ind w:firstLine="567"/>
        <w:jc w:val="both"/>
        <w:rPr>
          <w:sz w:val="22"/>
        </w:rPr>
      </w:pPr>
      <w:r>
        <w:rPr>
          <w:sz w:val="22"/>
        </w:rPr>
        <w:t>7.3. Поставщик обязан:</w:t>
      </w:r>
    </w:p>
    <w:p w14:paraId="5C000000">
      <w:pPr>
        <w:widowControl w:val="1"/>
        <w:ind w:firstLine="567"/>
        <w:jc w:val="both"/>
        <w:rPr>
          <w:sz w:val="22"/>
        </w:rPr>
      </w:pPr>
      <w:r>
        <w:rPr>
          <w:sz w:val="22"/>
        </w:rPr>
        <w:t>7.3.1. Поставить Товар, обеспечив его надлежащее качество, в сроки, установленные Контрактом.</w:t>
      </w:r>
    </w:p>
    <w:p w14:paraId="5D000000">
      <w:pPr>
        <w:widowControl w:val="1"/>
        <w:ind w:firstLine="567"/>
        <w:jc w:val="both"/>
        <w:rPr>
          <w:sz w:val="22"/>
        </w:rPr>
      </w:pPr>
      <w:r>
        <w:rPr>
          <w:sz w:val="22"/>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14:paraId="5E000000">
      <w:pPr>
        <w:widowControl w:val="1"/>
        <w:ind w:firstLine="567"/>
        <w:jc w:val="both"/>
        <w:rPr>
          <w:sz w:val="22"/>
        </w:rPr>
      </w:pPr>
      <w:r>
        <w:rPr>
          <w:sz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F000000">
      <w:pPr>
        <w:widowControl w:val="1"/>
        <w:ind w:firstLine="567"/>
        <w:jc w:val="both"/>
        <w:rPr>
          <w:sz w:val="22"/>
        </w:rPr>
      </w:pPr>
      <w:r>
        <w:rPr>
          <w:sz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14:paraId="60000000">
      <w:pPr>
        <w:widowControl w:val="1"/>
        <w:ind w:firstLine="567"/>
        <w:jc w:val="both"/>
        <w:rPr>
          <w:sz w:val="22"/>
        </w:rPr>
      </w:pPr>
      <w:r>
        <w:rPr>
          <w:sz w:val="22"/>
        </w:rPr>
        <w:t>7.3.5. Представлять по запросу Заказчика в сроки, указанные в таком запросе, информацию о ходе исполнения обязательств по Контракту.</w:t>
      </w:r>
    </w:p>
    <w:p w14:paraId="61000000">
      <w:pPr>
        <w:widowControl w:val="1"/>
        <w:ind w:firstLine="567"/>
        <w:jc w:val="both"/>
        <w:rPr>
          <w:sz w:val="22"/>
        </w:rPr>
      </w:pPr>
      <w:r>
        <w:rPr>
          <w:sz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2000000">
      <w:pPr>
        <w:widowControl w:val="1"/>
        <w:ind w:firstLine="567"/>
        <w:jc w:val="both"/>
        <w:rPr>
          <w:sz w:val="22"/>
        </w:rPr>
      </w:pPr>
      <w:r>
        <w:rPr>
          <w:sz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3000000">
      <w:pPr>
        <w:widowControl w:val="1"/>
        <w:ind w:firstLine="567"/>
        <w:jc w:val="both"/>
        <w:rPr>
          <w:sz w:val="22"/>
        </w:rPr>
      </w:pPr>
      <w:r>
        <w:rPr>
          <w:sz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64000000">
      <w:pPr>
        <w:widowControl w:val="1"/>
        <w:ind w:firstLine="567"/>
        <w:jc w:val="both"/>
        <w:rPr>
          <w:sz w:val="22"/>
        </w:rPr>
      </w:pPr>
      <w:r>
        <w:rPr>
          <w:sz w:val="22"/>
        </w:rPr>
        <w:t>7.3.9. Понести риск случайной гибели или случайного повреждения Товара до подписания акта приемки Товара Заказчиком.</w:t>
      </w:r>
    </w:p>
    <w:p w14:paraId="65000000">
      <w:pPr>
        <w:widowControl w:val="1"/>
        <w:ind w:firstLine="567"/>
        <w:jc w:val="both"/>
        <w:rPr>
          <w:sz w:val="22"/>
        </w:rPr>
      </w:pPr>
      <w:r>
        <w:rPr>
          <w:sz w:val="22"/>
        </w:rPr>
        <w:t>7.3.10. Устранить выявленные недостатки поставленного Товара в порядке и сроки, установленные Контрактом.</w:t>
      </w:r>
    </w:p>
    <w:p w14:paraId="66000000">
      <w:pPr>
        <w:widowControl w:val="1"/>
        <w:ind w:firstLine="567"/>
        <w:jc w:val="both"/>
        <w:rPr>
          <w:sz w:val="22"/>
        </w:rPr>
      </w:pPr>
      <w:r>
        <w:rPr>
          <w:sz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7000000">
      <w:pPr>
        <w:widowControl w:val="1"/>
        <w:ind w:firstLine="567"/>
        <w:jc w:val="both"/>
        <w:rPr>
          <w:sz w:val="22"/>
        </w:rPr>
      </w:pPr>
      <w:r>
        <w:rPr>
          <w:sz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8000000">
      <w:pPr>
        <w:widowControl w:val="1"/>
        <w:ind w:firstLine="567"/>
        <w:jc w:val="both"/>
        <w:rPr>
          <w:sz w:val="22"/>
        </w:rPr>
      </w:pPr>
      <w:r>
        <w:rPr>
          <w:sz w:val="22"/>
        </w:rPr>
        <w:t>7.3.13. Нести ответственность перед Заказчиком за действия привлекаемых третьих лиц.</w:t>
      </w:r>
    </w:p>
    <w:p w14:paraId="69000000">
      <w:pPr>
        <w:widowControl w:val="1"/>
        <w:ind w:firstLine="567"/>
        <w:jc w:val="both"/>
        <w:rPr>
          <w:sz w:val="22"/>
        </w:rPr>
      </w:pPr>
      <w:r>
        <w:rPr>
          <w:sz w:val="22"/>
        </w:rPr>
        <w:t>7.4. Поставщик вправе:</w:t>
      </w:r>
    </w:p>
    <w:p w14:paraId="6A000000">
      <w:pPr>
        <w:widowControl w:val="1"/>
        <w:ind w:firstLine="567"/>
        <w:jc w:val="both"/>
        <w:rPr>
          <w:sz w:val="22"/>
        </w:rPr>
      </w:pPr>
      <w:r>
        <w:rPr>
          <w:sz w:val="22"/>
        </w:rPr>
        <w:t>7.4.1. Требовать подписания документов об исполнении им обязательств по Контракту от Заказчика.</w:t>
      </w:r>
    </w:p>
    <w:p w14:paraId="6B000000">
      <w:pPr>
        <w:widowControl w:val="1"/>
        <w:ind w:firstLine="567"/>
        <w:jc w:val="both"/>
        <w:rPr>
          <w:sz w:val="22"/>
        </w:rPr>
      </w:pPr>
      <w:r>
        <w:rPr>
          <w:sz w:val="22"/>
        </w:rPr>
        <w:t>7.4.2. Требовать оплаты по Контракту в случае надлежащего исполнения своих обязательств по Контракту.</w:t>
      </w:r>
    </w:p>
    <w:p w14:paraId="6C000000">
      <w:pPr>
        <w:widowControl w:val="1"/>
        <w:ind w:firstLine="567"/>
        <w:jc w:val="both"/>
        <w:rPr>
          <w:sz w:val="22"/>
        </w:rPr>
      </w:pPr>
      <w:r>
        <w:rPr>
          <w:sz w:val="22"/>
        </w:rPr>
        <w:t>7.4.3. Направить уполномоченного представителя для передачи Товара Заказчику с правом подписи акта приемки Товара.</w:t>
      </w:r>
    </w:p>
    <w:p w14:paraId="6D000000">
      <w:pPr>
        <w:widowControl w:val="1"/>
        <w:spacing w:before="120"/>
        <w:ind/>
        <w:jc w:val="center"/>
        <w:rPr>
          <w:b w:val="1"/>
          <w:sz w:val="22"/>
        </w:rPr>
      </w:pPr>
    </w:p>
    <w:p w14:paraId="6E000000">
      <w:pPr>
        <w:widowControl w:val="1"/>
        <w:spacing w:before="120"/>
        <w:ind/>
        <w:jc w:val="center"/>
        <w:rPr>
          <w:b w:val="1"/>
          <w:sz w:val="22"/>
        </w:rPr>
      </w:pPr>
      <w:r>
        <w:rPr>
          <w:b w:val="1"/>
          <w:sz w:val="22"/>
        </w:rPr>
        <w:t xml:space="preserve">8. Ответственность Сторон </w:t>
      </w:r>
    </w:p>
    <w:p w14:paraId="6F000000">
      <w:pPr>
        <w:widowControl w:val="1"/>
        <w:spacing w:before="120"/>
        <w:ind/>
        <w:jc w:val="center"/>
        <w:rPr>
          <w:b w:val="1"/>
          <w:sz w:val="22"/>
        </w:rPr>
      </w:pPr>
    </w:p>
    <w:p w14:paraId="70000000">
      <w:pPr>
        <w:widowControl w:val="1"/>
        <w:ind w:firstLine="567"/>
        <w:jc w:val="both"/>
        <w:rPr>
          <w:sz w:val="22"/>
        </w:rPr>
      </w:pPr>
      <w:r>
        <w:rPr>
          <w:sz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1000000">
      <w:pPr>
        <w:widowControl w:val="1"/>
        <w:ind w:firstLine="567"/>
        <w:jc w:val="both"/>
        <w:rPr>
          <w:sz w:val="22"/>
        </w:rPr>
      </w:pPr>
      <w:r>
        <w:rPr>
          <w:sz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000000">
      <w:pPr>
        <w:widowControl w:val="1"/>
        <w:ind w:firstLine="567"/>
        <w:jc w:val="both"/>
        <w:rPr>
          <w:color w:val="000000"/>
          <w:sz w:val="22"/>
        </w:rPr>
      </w:pPr>
      <w:r>
        <w:rPr>
          <w:sz w:val="22"/>
        </w:rPr>
        <w:t xml:space="preserve">8.2.1. Пеня начисляется за каждый день </w:t>
      </w:r>
      <w:r>
        <w:rPr>
          <w:color w:val="000000"/>
          <w:sz w:val="22"/>
        </w:rPr>
        <w:t xml:space="preserve">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w:t>
      </w:r>
      <w:r>
        <w:rPr>
          <w:color w:val="000000"/>
          <w:sz w:val="22"/>
        </w:rPr>
        <w:t>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3000000">
      <w:pPr>
        <w:widowControl w:val="1"/>
        <w:ind w:firstLine="567"/>
        <w:jc w:val="both"/>
        <w:rPr>
          <w:color w:val="000000"/>
          <w:sz w:val="22"/>
        </w:rPr>
      </w:pPr>
      <w:r>
        <w:rPr>
          <w:color w:val="000000"/>
          <w:sz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4000000">
      <w:pPr>
        <w:widowControl w:val="1"/>
        <w:ind w:firstLine="567"/>
        <w:jc w:val="both"/>
        <w:rPr>
          <w:color w:val="000000"/>
          <w:sz w:val="22"/>
        </w:rPr>
      </w:pPr>
      <w:r>
        <w:rPr>
          <w:color w:val="000000"/>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000000">
      <w:pPr>
        <w:widowControl w:val="1"/>
        <w:ind w:firstLine="567"/>
        <w:jc w:val="both"/>
        <w:rPr>
          <w:color w:val="000000"/>
          <w:sz w:val="22"/>
        </w:rPr>
      </w:pPr>
      <w:r>
        <w:rPr>
          <w:color w:val="000000"/>
          <w:sz w:val="22"/>
        </w:rPr>
        <w:t>1000 рублей, если цена контракта не превышает 3 млн. рублей (включительно);</w:t>
      </w:r>
    </w:p>
    <w:p w14:paraId="76000000">
      <w:pPr>
        <w:widowControl w:val="1"/>
        <w:ind w:firstLine="567"/>
        <w:jc w:val="both"/>
        <w:rPr>
          <w:color w:val="000000"/>
          <w:sz w:val="22"/>
        </w:rPr>
      </w:pPr>
      <w:r>
        <w:rPr>
          <w:color w:val="000000"/>
          <w:sz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000000">
      <w:pPr>
        <w:widowControl w:val="1"/>
        <w:ind w:firstLine="567"/>
        <w:jc w:val="both"/>
        <w:rPr>
          <w:color w:val="000000"/>
          <w:sz w:val="22"/>
        </w:rPr>
      </w:pPr>
      <w:r>
        <w:rPr>
          <w:color w:val="000000"/>
          <w:sz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000000">
      <w:pPr>
        <w:widowControl w:val="1"/>
        <w:ind w:firstLine="567"/>
        <w:jc w:val="both"/>
        <w:rPr>
          <w:sz w:val="22"/>
        </w:rPr>
      </w:pPr>
      <w:r>
        <w:rPr>
          <w:sz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9000000">
      <w:pPr>
        <w:widowControl w:val="1"/>
        <w:ind w:firstLine="567"/>
        <w:jc w:val="both"/>
        <w:rPr>
          <w:sz w:val="22"/>
        </w:rPr>
      </w:pPr>
      <w:r>
        <w:rPr>
          <w:sz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A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000000">
      <w:pPr>
        <w:widowControl w:val="1"/>
        <w:ind w:firstLine="567"/>
        <w:jc w:val="both"/>
        <w:rPr>
          <w:color w:val="000000"/>
          <w:sz w:val="22"/>
        </w:rPr>
      </w:pPr>
      <w:r>
        <w:rPr>
          <w:color w:val="000000"/>
          <w:sz w:val="22"/>
        </w:rPr>
        <w:t>10 процентов цены контракта (этапа) в случае, если цена контракта (этапа) не превышает 3 млн. рублей;</w:t>
      </w:r>
    </w:p>
    <w:p w14:paraId="7C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D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E000000">
      <w:pPr>
        <w:widowControl w:val="1"/>
        <w:ind w:firstLine="567"/>
        <w:jc w:val="both"/>
        <w:rPr>
          <w:color w:val="000000"/>
          <w:sz w:val="22"/>
        </w:rPr>
      </w:pPr>
      <w:r>
        <w:rPr>
          <w:color w:val="000000"/>
          <w:sz w:val="22"/>
        </w:rPr>
        <w:t>а) в случае, если цена контракта не превышает начальную (максимальную) цену контракта:</w:t>
      </w:r>
    </w:p>
    <w:p w14:paraId="7F000000">
      <w:pPr>
        <w:widowControl w:val="1"/>
        <w:ind w:firstLine="567"/>
        <w:jc w:val="both"/>
        <w:rPr>
          <w:color w:val="000000"/>
          <w:sz w:val="22"/>
        </w:rPr>
      </w:pPr>
      <w:r>
        <w:rPr>
          <w:color w:val="000000"/>
          <w:sz w:val="22"/>
        </w:rPr>
        <w:t>10 процентов начальной (максимальной) цены контракта, если цена контракта не превышает 3 млн. рублей;</w:t>
      </w:r>
    </w:p>
    <w:p w14:paraId="80000000">
      <w:pPr>
        <w:widowControl w:val="1"/>
        <w:ind w:firstLine="567"/>
        <w:jc w:val="both"/>
        <w:rPr>
          <w:color w:val="000000"/>
          <w:sz w:val="22"/>
        </w:rPr>
      </w:pPr>
      <w:r>
        <w:rPr>
          <w:color w:val="000000"/>
          <w:sz w:val="22"/>
        </w:rPr>
        <w:t>б) в случае, если цена контракта превышает начальную (максимальную) цену контракта:</w:t>
      </w:r>
    </w:p>
    <w:p w14:paraId="81000000">
      <w:pPr>
        <w:widowControl w:val="1"/>
        <w:ind w:firstLine="567"/>
        <w:jc w:val="both"/>
        <w:rPr>
          <w:color w:val="000000"/>
          <w:sz w:val="22"/>
        </w:rPr>
      </w:pPr>
      <w:r>
        <w:rPr>
          <w:color w:val="000000"/>
          <w:sz w:val="22"/>
        </w:rPr>
        <w:t>10 процентов цены контракта, если цена контракта не превышает 3 млн. рублей;</w:t>
      </w:r>
    </w:p>
    <w:p w14:paraId="82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83000000">
      <w:pPr>
        <w:widowControl w:val="1"/>
        <w:ind w:firstLine="567"/>
        <w:jc w:val="both"/>
        <w:rPr>
          <w:color w:val="000000"/>
          <w:sz w:val="22"/>
        </w:rPr>
      </w:pPr>
      <w:r>
        <w:rPr>
          <w:color w:val="000000"/>
          <w:sz w:val="22"/>
        </w:rPr>
        <w:t>1000 рублей, если цена контракта не превышает 3 млн. рублей;</w:t>
      </w:r>
    </w:p>
    <w:p w14:paraId="84000000">
      <w:pPr>
        <w:widowControl w:val="1"/>
        <w:ind w:firstLine="567"/>
        <w:jc w:val="both"/>
        <w:rPr>
          <w:color w:val="000000"/>
          <w:sz w:val="22"/>
        </w:rPr>
      </w:pPr>
      <w:r>
        <w:rPr>
          <w:color w:val="000000"/>
          <w:sz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85000000">
      <w:pPr>
        <w:widowControl w:val="1"/>
        <w:ind w:firstLine="567"/>
        <w:jc w:val="both"/>
        <w:rPr>
          <w:color w:val="000000"/>
          <w:sz w:val="22"/>
        </w:rPr>
      </w:pPr>
      <w:r>
        <w:rPr>
          <w:color w:val="000000"/>
          <w:sz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6000000">
      <w:pPr>
        <w:widowControl w:val="1"/>
        <w:ind w:firstLine="567"/>
        <w:jc w:val="both"/>
        <w:rPr>
          <w:sz w:val="22"/>
        </w:rPr>
      </w:pPr>
      <w:r>
        <w:rPr>
          <w:color w:val="000000"/>
          <w:sz w:val="22"/>
        </w:rPr>
        <w:t xml:space="preserve">8.5. </w:t>
      </w:r>
      <w:r>
        <w:rPr>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7000000">
      <w:pPr>
        <w:widowControl w:val="1"/>
        <w:ind w:firstLine="567"/>
        <w:jc w:val="both"/>
        <w:rPr>
          <w:sz w:val="22"/>
        </w:rPr>
      </w:pPr>
      <w:r>
        <w:rPr>
          <w:sz w:val="22"/>
        </w:rPr>
        <w:t>8.6. Уплата неустойки (штрафа, пени) не освобождает Стороны от выполнения принятых обязательств.</w:t>
      </w:r>
    </w:p>
    <w:p w14:paraId="88000000">
      <w:pPr>
        <w:widowControl w:val="1"/>
        <w:ind w:firstLine="567"/>
        <w:jc w:val="both"/>
        <w:rPr>
          <w:sz w:val="22"/>
        </w:rPr>
      </w:pPr>
      <w:r>
        <w:rPr>
          <w:sz w:val="22"/>
        </w:rPr>
        <w:t>8.7. Указанная в настоящем разделе неустойка (штрафы, пени) взимается за каждое нарушение в отдельности.</w:t>
      </w:r>
    </w:p>
    <w:p w14:paraId="89000000">
      <w:pPr>
        <w:widowControl w:val="1"/>
        <w:ind w:firstLine="567"/>
        <w:jc w:val="both"/>
        <w:rPr>
          <w:sz w:val="22"/>
        </w:rPr>
      </w:pPr>
      <w:r>
        <w:rPr>
          <w:sz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A000000">
      <w:pPr>
        <w:widowControl w:val="1"/>
        <w:ind w:firstLine="567"/>
        <w:jc w:val="both"/>
        <w:rPr>
          <w:sz w:val="22"/>
        </w:rPr>
      </w:pPr>
      <w:r>
        <w:rPr>
          <w:sz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8B000000">
      <w:pPr>
        <w:widowControl w:val="1"/>
        <w:spacing w:before="120"/>
        <w:ind/>
        <w:jc w:val="center"/>
        <w:rPr>
          <w:b w:val="1"/>
          <w:sz w:val="22"/>
        </w:rPr>
      </w:pPr>
    </w:p>
    <w:p w14:paraId="8C000000">
      <w:pPr>
        <w:widowControl w:val="1"/>
        <w:spacing w:before="120"/>
        <w:ind/>
        <w:jc w:val="center"/>
        <w:rPr>
          <w:b w:val="1"/>
          <w:sz w:val="22"/>
        </w:rPr>
      </w:pPr>
      <w:r>
        <w:rPr>
          <w:b w:val="1"/>
          <w:sz w:val="22"/>
        </w:rPr>
        <w:t>9. Срок действия Контракта</w:t>
      </w:r>
    </w:p>
    <w:p w14:paraId="8D000000">
      <w:pPr>
        <w:widowControl w:val="1"/>
        <w:spacing w:before="120"/>
        <w:ind/>
        <w:jc w:val="center"/>
        <w:rPr>
          <w:b w:val="1"/>
          <w:sz w:val="22"/>
        </w:rPr>
      </w:pPr>
    </w:p>
    <w:p w14:paraId="8E000000">
      <w:pPr>
        <w:widowControl w:val="1"/>
        <w:ind w:firstLine="567"/>
        <w:jc w:val="both"/>
        <w:rPr>
          <w:sz w:val="22"/>
        </w:rPr>
      </w:pPr>
      <w:r>
        <w:rPr>
          <w:sz w:val="22"/>
        </w:rP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2026 года.</w:t>
      </w:r>
    </w:p>
    <w:p w14:paraId="8F000000">
      <w:pPr>
        <w:widowControl w:val="1"/>
        <w:ind w:firstLine="567"/>
        <w:jc w:val="both"/>
        <w:rPr>
          <w:sz w:val="22"/>
        </w:rPr>
      </w:pPr>
      <w:r>
        <w:rPr>
          <w:sz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90000000">
      <w:pPr>
        <w:widowControl w:val="1"/>
        <w:ind w:firstLine="567"/>
        <w:jc w:val="both"/>
        <w:rPr>
          <w:sz w:val="22"/>
        </w:rPr>
      </w:pPr>
      <w:r>
        <w:rPr>
          <w:sz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91000000">
      <w:pPr>
        <w:widowControl w:val="1"/>
        <w:spacing w:before="120"/>
        <w:ind/>
        <w:jc w:val="center"/>
        <w:rPr>
          <w:b w:val="1"/>
          <w:sz w:val="22"/>
        </w:rPr>
      </w:pPr>
    </w:p>
    <w:p w14:paraId="92000000">
      <w:pPr>
        <w:widowControl w:val="1"/>
        <w:spacing w:before="120"/>
        <w:ind/>
        <w:jc w:val="center"/>
        <w:rPr>
          <w:b w:val="1"/>
          <w:sz w:val="22"/>
        </w:rPr>
      </w:pPr>
      <w:r>
        <w:rPr>
          <w:b w:val="1"/>
          <w:sz w:val="22"/>
        </w:rPr>
        <w:t>10. Порядок изменения и расторжения Контракта</w:t>
      </w:r>
    </w:p>
    <w:p w14:paraId="93000000">
      <w:pPr>
        <w:widowControl w:val="1"/>
        <w:spacing w:before="120"/>
        <w:ind/>
        <w:jc w:val="center"/>
        <w:rPr>
          <w:b w:val="1"/>
          <w:sz w:val="22"/>
        </w:rPr>
      </w:pPr>
    </w:p>
    <w:p w14:paraId="94000000">
      <w:pPr>
        <w:widowControl w:val="1"/>
        <w:ind w:firstLine="567"/>
        <w:jc w:val="both"/>
        <w:rPr>
          <w:sz w:val="22"/>
        </w:rPr>
      </w:pPr>
      <w:r>
        <w:rPr>
          <w:sz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95000000">
      <w:pPr>
        <w:widowControl w:val="1"/>
        <w:ind w:firstLine="567"/>
        <w:jc w:val="both"/>
        <w:rPr>
          <w:sz w:val="22"/>
        </w:rPr>
      </w:pPr>
      <w:r>
        <w:rPr>
          <w:sz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96000000">
      <w:pPr>
        <w:widowControl w:val="1"/>
        <w:ind w:firstLine="567"/>
        <w:jc w:val="both"/>
        <w:rPr>
          <w:color w:val="000000"/>
          <w:sz w:val="22"/>
        </w:rPr>
      </w:pPr>
      <w:r>
        <w:rPr>
          <w:sz w:val="22"/>
        </w:rPr>
        <w:t xml:space="preserve">10.3. Расторжение Контракта допускается по соглашению Сторон, по решению суда, в </w:t>
      </w:r>
      <w:r>
        <w:rPr>
          <w:color w:val="000000"/>
          <w:sz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97000000">
      <w:pPr>
        <w:widowControl w:val="1"/>
        <w:ind w:firstLine="567"/>
        <w:jc w:val="both"/>
        <w:rPr>
          <w:color w:val="000000"/>
          <w:sz w:val="22"/>
        </w:rPr>
      </w:pPr>
      <w:r>
        <w:rPr>
          <w:caps w:val="1"/>
          <w:color w:val="000000"/>
          <w:sz w:val="22"/>
        </w:rPr>
        <w:t>10.</w:t>
      </w:r>
      <w:r>
        <w:rPr>
          <w:color w:val="000000"/>
          <w:sz w:val="22"/>
        </w:rPr>
        <w:t>4. Решение об одностороннем отказе от исполнения Контракта принимается Заказчиком в следующих случаях:</w:t>
      </w:r>
    </w:p>
    <w:p w14:paraId="98000000">
      <w:pPr>
        <w:widowControl w:val="1"/>
        <w:ind w:firstLine="567"/>
        <w:jc w:val="both"/>
        <w:rPr>
          <w:color w:val="000000"/>
          <w:sz w:val="22"/>
        </w:rPr>
      </w:pPr>
      <w:r>
        <w:rPr>
          <w:color w:val="000000"/>
          <w:sz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99000000">
      <w:pPr>
        <w:widowControl w:val="1"/>
        <w:ind w:firstLine="567"/>
        <w:jc w:val="both"/>
        <w:rPr>
          <w:color w:val="000000"/>
          <w:sz w:val="22"/>
        </w:rPr>
      </w:pPr>
      <w:r>
        <w:rPr>
          <w:color w:val="000000"/>
          <w:sz w:val="22"/>
        </w:rPr>
        <w:t xml:space="preserve">10.4.2. При неоднократном и/или существенном нарушении сроков поставки Товара. </w:t>
      </w:r>
    </w:p>
    <w:p w14:paraId="9A000000">
      <w:pPr>
        <w:widowControl w:val="1"/>
        <w:ind w:firstLine="567"/>
        <w:jc w:val="both"/>
        <w:rPr>
          <w:sz w:val="22"/>
        </w:rPr>
      </w:pPr>
      <w:r>
        <w:rPr>
          <w:sz w:val="22"/>
        </w:rPr>
        <w:t>10.4.3. В случае, если Поставщик отказывается устранить недостатки, указанные в акте об отказе в приемке поставленного Товара.</w:t>
      </w:r>
    </w:p>
    <w:p w14:paraId="9B000000">
      <w:pPr>
        <w:widowControl w:val="1"/>
        <w:ind w:firstLine="567"/>
        <w:jc w:val="both"/>
        <w:rPr>
          <w:sz w:val="22"/>
        </w:rPr>
      </w:pPr>
      <w:r>
        <w:rPr>
          <w:color w:val="000000"/>
          <w:sz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Pr>
          <w:sz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9C000000">
      <w:pPr>
        <w:widowControl w:val="1"/>
        <w:ind w:firstLine="567"/>
        <w:jc w:val="both"/>
        <w:rPr>
          <w:sz w:val="22"/>
        </w:rPr>
      </w:pPr>
      <w:r>
        <w:rPr>
          <w:sz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9D000000">
      <w:pPr>
        <w:widowControl w:val="1"/>
        <w:ind w:firstLine="567"/>
        <w:jc w:val="both"/>
        <w:rPr>
          <w:sz w:val="22"/>
        </w:rPr>
      </w:pPr>
      <w:r>
        <w:rPr>
          <w:sz w:val="22"/>
        </w:rPr>
        <w:t xml:space="preserve">10.7. </w:t>
      </w:r>
      <w:bookmarkStart w:id="1" w:name="P12E0"/>
      <w:bookmarkEnd w:id="1"/>
      <w:r>
        <w:rPr>
          <w:sz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End w:id="2"/>
      <w:bookmarkStart w:id="3" w:name="P12F6"/>
      <w:bookmarkEnd w:id="3"/>
    </w:p>
    <w:p w14:paraId="9E000000">
      <w:pPr>
        <w:widowControl w:val="1"/>
        <w:ind w:firstLine="567"/>
        <w:jc w:val="both"/>
        <w:rPr>
          <w:sz w:val="22"/>
        </w:rPr>
      </w:pPr>
      <w:r>
        <w:rPr>
          <w:sz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9F000000">
      <w:pPr>
        <w:widowControl w:val="1"/>
        <w:ind w:firstLine="567"/>
        <w:jc w:val="both"/>
        <w:rPr>
          <w:sz w:val="22"/>
        </w:rPr>
      </w:pPr>
      <w:r>
        <w:rPr>
          <w:sz w:val="22"/>
        </w:rPr>
        <w:t xml:space="preserve">10.9. </w:t>
      </w:r>
      <w:bookmarkStart w:id="4" w:name="P12F8"/>
      <w:bookmarkEnd w:id="4"/>
      <w:bookmarkStart w:id="5" w:name="P12FA"/>
      <w:bookmarkEnd w:id="5"/>
      <w:bookmarkStart w:id="6" w:name="P12FC"/>
      <w:bookmarkEnd w:id="6"/>
      <w:bookmarkStart w:id="7" w:name="P12FE"/>
      <w:bookmarkEnd w:id="7"/>
      <w:r>
        <w:rPr>
          <w:sz w:val="22"/>
        </w:rPr>
        <w:t xml:space="preserve">Поставщик вправе принять решение об одностороннем отказе от исполнения Контракта по основаниям, предусмотренным </w:t>
      </w:r>
      <w:r>
        <w:rPr>
          <w:sz w:val="22"/>
        </w:rPr>
        <w:fldChar w:fldCharType="begin"/>
      </w:r>
      <w:r>
        <w:rPr>
          <w:sz w:val="22"/>
        </w:rPr>
        <w:instrText>HYPERLINK "kodeks://link/d?nd=9027690&amp;prevdoc=499011838"</w:instrText>
      </w:r>
      <w:r>
        <w:rPr>
          <w:sz w:val="22"/>
        </w:rPr>
        <w:fldChar w:fldCharType="separate"/>
      </w:r>
      <w:r>
        <w:rPr>
          <w:sz w:val="22"/>
        </w:rPr>
        <w:t>Гражданским кодексом Российской Федерации</w:t>
      </w:r>
      <w:r>
        <w:rPr>
          <w:sz w:val="22"/>
        </w:rPr>
        <w:fldChar w:fldCharType="end"/>
      </w:r>
      <w:r>
        <w:rPr>
          <w:sz w:val="22"/>
        </w:rPr>
        <w:t xml:space="preserve"> для одностороннего отказа от исполнения отдельных видов обязательств.</w:t>
      </w:r>
    </w:p>
    <w:p w14:paraId="A0000000">
      <w:pPr>
        <w:widowControl w:val="1"/>
        <w:ind w:firstLine="567"/>
        <w:jc w:val="both"/>
        <w:rPr>
          <w:sz w:val="22"/>
        </w:rPr>
      </w:pPr>
      <w:r>
        <w:rPr>
          <w:sz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A1000000">
      <w:pPr>
        <w:widowControl w:val="1"/>
        <w:ind w:firstLine="567"/>
        <w:jc w:val="both"/>
        <w:rPr>
          <w:sz w:val="22"/>
        </w:rPr>
      </w:pPr>
      <w:r>
        <w:rPr>
          <w:sz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A2000000">
      <w:pPr>
        <w:widowControl w:val="1"/>
        <w:ind w:firstLine="567"/>
        <w:jc w:val="both"/>
        <w:rPr>
          <w:sz w:val="22"/>
        </w:rPr>
      </w:pPr>
      <w:bookmarkStart w:id="9" w:name="P1304"/>
      <w:bookmarkEnd w:id="9"/>
      <w:r>
        <w:rPr>
          <w:sz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3000000">
      <w:pPr>
        <w:widowControl w:val="1"/>
        <w:spacing w:before="120"/>
        <w:ind/>
        <w:jc w:val="center"/>
        <w:rPr>
          <w:b w:val="1"/>
          <w:sz w:val="22"/>
        </w:rPr>
      </w:pPr>
    </w:p>
    <w:p w14:paraId="A4000000">
      <w:pPr>
        <w:widowControl w:val="1"/>
        <w:spacing w:before="120"/>
        <w:ind/>
        <w:jc w:val="center"/>
        <w:rPr>
          <w:b w:val="1"/>
          <w:sz w:val="22"/>
        </w:rPr>
      </w:pPr>
      <w:r>
        <w:rPr>
          <w:b w:val="1"/>
          <w:sz w:val="22"/>
        </w:rPr>
        <w:t>11. Обстоятельства непреодолимой силы (форс-мажор)</w:t>
      </w:r>
    </w:p>
    <w:p w14:paraId="A5000000">
      <w:pPr>
        <w:widowControl w:val="1"/>
        <w:spacing w:before="120"/>
        <w:ind/>
        <w:jc w:val="center"/>
        <w:rPr>
          <w:b w:val="1"/>
          <w:sz w:val="22"/>
        </w:rPr>
      </w:pPr>
    </w:p>
    <w:p w14:paraId="A6000000">
      <w:pPr>
        <w:widowControl w:val="1"/>
        <w:ind w:firstLine="567"/>
        <w:jc w:val="both"/>
        <w:rPr>
          <w:sz w:val="22"/>
        </w:rPr>
      </w:pPr>
      <w:r>
        <w:rPr>
          <w:sz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7000000">
      <w:pPr>
        <w:widowControl w:val="1"/>
        <w:ind w:firstLine="567"/>
        <w:jc w:val="both"/>
        <w:rPr>
          <w:sz w:val="22"/>
        </w:rPr>
      </w:pPr>
      <w:r>
        <w:rPr>
          <w:sz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8000000">
      <w:pPr>
        <w:widowControl w:val="1"/>
        <w:spacing w:before="120"/>
        <w:ind/>
        <w:jc w:val="center"/>
        <w:rPr>
          <w:b w:val="1"/>
          <w:sz w:val="22"/>
        </w:rPr>
      </w:pPr>
    </w:p>
    <w:p w14:paraId="A9000000">
      <w:pPr>
        <w:widowControl w:val="1"/>
        <w:spacing w:before="120"/>
        <w:ind/>
        <w:jc w:val="center"/>
        <w:rPr>
          <w:b w:val="1"/>
          <w:sz w:val="22"/>
        </w:rPr>
      </w:pPr>
      <w:r>
        <w:rPr>
          <w:b w:val="1"/>
          <w:sz w:val="22"/>
        </w:rPr>
        <w:t>12. Порядок рассмотрения споров</w:t>
      </w:r>
    </w:p>
    <w:p w14:paraId="AA000000">
      <w:pPr>
        <w:widowControl w:val="1"/>
        <w:spacing w:before="120"/>
        <w:ind/>
        <w:jc w:val="center"/>
        <w:rPr>
          <w:b w:val="1"/>
          <w:sz w:val="22"/>
        </w:rPr>
      </w:pPr>
    </w:p>
    <w:p w14:paraId="AB000000">
      <w:pPr>
        <w:widowControl w:val="1"/>
        <w:ind w:firstLine="567"/>
        <w:jc w:val="both"/>
        <w:rPr>
          <w:sz w:val="22"/>
        </w:rPr>
      </w:pPr>
      <w:r>
        <w:rPr>
          <w:sz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C000000">
      <w:pPr>
        <w:widowControl w:val="1"/>
        <w:ind w:firstLine="567"/>
        <w:jc w:val="both"/>
        <w:rPr>
          <w:b w:val="1"/>
          <w:sz w:val="22"/>
        </w:rPr>
      </w:pPr>
      <w:r>
        <w:rPr>
          <w:sz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AD000000">
      <w:pPr>
        <w:widowControl w:val="1"/>
        <w:spacing w:before="120"/>
        <w:ind/>
        <w:jc w:val="center"/>
        <w:rPr>
          <w:b w:val="1"/>
          <w:caps w:val="1"/>
          <w:color w:val="000000"/>
          <w:sz w:val="22"/>
        </w:rPr>
      </w:pPr>
    </w:p>
    <w:p w14:paraId="AE000000">
      <w:pPr>
        <w:widowControl w:val="1"/>
        <w:spacing w:before="120"/>
        <w:ind/>
        <w:jc w:val="center"/>
        <w:rPr>
          <w:b w:val="1"/>
          <w:color w:val="000000"/>
          <w:sz w:val="22"/>
        </w:rPr>
      </w:pPr>
      <w:r>
        <w:rPr>
          <w:b w:val="1"/>
          <w:caps w:val="1"/>
          <w:color w:val="000000"/>
          <w:sz w:val="22"/>
        </w:rPr>
        <w:t>13. А</w:t>
      </w:r>
      <w:r>
        <w:rPr>
          <w:b w:val="1"/>
          <w:color w:val="000000"/>
          <w:sz w:val="22"/>
        </w:rPr>
        <w:t>нтикоррупционная оговорка</w:t>
      </w:r>
    </w:p>
    <w:p w14:paraId="AF000000">
      <w:pPr>
        <w:widowControl w:val="1"/>
        <w:spacing w:before="120"/>
        <w:ind/>
        <w:jc w:val="center"/>
        <w:rPr>
          <w:b w:val="1"/>
          <w:color w:val="000000"/>
          <w:sz w:val="22"/>
        </w:rPr>
      </w:pPr>
    </w:p>
    <w:p w14:paraId="B0000000">
      <w:pPr>
        <w:widowControl w:val="1"/>
        <w:ind w:firstLine="567"/>
        <w:jc w:val="both"/>
        <w:rPr>
          <w:color w:val="000000"/>
          <w:sz w:val="22"/>
        </w:rPr>
      </w:pPr>
      <w:r>
        <w:rPr>
          <w:color w:val="000000"/>
          <w:sz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1000000">
      <w:pPr>
        <w:widowControl w:val="1"/>
        <w:ind w:firstLine="567"/>
        <w:jc w:val="both"/>
        <w:rPr>
          <w:color w:val="000000"/>
          <w:sz w:val="22"/>
        </w:rPr>
      </w:pPr>
      <w:r>
        <w:rPr>
          <w:color w:val="000000"/>
          <w:sz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2000000">
      <w:pPr>
        <w:widowControl w:val="1"/>
        <w:ind w:firstLine="567"/>
        <w:jc w:val="both"/>
        <w:rPr>
          <w:color w:val="000000"/>
          <w:sz w:val="22"/>
        </w:rPr>
      </w:pPr>
      <w:r>
        <w:rPr>
          <w:color w:val="000000"/>
          <w:sz w:val="22"/>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3000000">
      <w:pPr>
        <w:widowControl w:val="1"/>
        <w:ind w:firstLine="567"/>
        <w:jc w:val="both"/>
        <w:rPr>
          <w:color w:val="000000"/>
          <w:sz w:val="22"/>
        </w:rPr>
      </w:pPr>
      <w:r>
        <w:rPr>
          <w:color w:val="000000"/>
          <w:sz w:val="22"/>
        </w:rPr>
        <w:t>13.1.3. Не совершать иных действий, нарушающих антикоррупционное законодательство Российской Федерации.</w:t>
      </w:r>
    </w:p>
    <w:p w14:paraId="B4000000">
      <w:pPr>
        <w:widowControl w:val="1"/>
        <w:spacing w:before="120"/>
        <w:ind/>
        <w:jc w:val="center"/>
        <w:rPr>
          <w:b w:val="1"/>
          <w:sz w:val="22"/>
        </w:rPr>
      </w:pPr>
    </w:p>
    <w:p w14:paraId="B5000000">
      <w:pPr>
        <w:widowControl w:val="1"/>
        <w:spacing w:before="120"/>
        <w:ind/>
        <w:jc w:val="center"/>
        <w:rPr>
          <w:b w:val="1"/>
          <w:sz w:val="22"/>
        </w:rPr>
      </w:pPr>
      <w:r>
        <w:rPr>
          <w:b w:val="1"/>
          <w:sz w:val="22"/>
        </w:rPr>
        <w:t>14. Прочие условия</w:t>
      </w:r>
    </w:p>
    <w:p w14:paraId="B6000000">
      <w:pPr>
        <w:widowControl w:val="1"/>
        <w:spacing w:before="120"/>
        <w:ind/>
        <w:jc w:val="center"/>
        <w:rPr>
          <w:b w:val="1"/>
          <w:sz w:val="22"/>
        </w:rPr>
      </w:pPr>
    </w:p>
    <w:p w14:paraId="B7000000">
      <w:pPr>
        <w:widowControl w:val="1"/>
        <w:ind w:firstLine="567"/>
        <w:jc w:val="both"/>
        <w:rPr>
          <w:sz w:val="22"/>
        </w:rPr>
      </w:pPr>
      <w:r>
        <w:rPr>
          <w:sz w:val="22"/>
        </w:rPr>
        <w:t xml:space="preserve">14.1. </w:t>
      </w:r>
      <w:r>
        <w:rPr>
          <w:sz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B8000000">
      <w:pPr>
        <w:widowControl w:val="1"/>
        <w:ind w:firstLine="567"/>
        <w:jc w:val="both"/>
        <w:rPr>
          <w:sz w:val="22"/>
        </w:rPr>
      </w:pPr>
      <w:r>
        <w:rPr>
          <w:sz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B9000000">
      <w:pPr>
        <w:widowControl w:val="1"/>
        <w:ind w:firstLine="567"/>
        <w:jc w:val="both"/>
        <w:rPr>
          <w:sz w:val="22"/>
        </w:rPr>
      </w:pPr>
      <w:r>
        <w:rPr>
          <w:sz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BA000000">
      <w:pPr>
        <w:widowControl w:val="1"/>
        <w:ind w:firstLine="567"/>
        <w:jc w:val="both"/>
        <w:rPr>
          <w:sz w:val="22"/>
        </w:rPr>
      </w:pPr>
      <w:r>
        <w:rPr>
          <w:sz w:val="22"/>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BB000000">
      <w:pPr>
        <w:widowControl w:val="1"/>
        <w:spacing w:before="120"/>
        <w:ind/>
        <w:jc w:val="center"/>
        <w:rPr>
          <w:b w:val="1"/>
          <w:sz w:val="22"/>
        </w:rPr>
      </w:pPr>
      <w:r>
        <w:rPr>
          <w:b w:val="1"/>
          <w:sz w:val="22"/>
        </w:rPr>
        <w:t>15. Приложения к Контракту</w:t>
      </w:r>
    </w:p>
    <w:p w14:paraId="BC000000">
      <w:pPr>
        <w:widowControl w:val="1"/>
        <w:ind w:firstLine="567"/>
        <w:jc w:val="both"/>
        <w:rPr>
          <w:sz w:val="22"/>
        </w:rPr>
      </w:pPr>
      <w:r>
        <w:rPr>
          <w:sz w:val="22"/>
        </w:rPr>
        <w:t>15.1. Приложение № 1 Расчет цены контракта</w:t>
      </w:r>
    </w:p>
    <w:p w14:paraId="BD000000">
      <w:pPr>
        <w:widowControl w:val="1"/>
        <w:ind w:firstLine="567"/>
        <w:jc w:val="both"/>
        <w:rPr>
          <w:sz w:val="22"/>
        </w:rPr>
      </w:pPr>
      <w:r>
        <w:rPr>
          <w:sz w:val="22"/>
        </w:rPr>
        <w:t>15.2. Приложение №2 Описанию объекта закупки</w:t>
      </w:r>
    </w:p>
    <w:p w14:paraId="BE000000">
      <w:pPr>
        <w:widowControl w:val="1"/>
        <w:ind w:firstLine="567"/>
        <w:jc w:val="center"/>
        <w:rPr>
          <w:sz w:val="22"/>
        </w:rPr>
      </w:pPr>
      <w:r>
        <w:drawing>
          <wp:inline>
            <wp:extent cx="5943600" cy="161925"/>
            <wp:effectExtent b="0" l="0" r="0" t="0"/>
            <wp:docPr hidden="false" id="6" name="Picture 6"/>
            <a:graphic>
              <a:graphicData uri="http://schemas.openxmlformats.org/drawingml/2006/picture">
                <pic:pic>
                  <pic:nvPicPr>
                    <pic:cNvPr hidden="false" id="5" name="Picture 5"/>
                    <pic:cNvPicPr preferRelativeResize="true"/>
                  </pic:nvPicPr>
                  <pic:blipFill>
                    <a:blip r:embed="rId7"/>
                    <a:srcRect b="0" l="0" r="0" t="0"/>
                    <a:stretch/>
                  </pic:blipFill>
                  <pic:spPr>
                    <a:xfrm flipH="false" flipV="false" rot="0">
                      <a:ext cx="5943600" cy="161925"/>
                    </a:xfrm>
                    <a:prstGeom prst="rect"/>
                  </pic:spPr>
                </pic:pic>
              </a:graphicData>
            </a:graphic>
          </wp:inline>
        </w:drawing>
      </w:r>
    </w:p>
    <w:tbl>
      <w:tblPr>
        <w:tblStyle w:val="Style_5"/>
        <w:tblpPr w:bottomFromText="0" w:horzAnchor="margin" w:leftFromText="180" w:rightFromText="180" w:tblpXSpec="center" w:tblpY="811" w:topFromText="0" w:vertAnchor="text"/>
        <w:tblW w:type="auto" w:w="0"/>
        <w:jc w:val="center"/>
        <w:tblLayout w:type="fixed"/>
        <w:tblCellMar>
          <w:top w:type="dxa" w:w="102"/>
          <w:left w:type="dxa" w:w="62"/>
          <w:bottom w:type="dxa" w:w="102"/>
          <w:right w:type="dxa" w:w="62"/>
        </w:tblCellMar>
      </w:tblPr>
      <w:tblGrid>
        <w:gridCol w:w="5756"/>
        <w:gridCol w:w="5020"/>
      </w:tblGrid>
      <w:tr>
        <w:tc>
          <w:tcPr>
            <w:tcW w:type="dxa" w:w="5756"/>
            <w:tcMar>
              <w:top w:type="dxa" w:w="102"/>
              <w:left w:type="dxa" w:w="62"/>
              <w:bottom w:type="dxa" w:w="102"/>
              <w:right w:type="dxa" w:w="62"/>
            </w:tcMar>
          </w:tcPr>
          <w:p w14:paraId="BF000000">
            <w:r>
              <w:t>Заказчик:</w:t>
            </w:r>
          </w:p>
          <w:p w14:paraId="C0000000">
            <w:r>
              <w:t>Государственное бюджетное общеобразовательное учреждение Петергофская гимназия императора Александра II</w:t>
            </w:r>
          </w:p>
          <w:p w14:paraId="C1000000">
            <w:r>
              <w:t>ОГРН  1027808914704</w:t>
            </w:r>
          </w:p>
          <w:p w14:paraId="C2000000">
            <w:r>
              <w:t>ОКТМО  40395000</w:t>
            </w:r>
          </w:p>
          <w:p w14:paraId="C3000000">
            <w:r>
              <w:t>Юридический адрес:</w:t>
            </w:r>
          </w:p>
          <w:p w14:paraId="C4000000">
            <w:r>
              <w:t>198510, Санкт-Петербург, г.Петергоф</w:t>
            </w:r>
          </w:p>
          <w:p w14:paraId="C5000000">
            <w:r>
              <w:t>Санкт-Петербургский пр., дом 43 литера А</w:t>
            </w:r>
          </w:p>
          <w:p w14:paraId="C6000000">
            <w:r>
              <w:t>ИНН  7819019913</w:t>
            </w:r>
          </w:p>
          <w:p w14:paraId="C7000000">
            <w:r>
              <w:t>КПП  781901001</w:t>
            </w:r>
          </w:p>
          <w:p w14:paraId="C8000000">
            <w:r>
              <w:t>Платежные реквизиты:</w:t>
            </w:r>
          </w:p>
          <w:p w14:paraId="C9000000">
            <w:r>
              <w:t>ОКЦ № 1 Северо-Западного ГУ Банка</w:t>
            </w:r>
          </w:p>
          <w:p w14:paraId="CA000000">
            <w:r>
              <w:t>России//УФК по г. Санкт-Петербургу, г. Санкт-Петербург</w:t>
            </w:r>
          </w:p>
          <w:p w14:paraId="CB000000">
            <w:r>
              <w:t>Корреспондентский счет:</w:t>
            </w:r>
          </w:p>
          <w:p w14:paraId="CC000000">
            <w:r>
              <w:t>40102810945370000005</w:t>
            </w:r>
          </w:p>
          <w:p w14:paraId="CD000000">
            <w:r>
              <w:t>БИК: 014030106</w:t>
            </w:r>
          </w:p>
          <w:p w14:paraId="CE000000">
            <w:r>
              <w:t>Расчетный счет: 03224643400000007200</w:t>
            </w:r>
          </w:p>
          <w:p w14:paraId="CF000000">
            <w:r>
              <w:t>Комитет финансов Санкт-Петербурга</w:t>
            </w:r>
          </w:p>
          <w:p w14:paraId="D0000000">
            <w:r>
              <w:t>(Петергофская гимназия, л/с 0631017)</w:t>
            </w:r>
          </w:p>
          <w:p w14:paraId="D1000000"/>
          <w:p w14:paraId="D2000000">
            <w:pPr>
              <w:rPr>
                <w:sz w:val="22"/>
              </w:rPr>
            </w:pPr>
            <w:r>
              <w:t xml:space="preserve">Директор           </w:t>
            </w:r>
            <w:r>
              <w:tab/>
            </w:r>
            <w:r>
              <w:t>И. П. Моисеенко</w:t>
            </w:r>
          </w:p>
          <w:p w14:paraId="D3000000">
            <w:pPr>
              <w:rPr>
                <w:sz w:val="22"/>
              </w:rPr>
            </w:pPr>
            <w:r>
              <w:rPr>
                <w:caps w:val="1"/>
              </w:rPr>
              <w:t>(подписано ЭЦП)</w:t>
            </w:r>
          </w:p>
        </w:tc>
        <w:tc>
          <w:tcPr>
            <w:tcW w:type="dxa" w:w="5020"/>
            <w:tcMar>
              <w:top w:type="dxa" w:w="102"/>
              <w:left w:type="dxa" w:w="62"/>
              <w:bottom w:type="dxa" w:w="102"/>
              <w:right w:type="dxa" w:w="62"/>
            </w:tcMar>
          </w:tcPr>
          <w:p w14:paraId="D4000000">
            <w:pPr>
              <w:rPr>
                <w:sz w:val="22"/>
              </w:rPr>
            </w:pPr>
            <w:r>
              <w:rPr>
                <w:sz w:val="22"/>
              </w:rPr>
              <w:t>Поставщик:</w:t>
            </w:r>
          </w:p>
          <w:p w14:paraId="D5000000">
            <w:pPr>
              <w:pStyle w:val="Style_6"/>
              <w:widowControl w:val="1"/>
              <w:ind w:firstLine="0" w:left="0" w:right="0"/>
              <w:rPr>
                <w:rFonts w:ascii="Times New Roman" w:hAnsi="Times New Roman"/>
                <w:caps w:val="1"/>
              </w:rPr>
            </w:pPr>
          </w:p>
          <w:p w14:paraId="D6000000">
            <w:pPr>
              <w:pStyle w:val="Style_6"/>
              <w:widowControl w:val="1"/>
              <w:ind w:firstLine="0" w:left="0" w:right="0"/>
              <w:rPr>
                <w:rFonts w:ascii="Times New Roman" w:hAnsi="Times New Roman"/>
                <w:caps w:val="1"/>
              </w:rPr>
            </w:pPr>
          </w:p>
          <w:p w14:paraId="D7000000">
            <w:pPr>
              <w:pStyle w:val="Style_6"/>
              <w:widowControl w:val="1"/>
              <w:ind w:firstLine="0" w:left="0" w:right="0"/>
              <w:rPr>
                <w:rFonts w:ascii="Times New Roman" w:hAnsi="Times New Roman"/>
                <w:caps w:val="1"/>
              </w:rPr>
            </w:pPr>
          </w:p>
          <w:p w14:paraId="D8000000">
            <w:pPr>
              <w:pStyle w:val="Style_6"/>
              <w:widowControl w:val="1"/>
              <w:ind w:firstLine="0" w:left="0" w:right="0"/>
              <w:rPr>
                <w:rFonts w:ascii="Times New Roman" w:hAnsi="Times New Roman"/>
                <w:caps w:val="1"/>
              </w:rPr>
            </w:pPr>
          </w:p>
          <w:p w14:paraId="D9000000">
            <w:pPr>
              <w:pStyle w:val="Style_6"/>
              <w:widowControl w:val="1"/>
              <w:ind w:firstLine="0" w:left="0" w:right="0"/>
              <w:rPr>
                <w:rFonts w:ascii="Times New Roman" w:hAnsi="Times New Roman"/>
                <w:caps w:val="1"/>
              </w:rPr>
            </w:pPr>
          </w:p>
          <w:p w14:paraId="DA000000">
            <w:pPr>
              <w:pStyle w:val="Style_6"/>
              <w:widowControl w:val="1"/>
              <w:ind w:firstLine="0" w:left="0" w:right="0"/>
              <w:rPr>
                <w:rFonts w:ascii="Times New Roman" w:hAnsi="Times New Roman"/>
                <w:caps w:val="1"/>
              </w:rPr>
            </w:pPr>
          </w:p>
          <w:p w14:paraId="DB000000">
            <w:pPr>
              <w:pStyle w:val="Style_6"/>
              <w:widowControl w:val="1"/>
              <w:ind w:firstLine="0" w:left="0" w:right="0"/>
              <w:rPr>
                <w:rFonts w:ascii="Times New Roman" w:hAnsi="Times New Roman"/>
                <w:caps w:val="1"/>
              </w:rPr>
            </w:pPr>
          </w:p>
          <w:p w14:paraId="DC000000">
            <w:pPr>
              <w:pStyle w:val="Style_6"/>
              <w:widowControl w:val="1"/>
              <w:ind w:firstLine="0" w:left="0" w:right="0"/>
              <w:rPr>
                <w:rFonts w:ascii="Times New Roman" w:hAnsi="Times New Roman"/>
                <w:caps w:val="1"/>
              </w:rPr>
            </w:pPr>
          </w:p>
          <w:p w14:paraId="DD000000">
            <w:pPr>
              <w:pStyle w:val="Style_6"/>
              <w:widowControl w:val="1"/>
              <w:ind w:firstLine="0" w:left="0" w:right="0"/>
              <w:rPr>
                <w:rFonts w:ascii="Times New Roman" w:hAnsi="Times New Roman"/>
                <w:caps w:val="1"/>
              </w:rPr>
            </w:pPr>
          </w:p>
          <w:p w14:paraId="DE000000">
            <w:pPr>
              <w:pStyle w:val="Style_6"/>
              <w:widowControl w:val="1"/>
              <w:ind w:firstLine="0" w:left="0" w:right="0"/>
              <w:rPr>
                <w:rFonts w:ascii="Times New Roman" w:hAnsi="Times New Roman"/>
                <w:caps w:val="1"/>
              </w:rPr>
            </w:pPr>
          </w:p>
          <w:p w14:paraId="DF000000">
            <w:pPr>
              <w:pStyle w:val="Style_6"/>
              <w:widowControl w:val="1"/>
              <w:ind w:firstLine="0" w:left="0" w:right="0"/>
              <w:rPr>
                <w:rFonts w:ascii="Times New Roman" w:hAnsi="Times New Roman"/>
                <w:caps w:val="1"/>
              </w:rPr>
            </w:pPr>
          </w:p>
          <w:p w14:paraId="E0000000">
            <w:pPr>
              <w:pStyle w:val="Style_6"/>
              <w:widowControl w:val="1"/>
              <w:ind w:firstLine="0" w:left="0" w:right="0"/>
              <w:rPr>
                <w:rFonts w:ascii="Times New Roman" w:hAnsi="Times New Roman"/>
                <w:caps w:val="1"/>
              </w:rPr>
            </w:pPr>
          </w:p>
          <w:p w14:paraId="E1000000">
            <w:pPr>
              <w:pStyle w:val="Style_6"/>
              <w:widowControl w:val="1"/>
              <w:ind w:firstLine="0" w:left="0" w:right="0"/>
              <w:rPr>
                <w:rFonts w:ascii="Times New Roman" w:hAnsi="Times New Roman"/>
                <w:caps w:val="1"/>
              </w:rPr>
            </w:pPr>
          </w:p>
          <w:p w14:paraId="E2000000">
            <w:pPr>
              <w:pStyle w:val="Style_6"/>
              <w:widowControl w:val="1"/>
              <w:ind w:firstLine="0" w:left="0" w:right="0"/>
              <w:rPr>
                <w:rFonts w:ascii="Times New Roman" w:hAnsi="Times New Roman"/>
                <w:caps w:val="1"/>
              </w:rPr>
            </w:pPr>
          </w:p>
          <w:p w14:paraId="E3000000">
            <w:pPr>
              <w:pStyle w:val="Style_6"/>
              <w:widowControl w:val="1"/>
              <w:ind w:firstLine="0" w:left="0" w:right="0"/>
              <w:rPr>
                <w:rFonts w:ascii="Times New Roman" w:hAnsi="Times New Roman"/>
                <w:caps w:val="1"/>
              </w:rPr>
            </w:pPr>
          </w:p>
          <w:p w14:paraId="E4000000">
            <w:pPr>
              <w:pStyle w:val="Style_6"/>
              <w:widowControl w:val="1"/>
              <w:ind w:firstLine="0" w:left="0" w:right="0"/>
              <w:rPr>
                <w:rFonts w:ascii="Times New Roman" w:hAnsi="Times New Roman"/>
                <w:caps w:val="1"/>
              </w:rPr>
            </w:pPr>
          </w:p>
          <w:p w14:paraId="E5000000">
            <w:pPr>
              <w:pStyle w:val="Style_6"/>
              <w:widowControl w:val="1"/>
              <w:ind w:firstLine="0" w:left="0" w:right="0"/>
              <w:rPr>
                <w:rFonts w:ascii="Times New Roman" w:hAnsi="Times New Roman"/>
                <w:caps w:val="1"/>
              </w:rPr>
            </w:pPr>
          </w:p>
          <w:p w14:paraId="E6000000">
            <w:pPr>
              <w:pStyle w:val="Style_6"/>
              <w:widowControl w:val="1"/>
              <w:ind w:firstLine="0" w:left="0" w:right="0"/>
              <w:rPr>
                <w:rFonts w:ascii="Times New Roman" w:hAnsi="Times New Roman"/>
                <w:caps w:val="1"/>
              </w:rPr>
            </w:pPr>
          </w:p>
          <w:p w14:paraId="E7000000">
            <w:pPr>
              <w:pStyle w:val="Style_6"/>
              <w:widowControl w:val="1"/>
              <w:ind w:firstLine="0" w:left="0" w:right="0"/>
              <w:rPr>
                <w:rFonts w:ascii="Times New Roman" w:hAnsi="Times New Roman"/>
                <w:caps w:val="1"/>
              </w:rPr>
            </w:pPr>
          </w:p>
          <w:p w14:paraId="E8000000">
            <w:pPr>
              <w:pStyle w:val="Style_6"/>
              <w:widowControl w:val="1"/>
              <w:ind w:firstLine="0" w:left="0" w:right="0"/>
              <w:rPr>
                <w:rFonts w:ascii="Times New Roman" w:hAnsi="Times New Roman"/>
                <w:caps w:val="1"/>
              </w:rPr>
            </w:pPr>
          </w:p>
          <w:p w14:paraId="E9000000">
            <w:pPr>
              <w:pStyle w:val="Style_6"/>
              <w:widowControl w:val="1"/>
              <w:ind w:firstLine="0" w:left="0" w:right="0"/>
              <w:rPr>
                <w:rFonts w:ascii="Times New Roman" w:hAnsi="Times New Roman"/>
                <w:caps w:val="1"/>
              </w:rPr>
            </w:pPr>
          </w:p>
          <w:p w14:paraId="EA000000">
            <w:pPr>
              <w:pStyle w:val="Style_6"/>
              <w:widowControl w:val="1"/>
              <w:ind w:firstLine="0" w:left="0" w:right="0"/>
              <w:rPr>
                <w:rFonts w:ascii="Times New Roman" w:hAnsi="Times New Roman"/>
                <w:caps w:val="1"/>
              </w:rPr>
            </w:pPr>
          </w:p>
          <w:p w14:paraId="EB000000">
            <w:pPr>
              <w:pStyle w:val="Style_6"/>
              <w:widowControl w:val="1"/>
              <w:ind w:firstLine="0" w:left="0" w:right="0"/>
              <w:rPr>
                <w:rFonts w:ascii="Times New Roman" w:hAnsi="Times New Roman"/>
                <w:caps w:val="1"/>
              </w:rPr>
            </w:pPr>
          </w:p>
          <w:p w14:paraId="EC000000">
            <w:pPr>
              <w:pStyle w:val="Style_6"/>
              <w:widowControl w:val="1"/>
              <w:ind w:firstLine="0" w:left="0" w:right="0"/>
              <w:rPr>
                <w:rFonts w:ascii="Times New Roman" w:hAnsi="Times New Roman"/>
                <w:color w:val="000000"/>
              </w:rPr>
            </w:pPr>
            <w:r>
              <w:rPr>
                <w:rFonts w:ascii="Times New Roman" w:hAnsi="Times New Roman"/>
                <w:caps w:val="1"/>
              </w:rPr>
              <w:t xml:space="preserve"> (подписано ЭЦП)</w:t>
            </w:r>
          </w:p>
          <w:p w14:paraId="ED000000">
            <w:pPr>
              <w:rPr>
                <w:sz w:val="22"/>
              </w:rPr>
            </w:pPr>
          </w:p>
        </w:tc>
      </w:tr>
    </w:tbl>
    <w:p w14:paraId="EE000000">
      <w:pPr>
        <w:rPr>
          <w:b w:val="1"/>
          <w:sz w:val="22"/>
        </w:rPr>
      </w:pPr>
    </w:p>
    <w:p w14:paraId="EF000000">
      <w:pPr>
        <w:sectPr>
          <w:footerReference r:id="rId6" w:type="default"/>
          <w:footerReference r:id="rId5" w:type="first"/>
          <w:footerReference r:id="rId3" w:type="even"/>
          <w:pgSz w:h="16838" w:orient="portrait" w:w="11906"/>
          <w:pgMar w:bottom="567" w:footer="0" w:gutter="0" w:header="0" w:left="1134" w:right="454" w:top="567"/>
        </w:sectPr>
      </w:pPr>
    </w:p>
    <w:p w14:paraId="F0000000">
      <w:r>
        <w:t>Приложение № 1 к Контракту</w:t>
      </w:r>
    </w:p>
    <w:p w14:paraId="F1000000">
      <w:pPr>
        <w:pStyle w:val="Style_3"/>
        <w:widowControl w:val="1"/>
        <w:ind w:firstLine="142" w:left="-426"/>
        <w:jc w:val="right"/>
      </w:pPr>
      <w:r>
        <w:t xml:space="preserve">от « »             2026 г. № </w:t>
      </w:r>
      <w:r>
        <w:t>____</w:t>
      </w:r>
      <w:r>
        <w:t>/26</w:t>
      </w:r>
    </w:p>
    <w:p w14:paraId="F2000000">
      <w:pPr>
        <w:widowControl w:val="1"/>
        <w:ind/>
        <w:jc w:val="center"/>
        <w:rPr>
          <w:b w:val="1"/>
        </w:rPr>
      </w:pPr>
      <w:r>
        <w:rPr>
          <w:b w:val="1"/>
        </w:rPr>
        <w:t>Расчет цены контракта</w:t>
      </w:r>
    </w:p>
    <w:tbl>
      <w:tblPr>
        <w:tblStyle w:val="Style_5"/>
        <w:tblW w:type="auto" w:w="0"/>
        <w:tblInd w:type="dxa" w:w="108"/>
        <w:tblLayout w:type="fixed"/>
      </w:tblPr>
      <w:tblGrid>
        <w:gridCol w:w="610"/>
        <w:gridCol w:w="2822"/>
        <w:gridCol w:w="1988"/>
        <w:gridCol w:w="2270"/>
        <w:gridCol w:w="1276"/>
        <w:gridCol w:w="1275"/>
        <w:gridCol w:w="1701"/>
        <w:gridCol w:w="2133"/>
        <w:gridCol w:w="1627"/>
      </w:tblGrid>
      <w:tr>
        <w:trPr>
          <w:trHeight w:hRule="atLeast" w:val="2438"/>
        </w:trPr>
        <w:tc>
          <w:tcPr>
            <w:tcW w:type="dxa" w:w="610"/>
            <w:tcBorders>
              <w:top w:color="000000" w:sz="4" w:val="single"/>
              <w:left w:color="000000" w:sz="4" w:val="single"/>
              <w:bottom w:color="000000" w:sz="4" w:val="single"/>
              <w:right w:color="000000" w:sz="4" w:val="single"/>
            </w:tcBorders>
          </w:tcPr>
          <w:p w14:paraId="F3000000">
            <w:pPr>
              <w:widowControl w:val="1"/>
              <w:ind/>
              <w:jc w:val="right"/>
              <w:rPr>
                <w:b w:val="1"/>
              </w:rPr>
            </w:pPr>
            <w:r>
              <w:rPr>
                <w:b w:val="1"/>
              </w:rPr>
              <w:t>№ п/п</w:t>
            </w:r>
          </w:p>
        </w:tc>
        <w:tc>
          <w:tcPr>
            <w:tcW w:type="dxa" w:w="2822"/>
            <w:tcBorders>
              <w:top w:color="000000" w:sz="4" w:val="single"/>
              <w:left w:color="000000" w:sz="4" w:val="single"/>
              <w:bottom w:color="000000" w:sz="4" w:val="single"/>
              <w:right w:color="000000" w:sz="4" w:val="single"/>
            </w:tcBorders>
          </w:tcPr>
          <w:p w14:paraId="F4000000">
            <w:pPr>
              <w:rPr>
                <w:b w:val="1"/>
              </w:rPr>
            </w:pPr>
            <w:r>
              <w:rPr>
                <w:b w:val="1"/>
              </w:rPr>
              <w:t>Наименование товара</w:t>
            </w:r>
          </w:p>
        </w:tc>
        <w:tc>
          <w:tcPr>
            <w:tcW w:type="dxa" w:w="1988"/>
            <w:tcBorders>
              <w:top w:color="000000" w:sz="4" w:val="single"/>
              <w:left w:color="000000" w:sz="4" w:val="single"/>
              <w:bottom w:color="000000" w:sz="4" w:val="single"/>
              <w:right w:color="000000" w:sz="4" w:val="single"/>
            </w:tcBorders>
          </w:tcPr>
          <w:p w14:paraId="F5000000">
            <w:pPr>
              <w:rPr>
                <w:b w:val="1"/>
              </w:rPr>
            </w:pPr>
            <w:r>
              <w:rPr>
                <w:b w:val="1"/>
              </w:rPr>
              <w:t>Товарный знак (при наличии)</w:t>
            </w:r>
          </w:p>
        </w:tc>
        <w:tc>
          <w:tcPr>
            <w:tcW w:type="dxa" w:w="2270"/>
            <w:tcBorders>
              <w:top w:color="000000" w:sz="4" w:val="single"/>
              <w:left w:color="000000" w:sz="4" w:val="single"/>
              <w:bottom w:color="000000" w:sz="4" w:val="single"/>
              <w:right w:color="000000" w:sz="4" w:val="single"/>
            </w:tcBorders>
          </w:tcPr>
          <w:p w14:paraId="F6000000">
            <w:pPr>
              <w:rPr>
                <w:b w:val="1"/>
              </w:rPr>
            </w:pPr>
            <w:r>
              <w:rPr>
                <w:b w:val="1"/>
              </w:rPr>
              <w:t>Характеристики и предлагаемого Поставщиком Товара, соответствующие показателям, установленным Заказчиком в описании объекта закупки</w:t>
            </w:r>
            <w:r>
              <w:rPr>
                <w:rStyle w:val="Style_4_ch"/>
                <w:b w:val="1"/>
              </w:rPr>
              <w:footnoteReference w:id="3"/>
            </w:r>
          </w:p>
        </w:tc>
        <w:tc>
          <w:tcPr>
            <w:tcW w:type="dxa" w:w="1276"/>
            <w:tcBorders>
              <w:top w:color="000000" w:sz="4" w:val="single"/>
              <w:left w:color="000000" w:sz="4" w:val="single"/>
              <w:bottom w:color="000000" w:sz="4" w:val="single"/>
              <w:right w:color="000000" w:sz="4" w:val="single"/>
            </w:tcBorders>
          </w:tcPr>
          <w:p w14:paraId="F7000000">
            <w:pPr>
              <w:rPr>
                <w:b w:val="1"/>
              </w:rPr>
            </w:pPr>
            <w:r>
              <w:rPr>
                <w:b w:val="1"/>
              </w:rPr>
              <w:t>Наименование страны происхождения Товара</w:t>
            </w:r>
          </w:p>
        </w:tc>
        <w:tc>
          <w:tcPr>
            <w:tcW w:type="dxa" w:w="1275"/>
            <w:tcBorders>
              <w:top w:color="000000" w:sz="4" w:val="single"/>
              <w:left w:color="000000" w:sz="4" w:val="single"/>
              <w:bottom w:color="000000" w:sz="4" w:val="single"/>
              <w:right w:color="000000" w:sz="4" w:val="single"/>
            </w:tcBorders>
          </w:tcPr>
          <w:p w14:paraId="F8000000">
            <w:pPr>
              <w:rPr>
                <w:b w:val="1"/>
              </w:rPr>
            </w:pPr>
            <w:r>
              <w:rPr>
                <w:b w:val="1"/>
              </w:rPr>
              <w:t>Единицы измерения</w:t>
            </w:r>
            <w:r>
              <w:rPr>
                <w:rStyle w:val="Style_4_ch"/>
                <w:b w:val="1"/>
              </w:rPr>
              <w:footnoteReference w:id="4"/>
            </w:r>
          </w:p>
        </w:tc>
        <w:tc>
          <w:tcPr>
            <w:tcW w:type="dxa" w:w="1701"/>
            <w:tcBorders>
              <w:top w:color="000000" w:sz="4" w:val="single"/>
              <w:left w:color="000000" w:sz="4" w:val="single"/>
              <w:bottom w:color="000000" w:sz="4" w:val="single"/>
              <w:right w:color="000000" w:sz="4" w:val="single"/>
            </w:tcBorders>
          </w:tcPr>
          <w:p w14:paraId="F9000000">
            <w:pPr>
              <w:rPr>
                <w:b w:val="1"/>
              </w:rPr>
            </w:pPr>
            <w:r>
              <w:rPr>
                <w:b w:val="1"/>
              </w:rPr>
              <w:t>Количество в единицах измерения</w:t>
            </w:r>
          </w:p>
        </w:tc>
        <w:tc>
          <w:tcPr>
            <w:tcW w:type="dxa" w:w="2133"/>
            <w:tcBorders>
              <w:top w:color="000000" w:sz="4" w:val="single"/>
              <w:left w:color="000000" w:sz="4" w:val="single"/>
              <w:bottom w:color="000000" w:sz="4" w:val="single"/>
              <w:right w:color="000000" w:sz="4" w:val="single"/>
            </w:tcBorders>
          </w:tcPr>
          <w:p w14:paraId="FA000000">
            <w:pPr>
              <w:rPr>
                <w:b w:val="1"/>
              </w:rPr>
            </w:pPr>
            <w:r>
              <w:rPr>
                <w:b w:val="1"/>
              </w:rPr>
              <w:t>Цена за единицу измерения, руб.</w:t>
            </w:r>
          </w:p>
          <w:p w14:paraId="FB000000">
            <w:pPr>
              <w:rPr>
                <w:b w:val="1"/>
              </w:rPr>
            </w:pPr>
            <w:r>
              <w:rPr>
                <w:b w:val="1"/>
              </w:rPr>
              <w:t>(включая НДС) (если облагается НДС)</w:t>
            </w:r>
          </w:p>
        </w:tc>
        <w:tc>
          <w:tcPr>
            <w:tcW w:type="dxa" w:w="1627"/>
            <w:tcBorders>
              <w:top w:color="000000" w:sz="4" w:val="single"/>
              <w:left w:color="000000" w:sz="4" w:val="single"/>
              <w:bottom w:color="000000" w:sz="4" w:val="single"/>
              <w:right w:color="000000" w:sz="4" w:val="single"/>
            </w:tcBorders>
          </w:tcPr>
          <w:p w14:paraId="FC000000">
            <w:pPr>
              <w:rPr>
                <w:b w:val="1"/>
              </w:rPr>
            </w:pPr>
            <w:r>
              <w:rPr>
                <w:b w:val="1"/>
              </w:rPr>
              <w:t>Стоимость Товара</w:t>
            </w:r>
          </w:p>
          <w:p w14:paraId="FD000000">
            <w:pPr>
              <w:rPr>
                <w:b w:val="1"/>
              </w:rPr>
            </w:pPr>
            <w:r>
              <w:rPr>
                <w:b w:val="1"/>
              </w:rPr>
              <w:t xml:space="preserve"> с учетом НДС 20%</w:t>
            </w:r>
          </w:p>
          <w:p w14:paraId="FE000000">
            <w:pPr>
              <w:rPr>
                <w:b w:val="1"/>
              </w:rPr>
            </w:pPr>
            <w:r>
              <w:rPr>
                <w:b w:val="1"/>
              </w:rPr>
              <w:t>(руб.)</w:t>
            </w:r>
            <w:r>
              <w:rPr>
                <w:rStyle w:val="Style_4_ch"/>
                <w:b w:val="1"/>
              </w:rPr>
              <w:footnoteReference w:id="5"/>
            </w:r>
          </w:p>
        </w:tc>
      </w:tr>
      <w:tr>
        <w:trPr>
          <w:trHeight w:hRule="atLeast" w:val="648"/>
        </w:trPr>
        <w:tc>
          <w:tcPr>
            <w:tcW w:type="dxa" w:w="610"/>
            <w:tcBorders>
              <w:top w:color="000000" w:sz="4" w:val="single"/>
              <w:left w:color="000000" w:sz="4" w:val="single"/>
              <w:bottom w:color="000000" w:sz="4" w:val="single"/>
              <w:right w:color="000000" w:sz="4" w:val="single"/>
            </w:tcBorders>
          </w:tcPr>
          <w:p w14:paraId="FF00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0010000">
            <w:pPr>
              <w:rPr>
                <w:sz w:val="22"/>
              </w:rPr>
            </w:pPr>
          </w:p>
        </w:tc>
        <w:tc>
          <w:tcPr>
            <w:tcW w:type="dxa" w:w="2270"/>
            <w:tcBorders>
              <w:top w:color="000000" w:sz="4" w:val="single"/>
              <w:left w:color="000000" w:sz="4" w:val="single"/>
              <w:bottom w:color="000000" w:sz="4" w:val="single"/>
              <w:right w:color="000000" w:sz="4" w:val="single"/>
            </w:tcBorders>
          </w:tcPr>
          <w:p w14:paraId="01010000">
            <w:pPr>
              <w:rPr>
                <w:sz w:val="22"/>
              </w:rPr>
            </w:pPr>
          </w:p>
        </w:tc>
        <w:tc>
          <w:tcPr>
            <w:tcW w:type="dxa" w:w="1276"/>
            <w:tcBorders>
              <w:top w:color="000000" w:sz="4" w:val="single"/>
              <w:left w:color="000000" w:sz="4" w:val="single"/>
              <w:bottom w:color="000000" w:sz="4" w:val="single"/>
              <w:right w:color="000000" w:sz="4" w:val="single"/>
            </w:tcBorders>
          </w:tcPr>
          <w:p w14:paraId="02010000">
            <w:pPr>
              <w:rPr>
                <w:sz w:val="22"/>
              </w:rPr>
            </w:pPr>
          </w:p>
        </w:tc>
        <w:tc>
          <w:tcPr>
            <w:tcW w:type="dxa" w:w="1275"/>
            <w:tcBorders>
              <w:top w:color="000000" w:sz="4" w:val="single"/>
              <w:left w:color="000000" w:sz="4" w:val="single"/>
              <w:bottom w:color="000000" w:sz="4" w:val="single"/>
              <w:right w:color="000000" w:sz="4" w:val="single"/>
            </w:tcBorders>
            <w:vAlign w:val="center"/>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3010000">
            <w:pPr>
              <w:rPr>
                <w:sz w:val="22"/>
              </w:rPr>
            </w:pPr>
          </w:p>
        </w:tc>
        <w:tc>
          <w:tcPr>
            <w:tcW w:type="dxa" w:w="1627"/>
            <w:tcBorders>
              <w:top w:color="000000" w:sz="4" w:val="single"/>
              <w:left w:color="000000" w:sz="4" w:val="single"/>
              <w:bottom w:color="000000" w:sz="4" w:val="single"/>
              <w:right w:color="000000" w:sz="4" w:val="single"/>
            </w:tcBorders>
            <w:vAlign w:val="center"/>
          </w:tcPr>
          <w:p w14:paraId="04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5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6010000">
            <w:pPr>
              <w:rPr>
                <w:sz w:val="22"/>
              </w:rPr>
            </w:pPr>
          </w:p>
        </w:tc>
        <w:tc>
          <w:tcPr>
            <w:tcW w:type="dxa" w:w="2270"/>
            <w:tcBorders>
              <w:top w:color="000000" w:sz="4" w:val="single"/>
              <w:left w:color="000000" w:sz="4" w:val="single"/>
              <w:bottom w:color="000000" w:sz="4" w:val="single"/>
              <w:right w:color="000000" w:sz="4" w:val="single"/>
            </w:tcBorders>
          </w:tcPr>
          <w:p w14:paraId="07010000">
            <w:pPr>
              <w:rPr>
                <w:sz w:val="22"/>
              </w:rPr>
            </w:pPr>
          </w:p>
        </w:tc>
        <w:tc>
          <w:tcPr>
            <w:tcW w:type="dxa" w:w="1276"/>
            <w:tcBorders>
              <w:top w:color="000000" w:sz="4" w:val="single"/>
              <w:left w:color="000000" w:sz="4" w:val="single"/>
              <w:bottom w:color="000000" w:sz="4" w:val="single"/>
              <w:right w:color="000000" w:sz="4" w:val="single"/>
            </w:tcBorders>
          </w:tcPr>
          <w:p w14:paraId="08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9010000">
            <w:pPr>
              <w:rPr>
                <w:sz w:val="22"/>
              </w:rPr>
            </w:pPr>
          </w:p>
        </w:tc>
        <w:tc>
          <w:tcPr>
            <w:tcW w:type="dxa" w:w="1627"/>
            <w:tcBorders>
              <w:top w:color="000000" w:sz="4" w:val="single"/>
              <w:left w:color="000000" w:sz="4" w:val="single"/>
              <w:bottom w:color="000000" w:sz="4" w:val="single"/>
              <w:right w:color="000000" w:sz="4" w:val="single"/>
            </w:tcBorders>
            <w:vAlign w:val="center"/>
          </w:tcPr>
          <w:p w14:paraId="0A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B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C010000">
            <w:pPr>
              <w:rPr>
                <w:sz w:val="22"/>
              </w:rPr>
            </w:pPr>
          </w:p>
        </w:tc>
        <w:tc>
          <w:tcPr>
            <w:tcW w:type="dxa" w:w="2270"/>
            <w:tcBorders>
              <w:top w:color="000000" w:sz="4" w:val="single"/>
              <w:left w:color="000000" w:sz="4" w:val="single"/>
              <w:bottom w:color="000000" w:sz="4" w:val="single"/>
              <w:right w:color="000000" w:sz="4" w:val="single"/>
            </w:tcBorders>
          </w:tcPr>
          <w:p w14:paraId="0D010000">
            <w:pPr>
              <w:rPr>
                <w:sz w:val="22"/>
              </w:rPr>
            </w:pPr>
          </w:p>
        </w:tc>
        <w:tc>
          <w:tcPr>
            <w:tcW w:type="dxa" w:w="1276"/>
            <w:tcBorders>
              <w:top w:color="000000" w:sz="4" w:val="single"/>
              <w:left w:color="000000" w:sz="4" w:val="single"/>
              <w:bottom w:color="000000" w:sz="4" w:val="single"/>
              <w:right w:color="000000" w:sz="4" w:val="single"/>
            </w:tcBorders>
          </w:tcPr>
          <w:p w14:paraId="0E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F010000">
            <w:pPr>
              <w:rPr>
                <w:sz w:val="22"/>
              </w:rPr>
            </w:pPr>
          </w:p>
        </w:tc>
        <w:tc>
          <w:tcPr>
            <w:tcW w:type="dxa" w:w="1627"/>
            <w:tcBorders>
              <w:top w:color="000000" w:sz="4" w:val="single"/>
              <w:left w:color="000000" w:sz="4" w:val="single"/>
              <w:bottom w:color="000000" w:sz="4" w:val="single"/>
              <w:right w:color="000000" w:sz="4" w:val="single"/>
            </w:tcBorders>
            <w:vAlign w:val="center"/>
          </w:tcPr>
          <w:p w14:paraId="1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1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12010000">
            <w:pPr>
              <w:rPr>
                <w:sz w:val="22"/>
              </w:rPr>
            </w:pPr>
          </w:p>
        </w:tc>
        <w:tc>
          <w:tcPr>
            <w:tcW w:type="dxa" w:w="2270"/>
            <w:tcBorders>
              <w:top w:color="000000" w:sz="4" w:val="single"/>
              <w:left w:color="000000" w:sz="4" w:val="single"/>
              <w:bottom w:color="000000" w:sz="4" w:val="single"/>
              <w:right w:color="000000" w:sz="4" w:val="single"/>
            </w:tcBorders>
          </w:tcPr>
          <w:p w14:paraId="13010000">
            <w:pPr>
              <w:rPr>
                <w:sz w:val="22"/>
              </w:rPr>
            </w:pPr>
          </w:p>
        </w:tc>
        <w:tc>
          <w:tcPr>
            <w:tcW w:type="dxa" w:w="1276"/>
            <w:tcBorders>
              <w:top w:color="000000" w:sz="4" w:val="single"/>
              <w:left w:color="000000" w:sz="4" w:val="single"/>
              <w:bottom w:color="000000" w:sz="4" w:val="single"/>
              <w:right w:color="000000" w:sz="4" w:val="single"/>
            </w:tcBorders>
          </w:tcPr>
          <w:p w14:paraId="14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15010000">
            <w:pPr>
              <w:rPr>
                <w:sz w:val="22"/>
              </w:rPr>
            </w:pPr>
          </w:p>
        </w:tc>
        <w:tc>
          <w:tcPr>
            <w:tcW w:type="dxa" w:w="1627"/>
            <w:tcBorders>
              <w:top w:color="000000" w:sz="4" w:val="single"/>
              <w:left w:color="000000" w:sz="4" w:val="single"/>
              <w:bottom w:color="000000" w:sz="4" w:val="single"/>
              <w:right w:color="000000" w:sz="4" w:val="single"/>
            </w:tcBorders>
            <w:vAlign w:val="center"/>
          </w:tcPr>
          <w:p w14:paraId="16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tc>
        <w:tc>
          <w:tcPr>
            <w:tcW w:type="dxa" w:w="2822"/>
            <w:tcBorders>
              <w:top w:color="000000" w:sz="4" w:val="single"/>
              <w:left w:color="000000" w:sz="4" w:val="single"/>
              <w:bottom w:color="000000" w:sz="4" w:val="single"/>
              <w:right w:color="000000" w:sz="4" w:val="single"/>
            </w:tcBorders>
          </w:tcPr>
          <w:p w14:paraId="17010000">
            <w:pPr>
              <w:rPr>
                <w:sz w:val="22"/>
              </w:rPr>
            </w:pPr>
          </w:p>
        </w:tc>
        <w:tc>
          <w:tcPr>
            <w:tcW w:type="dxa" w:w="1988"/>
            <w:tcBorders>
              <w:top w:color="000000" w:sz="4" w:val="single"/>
              <w:left w:color="000000" w:sz="4" w:val="single"/>
              <w:bottom w:color="000000" w:sz="4" w:val="single"/>
              <w:right w:color="000000" w:sz="4" w:val="single"/>
            </w:tcBorders>
          </w:tcPr>
          <w:p w14:paraId="18010000">
            <w:pPr>
              <w:rPr>
                <w:sz w:val="22"/>
              </w:rPr>
            </w:pPr>
          </w:p>
        </w:tc>
        <w:tc>
          <w:tcPr>
            <w:tcW w:type="dxa" w:w="2270"/>
            <w:tcBorders>
              <w:top w:color="000000" w:sz="4" w:val="single"/>
              <w:left w:color="000000" w:sz="4" w:val="single"/>
              <w:bottom w:color="000000" w:sz="4" w:val="single"/>
              <w:right w:color="000000" w:sz="4" w:val="single"/>
            </w:tcBorders>
          </w:tcPr>
          <w:p w14:paraId="19010000">
            <w:pPr>
              <w:rPr>
                <w:sz w:val="22"/>
              </w:rPr>
            </w:pPr>
          </w:p>
        </w:tc>
        <w:tc>
          <w:tcPr>
            <w:tcW w:type="dxa" w:w="1276"/>
            <w:tcBorders>
              <w:top w:color="000000" w:sz="4" w:val="single"/>
              <w:left w:color="000000" w:sz="4" w:val="single"/>
              <w:bottom w:color="000000" w:sz="4" w:val="single"/>
              <w:right w:color="000000" w:sz="4" w:val="single"/>
            </w:tcBorders>
          </w:tcPr>
          <w:p w14:paraId="1A010000">
            <w:pPr>
              <w:rPr>
                <w:sz w:val="22"/>
              </w:rPr>
            </w:pPr>
          </w:p>
        </w:tc>
        <w:tc>
          <w:tcPr>
            <w:tcW w:type="dxa" w:w="1275"/>
            <w:tcBorders>
              <w:top w:color="000000" w:sz="4" w:val="single"/>
              <w:left w:color="000000" w:sz="4" w:val="single"/>
              <w:bottom w:color="000000" w:sz="4" w:val="single"/>
              <w:right w:color="000000" w:sz="4" w:val="single"/>
            </w:tcBorders>
          </w:tcPr>
          <w:p w14:paraId="1B010000">
            <w:pPr>
              <w:rPr>
                <w:sz w:val="22"/>
              </w:rPr>
            </w:pPr>
          </w:p>
        </w:tc>
        <w:tc>
          <w:tcPr>
            <w:tcW w:type="dxa" w:w="1701"/>
            <w:tcBorders>
              <w:top w:color="000000" w:sz="4" w:val="single"/>
              <w:left w:color="000000" w:sz="4" w:val="single"/>
              <w:bottom w:color="000000" w:sz="4" w:val="single"/>
              <w:right w:color="000000" w:sz="4" w:val="single"/>
            </w:tcBorders>
          </w:tcPr>
          <w:p w14:paraId="1C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1D010000">
            <w:pPr>
              <w:rPr>
                <w:sz w:val="22"/>
              </w:rPr>
            </w:pPr>
          </w:p>
        </w:tc>
        <w:tc>
          <w:tcPr>
            <w:tcW w:type="dxa" w:w="1627"/>
            <w:tcBorders>
              <w:top w:color="000000" w:sz="4" w:val="single"/>
              <w:left w:color="000000" w:sz="4" w:val="single"/>
              <w:bottom w:color="000000" w:sz="4" w:val="single"/>
              <w:right w:color="000000" w:sz="4" w:val="single"/>
            </w:tcBorders>
            <w:vAlign w:val="center"/>
          </w:tcPr>
          <w:p w14:paraId="1E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F010000">
            <w:pPr>
              <w:pStyle w:val="Style_3"/>
              <w:rPr>
                <w:sz w:val="22"/>
              </w:rPr>
            </w:pPr>
          </w:p>
        </w:tc>
        <w:tc>
          <w:tcPr>
            <w:tcW w:type="dxa" w:w="2822"/>
            <w:tcBorders>
              <w:top w:color="000000" w:sz="4" w:val="single"/>
              <w:left w:color="000000" w:sz="4" w:val="single"/>
              <w:bottom w:color="000000" w:sz="4" w:val="single"/>
              <w:right w:color="000000" w:sz="4" w:val="single"/>
            </w:tcBorders>
          </w:tcPr>
          <w:p w14:paraId="20010000">
            <w:pPr>
              <w:rPr>
                <w:sz w:val="22"/>
              </w:rPr>
            </w:pPr>
          </w:p>
        </w:tc>
        <w:tc>
          <w:tcPr>
            <w:tcW w:type="dxa" w:w="1988"/>
            <w:tcBorders>
              <w:top w:color="000000" w:sz="4" w:val="single"/>
              <w:left w:color="000000" w:sz="4" w:val="single"/>
              <w:bottom w:color="000000" w:sz="4" w:val="single"/>
              <w:right w:color="000000" w:sz="4" w:val="single"/>
            </w:tcBorders>
          </w:tcPr>
          <w:p w14:paraId="21010000">
            <w:pPr>
              <w:rPr>
                <w:sz w:val="22"/>
              </w:rPr>
            </w:pPr>
          </w:p>
        </w:tc>
        <w:tc>
          <w:tcPr>
            <w:tcW w:type="dxa" w:w="2270"/>
            <w:tcBorders>
              <w:top w:color="000000" w:sz="4" w:val="single"/>
              <w:left w:color="000000" w:sz="4" w:val="single"/>
              <w:bottom w:color="000000" w:sz="4" w:val="single"/>
              <w:right w:color="000000" w:sz="4" w:val="single"/>
            </w:tcBorders>
          </w:tcPr>
          <w:p w14:paraId="22010000">
            <w:pPr>
              <w:rPr>
                <w:sz w:val="22"/>
              </w:rPr>
            </w:pPr>
          </w:p>
        </w:tc>
        <w:tc>
          <w:tcPr>
            <w:tcW w:type="dxa" w:w="1276"/>
            <w:tcBorders>
              <w:top w:color="000000" w:sz="4" w:val="single"/>
              <w:left w:color="000000" w:sz="4" w:val="single"/>
              <w:bottom w:color="000000" w:sz="4" w:val="single"/>
              <w:right w:color="000000" w:sz="4" w:val="single"/>
            </w:tcBorders>
          </w:tcPr>
          <w:p w14:paraId="23010000">
            <w:pPr>
              <w:rPr>
                <w:sz w:val="22"/>
              </w:rPr>
            </w:pPr>
          </w:p>
        </w:tc>
        <w:tc>
          <w:tcPr>
            <w:tcW w:type="dxa" w:w="1275"/>
            <w:tcBorders>
              <w:top w:color="000000" w:sz="4" w:val="single"/>
              <w:left w:color="000000" w:sz="4" w:val="single"/>
              <w:bottom w:color="000000" w:sz="4" w:val="single"/>
              <w:right w:color="000000" w:sz="4" w:val="single"/>
            </w:tcBorders>
          </w:tcPr>
          <w:p w14:paraId="24010000">
            <w:pPr>
              <w:rPr>
                <w:sz w:val="22"/>
              </w:rPr>
            </w:pPr>
          </w:p>
        </w:tc>
        <w:tc>
          <w:tcPr>
            <w:tcW w:type="dxa" w:w="1701"/>
            <w:tcBorders>
              <w:top w:color="000000" w:sz="4" w:val="single"/>
              <w:left w:color="000000" w:sz="4" w:val="single"/>
              <w:bottom w:color="000000" w:sz="4" w:val="single"/>
              <w:right w:color="000000" w:sz="4" w:val="single"/>
            </w:tcBorders>
          </w:tcPr>
          <w:p w14:paraId="25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6010000">
            <w:pPr>
              <w:rPr>
                <w:sz w:val="22"/>
              </w:rPr>
            </w:pPr>
          </w:p>
        </w:tc>
        <w:tc>
          <w:tcPr>
            <w:tcW w:type="dxa" w:w="1627"/>
            <w:tcBorders>
              <w:top w:color="000000" w:sz="4" w:val="single"/>
              <w:left w:color="000000" w:sz="4" w:val="single"/>
              <w:bottom w:color="000000" w:sz="4" w:val="single"/>
              <w:right w:color="000000" w:sz="4" w:val="single"/>
            </w:tcBorders>
            <w:vAlign w:val="center"/>
          </w:tcPr>
          <w:p w14:paraId="27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28010000">
            <w:pPr>
              <w:pStyle w:val="Style_3"/>
              <w:rPr>
                <w:sz w:val="22"/>
              </w:rPr>
            </w:pPr>
          </w:p>
        </w:tc>
        <w:tc>
          <w:tcPr>
            <w:tcW w:type="dxa" w:w="2822"/>
            <w:tcBorders>
              <w:top w:color="000000" w:sz="4" w:val="single"/>
              <w:left w:color="000000" w:sz="4" w:val="single"/>
              <w:bottom w:color="000000" w:sz="4" w:val="single"/>
              <w:right w:color="000000" w:sz="4" w:val="single"/>
            </w:tcBorders>
          </w:tcPr>
          <w:p w14:paraId="29010000">
            <w:pPr>
              <w:rPr>
                <w:sz w:val="22"/>
              </w:rPr>
            </w:pPr>
          </w:p>
        </w:tc>
        <w:tc>
          <w:tcPr>
            <w:tcW w:type="dxa" w:w="1988"/>
            <w:tcBorders>
              <w:top w:color="000000" w:sz="4" w:val="single"/>
              <w:left w:color="000000" w:sz="4" w:val="single"/>
              <w:bottom w:color="000000" w:sz="4" w:val="single"/>
              <w:right w:color="000000" w:sz="4" w:val="single"/>
            </w:tcBorders>
          </w:tcPr>
          <w:p w14:paraId="2A010000">
            <w:pPr>
              <w:rPr>
                <w:sz w:val="22"/>
              </w:rPr>
            </w:pPr>
          </w:p>
        </w:tc>
        <w:tc>
          <w:tcPr>
            <w:tcW w:type="dxa" w:w="2270"/>
            <w:tcBorders>
              <w:top w:color="000000" w:sz="4" w:val="single"/>
              <w:left w:color="000000" w:sz="4" w:val="single"/>
              <w:bottom w:color="000000" w:sz="4" w:val="single"/>
              <w:right w:color="000000" w:sz="4" w:val="single"/>
            </w:tcBorders>
          </w:tcPr>
          <w:p w14:paraId="2B010000">
            <w:pPr>
              <w:rPr>
                <w:sz w:val="22"/>
              </w:rPr>
            </w:pPr>
          </w:p>
        </w:tc>
        <w:tc>
          <w:tcPr>
            <w:tcW w:type="dxa" w:w="1276"/>
            <w:tcBorders>
              <w:top w:color="000000" w:sz="4" w:val="single"/>
              <w:left w:color="000000" w:sz="4" w:val="single"/>
              <w:bottom w:color="000000" w:sz="4" w:val="single"/>
              <w:right w:color="000000" w:sz="4" w:val="single"/>
            </w:tcBorders>
          </w:tcPr>
          <w:p w14:paraId="2C010000">
            <w:pPr>
              <w:rPr>
                <w:sz w:val="22"/>
              </w:rPr>
            </w:pPr>
          </w:p>
        </w:tc>
        <w:tc>
          <w:tcPr>
            <w:tcW w:type="dxa" w:w="1275"/>
            <w:tcBorders>
              <w:top w:color="000000" w:sz="4" w:val="single"/>
              <w:left w:color="000000" w:sz="4" w:val="single"/>
              <w:bottom w:color="000000" w:sz="4" w:val="single"/>
              <w:right w:color="000000" w:sz="4" w:val="single"/>
            </w:tcBorders>
          </w:tcPr>
          <w:p w14:paraId="2D010000">
            <w:pPr>
              <w:rPr>
                <w:sz w:val="22"/>
              </w:rPr>
            </w:pPr>
          </w:p>
        </w:tc>
        <w:tc>
          <w:tcPr>
            <w:tcW w:type="dxa" w:w="1701"/>
            <w:tcBorders>
              <w:top w:color="000000" w:sz="4" w:val="single"/>
              <w:left w:color="000000" w:sz="4" w:val="single"/>
              <w:bottom w:color="000000" w:sz="4" w:val="single"/>
              <w:right w:color="000000" w:sz="4" w:val="single"/>
            </w:tcBorders>
          </w:tcPr>
          <w:p w14:paraId="2E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F010000">
            <w:pPr>
              <w:rPr>
                <w:sz w:val="22"/>
              </w:rPr>
            </w:pPr>
          </w:p>
        </w:tc>
        <w:tc>
          <w:tcPr>
            <w:tcW w:type="dxa" w:w="1627"/>
            <w:tcBorders>
              <w:top w:color="000000" w:sz="4" w:val="single"/>
              <w:left w:color="000000" w:sz="4" w:val="single"/>
              <w:bottom w:color="000000" w:sz="4" w:val="single"/>
              <w:right w:color="000000" w:sz="4" w:val="single"/>
            </w:tcBorders>
            <w:vAlign w:val="center"/>
          </w:tcPr>
          <w:p w14:paraId="3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1010000">
            <w:pPr>
              <w:pStyle w:val="Style_3"/>
              <w:rPr>
                <w:sz w:val="22"/>
              </w:rPr>
            </w:pPr>
          </w:p>
        </w:tc>
        <w:tc>
          <w:tcPr>
            <w:tcW w:type="dxa" w:w="2822"/>
            <w:tcBorders>
              <w:top w:color="000000" w:sz="4" w:val="single"/>
              <w:left w:color="000000" w:sz="4" w:val="single"/>
              <w:bottom w:color="000000" w:sz="4" w:val="single"/>
              <w:right w:color="000000" w:sz="4" w:val="single"/>
            </w:tcBorders>
          </w:tcPr>
          <w:p w14:paraId="32010000">
            <w:pPr>
              <w:rPr>
                <w:sz w:val="22"/>
              </w:rPr>
            </w:pPr>
          </w:p>
        </w:tc>
        <w:tc>
          <w:tcPr>
            <w:tcW w:type="dxa" w:w="1988"/>
            <w:tcBorders>
              <w:top w:color="000000" w:sz="4" w:val="single"/>
              <w:left w:color="000000" w:sz="4" w:val="single"/>
              <w:bottom w:color="000000" w:sz="4" w:val="single"/>
              <w:right w:color="000000" w:sz="4" w:val="single"/>
            </w:tcBorders>
          </w:tcPr>
          <w:p w14:paraId="33010000">
            <w:pPr>
              <w:rPr>
                <w:sz w:val="22"/>
              </w:rPr>
            </w:pPr>
          </w:p>
        </w:tc>
        <w:tc>
          <w:tcPr>
            <w:tcW w:type="dxa" w:w="2270"/>
            <w:tcBorders>
              <w:top w:color="000000" w:sz="4" w:val="single"/>
              <w:left w:color="000000" w:sz="4" w:val="single"/>
              <w:bottom w:color="000000" w:sz="4" w:val="single"/>
              <w:right w:color="000000" w:sz="4" w:val="single"/>
            </w:tcBorders>
          </w:tcPr>
          <w:p w14:paraId="34010000">
            <w:pPr>
              <w:rPr>
                <w:sz w:val="22"/>
              </w:rPr>
            </w:pPr>
          </w:p>
        </w:tc>
        <w:tc>
          <w:tcPr>
            <w:tcW w:type="dxa" w:w="1276"/>
            <w:tcBorders>
              <w:top w:color="000000" w:sz="4" w:val="single"/>
              <w:left w:color="000000" w:sz="4" w:val="single"/>
              <w:bottom w:color="000000" w:sz="4" w:val="single"/>
              <w:right w:color="000000" w:sz="4" w:val="single"/>
            </w:tcBorders>
          </w:tcPr>
          <w:p w14:paraId="35010000">
            <w:pPr>
              <w:rPr>
                <w:sz w:val="22"/>
              </w:rPr>
            </w:pPr>
          </w:p>
        </w:tc>
        <w:tc>
          <w:tcPr>
            <w:tcW w:type="dxa" w:w="1275"/>
            <w:tcBorders>
              <w:top w:color="000000" w:sz="4" w:val="single"/>
              <w:left w:color="000000" w:sz="4" w:val="single"/>
              <w:bottom w:color="000000" w:sz="4" w:val="single"/>
              <w:right w:color="000000" w:sz="4" w:val="single"/>
            </w:tcBorders>
          </w:tcPr>
          <w:p w14:paraId="36010000">
            <w:pPr>
              <w:rPr>
                <w:sz w:val="22"/>
              </w:rPr>
            </w:pPr>
          </w:p>
        </w:tc>
        <w:tc>
          <w:tcPr>
            <w:tcW w:type="dxa" w:w="1701"/>
            <w:tcBorders>
              <w:top w:color="000000" w:sz="4" w:val="single"/>
              <w:left w:color="000000" w:sz="4" w:val="single"/>
              <w:bottom w:color="000000" w:sz="4" w:val="single"/>
              <w:right w:color="000000" w:sz="4" w:val="single"/>
            </w:tcBorders>
          </w:tcPr>
          <w:p w14:paraId="37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38010000">
            <w:pPr>
              <w:rPr>
                <w:sz w:val="22"/>
              </w:rPr>
            </w:pPr>
          </w:p>
        </w:tc>
        <w:tc>
          <w:tcPr>
            <w:tcW w:type="dxa" w:w="1627"/>
            <w:tcBorders>
              <w:top w:color="000000" w:sz="4" w:val="single"/>
              <w:left w:color="000000" w:sz="4" w:val="single"/>
              <w:bottom w:color="000000" w:sz="4" w:val="single"/>
              <w:right w:color="000000" w:sz="4" w:val="single"/>
            </w:tcBorders>
            <w:vAlign w:val="center"/>
          </w:tcPr>
          <w:p w14:paraId="39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A010000">
            <w:pPr>
              <w:pStyle w:val="Style_3"/>
              <w:rPr>
                <w:sz w:val="22"/>
              </w:rPr>
            </w:pPr>
          </w:p>
        </w:tc>
        <w:tc>
          <w:tcPr>
            <w:tcW w:type="dxa" w:w="2822"/>
            <w:tcBorders>
              <w:top w:color="000000" w:sz="4" w:val="single"/>
              <w:left w:color="000000" w:sz="4" w:val="single"/>
              <w:bottom w:color="000000" w:sz="4" w:val="single"/>
              <w:right w:color="000000" w:sz="4" w:val="single"/>
            </w:tcBorders>
          </w:tcPr>
          <w:p w14:paraId="3B010000">
            <w:pPr>
              <w:rPr>
                <w:sz w:val="22"/>
              </w:rPr>
            </w:pPr>
          </w:p>
        </w:tc>
        <w:tc>
          <w:tcPr>
            <w:tcW w:type="dxa" w:w="1988"/>
            <w:tcBorders>
              <w:top w:color="000000" w:sz="4" w:val="single"/>
              <w:left w:color="000000" w:sz="4" w:val="single"/>
              <w:bottom w:color="000000" w:sz="4" w:val="single"/>
              <w:right w:color="000000" w:sz="4" w:val="single"/>
            </w:tcBorders>
          </w:tcPr>
          <w:p w14:paraId="3C010000">
            <w:pPr>
              <w:rPr>
                <w:sz w:val="22"/>
              </w:rPr>
            </w:pPr>
          </w:p>
        </w:tc>
        <w:tc>
          <w:tcPr>
            <w:tcW w:type="dxa" w:w="2270"/>
            <w:tcBorders>
              <w:top w:color="000000" w:sz="4" w:val="single"/>
              <w:left w:color="000000" w:sz="4" w:val="single"/>
              <w:bottom w:color="000000" w:sz="4" w:val="single"/>
              <w:right w:color="000000" w:sz="4" w:val="single"/>
            </w:tcBorders>
          </w:tcPr>
          <w:p w14:paraId="3D010000">
            <w:pPr>
              <w:rPr>
                <w:sz w:val="22"/>
              </w:rPr>
            </w:pPr>
          </w:p>
        </w:tc>
        <w:tc>
          <w:tcPr>
            <w:tcW w:type="dxa" w:w="1276"/>
            <w:tcBorders>
              <w:top w:color="000000" w:sz="4" w:val="single"/>
              <w:left w:color="000000" w:sz="4" w:val="single"/>
              <w:bottom w:color="000000" w:sz="4" w:val="single"/>
              <w:right w:color="000000" w:sz="4" w:val="single"/>
            </w:tcBorders>
          </w:tcPr>
          <w:p w14:paraId="3E010000">
            <w:pPr>
              <w:rPr>
                <w:sz w:val="22"/>
              </w:rPr>
            </w:pPr>
          </w:p>
        </w:tc>
        <w:tc>
          <w:tcPr>
            <w:tcW w:type="dxa" w:w="1275"/>
            <w:tcBorders>
              <w:top w:color="000000" w:sz="4" w:val="single"/>
              <w:left w:color="000000" w:sz="4" w:val="single"/>
              <w:bottom w:color="000000" w:sz="4" w:val="single"/>
              <w:right w:color="000000" w:sz="4" w:val="single"/>
            </w:tcBorders>
          </w:tcPr>
          <w:p w14:paraId="3F010000">
            <w:pPr>
              <w:rPr>
                <w:sz w:val="22"/>
              </w:rPr>
            </w:pPr>
          </w:p>
        </w:tc>
        <w:tc>
          <w:tcPr>
            <w:tcW w:type="dxa" w:w="1701"/>
            <w:tcBorders>
              <w:top w:color="000000" w:sz="4" w:val="single"/>
              <w:left w:color="000000" w:sz="4" w:val="single"/>
              <w:bottom w:color="000000" w:sz="4" w:val="single"/>
              <w:right w:color="000000" w:sz="4" w:val="single"/>
            </w:tcBorders>
          </w:tcPr>
          <w:p w14:paraId="40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1010000">
            <w:pPr>
              <w:rPr>
                <w:sz w:val="22"/>
              </w:rPr>
            </w:pPr>
          </w:p>
        </w:tc>
        <w:tc>
          <w:tcPr>
            <w:tcW w:type="dxa" w:w="1627"/>
            <w:tcBorders>
              <w:top w:color="000000" w:sz="4" w:val="single"/>
              <w:left w:color="000000" w:sz="4" w:val="single"/>
              <w:bottom w:color="000000" w:sz="4" w:val="single"/>
              <w:right w:color="000000" w:sz="4" w:val="single"/>
            </w:tcBorders>
            <w:vAlign w:val="center"/>
          </w:tcPr>
          <w:p w14:paraId="42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43010000">
            <w:pPr>
              <w:pStyle w:val="Style_3"/>
              <w:rPr>
                <w:sz w:val="22"/>
              </w:rPr>
            </w:pPr>
          </w:p>
        </w:tc>
        <w:tc>
          <w:tcPr>
            <w:tcW w:type="dxa" w:w="2822"/>
            <w:tcBorders>
              <w:top w:color="000000" w:sz="4" w:val="single"/>
              <w:left w:color="000000" w:sz="4" w:val="single"/>
              <w:bottom w:color="000000" w:sz="4" w:val="single"/>
              <w:right w:color="000000" w:sz="4" w:val="single"/>
            </w:tcBorders>
          </w:tcPr>
          <w:p w14:paraId="44010000">
            <w:pPr>
              <w:rPr>
                <w:sz w:val="22"/>
              </w:rPr>
            </w:pPr>
          </w:p>
        </w:tc>
        <w:tc>
          <w:tcPr>
            <w:tcW w:type="dxa" w:w="1988"/>
            <w:tcBorders>
              <w:top w:color="000000" w:sz="4" w:val="single"/>
              <w:left w:color="000000" w:sz="4" w:val="single"/>
              <w:bottom w:color="000000" w:sz="4" w:val="single"/>
              <w:right w:color="000000" w:sz="4" w:val="single"/>
            </w:tcBorders>
          </w:tcPr>
          <w:p w14:paraId="45010000">
            <w:pPr>
              <w:rPr>
                <w:sz w:val="22"/>
              </w:rPr>
            </w:pPr>
          </w:p>
        </w:tc>
        <w:tc>
          <w:tcPr>
            <w:tcW w:type="dxa" w:w="2270"/>
            <w:tcBorders>
              <w:top w:color="000000" w:sz="4" w:val="single"/>
              <w:left w:color="000000" w:sz="4" w:val="single"/>
              <w:bottom w:color="000000" w:sz="4" w:val="single"/>
              <w:right w:color="000000" w:sz="4" w:val="single"/>
            </w:tcBorders>
          </w:tcPr>
          <w:p w14:paraId="46010000">
            <w:pPr>
              <w:rPr>
                <w:sz w:val="22"/>
              </w:rPr>
            </w:pPr>
          </w:p>
        </w:tc>
        <w:tc>
          <w:tcPr>
            <w:tcW w:type="dxa" w:w="1276"/>
            <w:tcBorders>
              <w:top w:color="000000" w:sz="4" w:val="single"/>
              <w:left w:color="000000" w:sz="4" w:val="single"/>
              <w:bottom w:color="000000" w:sz="4" w:val="single"/>
              <w:right w:color="000000" w:sz="4" w:val="single"/>
            </w:tcBorders>
          </w:tcPr>
          <w:p w14:paraId="47010000">
            <w:pPr>
              <w:rPr>
                <w:sz w:val="22"/>
              </w:rPr>
            </w:pPr>
          </w:p>
        </w:tc>
        <w:tc>
          <w:tcPr>
            <w:tcW w:type="dxa" w:w="1275"/>
            <w:tcBorders>
              <w:top w:color="000000" w:sz="4" w:val="single"/>
              <w:left w:color="000000" w:sz="4" w:val="single"/>
              <w:bottom w:color="000000" w:sz="4" w:val="single"/>
              <w:right w:color="000000" w:sz="4" w:val="single"/>
            </w:tcBorders>
          </w:tcPr>
          <w:p w14:paraId="48010000">
            <w:pPr>
              <w:rPr>
                <w:sz w:val="22"/>
              </w:rPr>
            </w:pPr>
          </w:p>
        </w:tc>
        <w:tc>
          <w:tcPr>
            <w:tcW w:type="dxa" w:w="1701"/>
            <w:tcBorders>
              <w:top w:color="000000" w:sz="4" w:val="single"/>
              <w:left w:color="000000" w:sz="4" w:val="single"/>
              <w:bottom w:color="000000" w:sz="4" w:val="single"/>
              <w:right w:color="000000" w:sz="4" w:val="single"/>
            </w:tcBorders>
          </w:tcPr>
          <w:p w14:paraId="49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A010000">
            <w:pPr>
              <w:rPr>
                <w:sz w:val="22"/>
              </w:rPr>
            </w:pPr>
          </w:p>
        </w:tc>
        <w:tc>
          <w:tcPr>
            <w:tcW w:type="dxa" w:w="1627"/>
            <w:tcBorders>
              <w:top w:color="000000" w:sz="4" w:val="single"/>
              <w:left w:color="000000" w:sz="4" w:val="single"/>
              <w:bottom w:color="000000" w:sz="4" w:val="single"/>
              <w:right w:color="000000" w:sz="4" w:val="single"/>
            </w:tcBorders>
            <w:vAlign w:val="center"/>
          </w:tcPr>
          <w:p w14:paraId="4B010000">
            <w:pPr>
              <w:rPr>
                <w:sz w:val="22"/>
              </w:rPr>
            </w:pPr>
          </w:p>
        </w:tc>
      </w:tr>
      <w:tr>
        <w:trPr>
          <w:trHeight w:hRule="atLeast" w:val="256"/>
        </w:trPr>
        <w:tc>
          <w:tcPr>
            <w:tcW w:type="dxa" w:w="5420"/>
            <w:gridSpan w:val="3"/>
            <w:tcBorders>
              <w:top w:color="000000" w:sz="4" w:val="single"/>
              <w:left w:color="000000" w:sz="4" w:val="single"/>
              <w:bottom w:color="000000" w:sz="4" w:val="single"/>
              <w:right w:color="000000" w:sz="4" w:val="single"/>
            </w:tcBorders>
          </w:tcPr>
          <w:p w14:paraId="4C010000">
            <w:pPr>
              <w:widowControl w:val="1"/>
              <w:ind/>
              <w:jc w:val="both"/>
            </w:pPr>
            <w:r>
              <w:t>Итого</w:t>
            </w:r>
          </w:p>
        </w:tc>
        <w:tc>
          <w:tcPr>
            <w:tcW w:type="dxa" w:w="2270"/>
            <w:tcBorders>
              <w:top w:color="000000" w:sz="4" w:val="single"/>
              <w:left w:color="000000" w:sz="4" w:val="single"/>
              <w:bottom w:color="000000" w:sz="4" w:val="single"/>
              <w:right w:color="000000" w:sz="4" w:val="single"/>
            </w:tcBorders>
          </w:tcPr>
          <w:p w14:paraId="4D010000">
            <w:pPr>
              <w:widowControl w:val="1"/>
              <w:ind/>
              <w:jc w:val="right"/>
              <w:rPr>
                <w:b w:val="1"/>
              </w:rPr>
            </w:pPr>
          </w:p>
        </w:tc>
        <w:tc>
          <w:tcPr>
            <w:tcW w:type="dxa" w:w="1276"/>
            <w:tcBorders>
              <w:top w:color="000000" w:sz="4" w:val="single"/>
              <w:left w:color="000000" w:sz="4" w:val="single"/>
              <w:bottom w:color="000000" w:sz="4" w:val="single"/>
              <w:right w:color="000000" w:sz="4" w:val="single"/>
            </w:tcBorders>
          </w:tcPr>
          <w:p w14:paraId="4E010000">
            <w:pPr>
              <w:widowControl w:val="1"/>
              <w:ind/>
              <w:jc w:val="right"/>
              <w:rPr>
                <w:b w:val="1"/>
              </w:rPr>
            </w:pPr>
          </w:p>
        </w:tc>
        <w:tc>
          <w:tcPr>
            <w:tcW w:type="dxa" w:w="1275"/>
            <w:tcBorders>
              <w:top w:color="000000" w:sz="4" w:val="single"/>
              <w:left w:color="000000" w:sz="4" w:val="single"/>
              <w:bottom w:color="000000" w:sz="4" w:val="single"/>
              <w:right w:color="000000" w:sz="4" w:val="single"/>
            </w:tcBorders>
          </w:tcPr>
          <w:p w14:paraId="4F010000">
            <w:pPr>
              <w:widowControl w:val="1"/>
              <w:ind/>
              <w:jc w:val="right"/>
              <w:rPr>
                <w:b w:val="1"/>
              </w:rPr>
            </w:pPr>
          </w:p>
        </w:tc>
        <w:tc>
          <w:tcPr>
            <w:tcW w:type="dxa" w:w="1701"/>
            <w:tcBorders>
              <w:top w:color="000000" w:sz="4" w:val="single"/>
              <w:left w:color="000000" w:sz="4" w:val="single"/>
              <w:bottom w:color="000000" w:sz="4" w:val="single"/>
              <w:right w:color="000000" w:sz="4" w:val="single"/>
            </w:tcBorders>
          </w:tcPr>
          <w:p w14:paraId="50010000">
            <w:pPr>
              <w:widowControl w:val="1"/>
              <w:ind/>
              <w:jc w:val="right"/>
              <w:rPr>
                <w:b w:val="1"/>
              </w:rPr>
            </w:pPr>
          </w:p>
        </w:tc>
        <w:tc>
          <w:tcPr>
            <w:tcW w:type="dxa" w:w="2133"/>
            <w:tcBorders>
              <w:top w:color="000000" w:sz="4" w:val="single"/>
              <w:left w:color="000000" w:sz="4" w:val="single"/>
              <w:bottom w:color="000000" w:sz="4" w:val="single"/>
              <w:right w:color="000000" w:sz="4" w:val="single"/>
            </w:tcBorders>
          </w:tcPr>
          <w:p w14:paraId="51010000">
            <w:pPr>
              <w:widowControl w:val="1"/>
              <w:ind/>
              <w:jc w:val="right"/>
              <w:rPr>
                <w:b w:val="1"/>
              </w:rPr>
            </w:pPr>
          </w:p>
        </w:tc>
        <w:tc>
          <w:tcPr>
            <w:tcW w:type="dxa" w:w="1627"/>
            <w:tcBorders>
              <w:top w:color="000000" w:sz="4" w:val="single"/>
              <w:left w:color="000000" w:sz="4" w:val="single"/>
              <w:bottom w:color="000000" w:sz="4" w:val="single"/>
              <w:right w:color="000000" w:sz="4" w:val="single"/>
            </w:tcBorders>
          </w:tcPr>
          <w:p w14:paraId="52010000">
            <w:pPr>
              <w:widowControl w:val="1"/>
              <w:ind/>
              <w:jc w:val="right"/>
              <w:rPr>
                <w:b w:val="1"/>
              </w:rPr>
            </w:pPr>
          </w:p>
        </w:tc>
      </w:tr>
    </w:tbl>
    <w:tbl>
      <w:tblPr>
        <w:tblStyle w:val="Style_7"/>
        <w:tblW w:type="auto" w:w="0"/>
        <w:jc w:val="center"/>
        <w:tblLayout w:type="fixed"/>
      </w:tblPr>
      <w:tblGrid>
        <w:gridCol w:w="5116"/>
        <w:gridCol w:w="4454"/>
      </w:tblGrid>
      <w:tr>
        <w:tc>
          <w:tcPr>
            <w:tcW w:type="dxa" w:w="5116"/>
            <w:tcBorders>
              <w:top w:color="FFFFFF" w:sz="4" w:val="single"/>
              <w:left w:color="FFFFFF" w:sz="4" w:val="single"/>
              <w:bottom w:color="FFFFFF" w:sz="4" w:val="single"/>
              <w:right w:color="FFFFFF" w:sz="4" w:val="single"/>
            </w:tcBorders>
          </w:tcPr>
          <w:p w14:paraId="53010000">
            <w:pPr>
              <w:rPr>
                <w:rFonts w:ascii="Calibri" w:hAnsi="Calibri"/>
              </w:rPr>
            </w:pPr>
          </w:p>
          <w:p w14:paraId="54010000">
            <w:pPr>
              <w:rPr>
                <w:rFonts w:ascii="Calibri" w:hAnsi="Calibri"/>
              </w:rPr>
            </w:pPr>
            <w:r>
              <w:rPr>
                <w:rFonts w:ascii="Tinos" w:hAnsi="Tinos"/>
                <w:color w:val="000000"/>
              </w:rPr>
              <w:t>Заказчик:</w:t>
            </w:r>
          </w:p>
        </w:tc>
        <w:tc>
          <w:tcPr>
            <w:tcW w:type="dxa" w:w="4454"/>
            <w:tcBorders>
              <w:top w:color="FFFFFF" w:sz="4" w:val="single"/>
              <w:left w:color="FFFFFF" w:sz="4" w:val="single"/>
              <w:bottom w:color="FFFFFF" w:sz="4" w:val="single"/>
              <w:right w:color="FFFFFF" w:sz="4" w:val="single"/>
            </w:tcBorders>
          </w:tcPr>
          <w:p w14:paraId="55010000">
            <w:pPr>
              <w:rPr>
                <w:rFonts w:ascii="Calibri" w:hAnsi="Calibri"/>
              </w:rPr>
            </w:pPr>
          </w:p>
          <w:p w14:paraId="56010000">
            <w:pPr>
              <w:rPr>
                <w:rFonts w:ascii="Calibri" w:hAnsi="Calibri"/>
              </w:rPr>
            </w:pPr>
            <w:r>
              <w:rPr>
                <w:rFonts w:ascii="Tinos" w:hAnsi="Tinos"/>
                <w:color w:val="000000"/>
              </w:rPr>
              <w:t>Поставщик:</w:t>
            </w:r>
          </w:p>
        </w:tc>
      </w:tr>
      <w:tr>
        <w:tc>
          <w:tcPr>
            <w:tcW w:type="dxa" w:w="5116"/>
            <w:tcBorders>
              <w:top w:color="FFFFFF" w:sz="4" w:val="single"/>
              <w:left w:color="FFFFFF" w:sz="4" w:val="single"/>
              <w:bottom w:sz="4" w:val="nil"/>
              <w:right w:color="FFFFFF" w:sz="4" w:val="single"/>
            </w:tcBorders>
          </w:tcPr>
          <w:p w14:paraId="57010000">
            <w:pPr>
              <w:rPr>
                <w:rFonts w:ascii="Calibri" w:hAnsi="Calibri"/>
              </w:rPr>
            </w:pPr>
            <w:r>
              <w:rPr>
                <w:rFonts w:ascii="Tinos" w:hAnsi="Tinos"/>
                <w:color w:val="000000"/>
              </w:rPr>
              <w:t>Государственное бюджетное</w:t>
            </w:r>
          </w:p>
          <w:p w14:paraId="58010000">
            <w:pPr>
              <w:rPr>
                <w:rFonts w:ascii="Calibri" w:hAnsi="Calibri"/>
              </w:rPr>
            </w:pPr>
            <w:r>
              <w:rPr>
                <w:rFonts w:ascii="Tinos" w:hAnsi="Tinos"/>
                <w:color w:val="000000"/>
              </w:rPr>
              <w:t>общеобразовательное учреждение</w:t>
            </w:r>
          </w:p>
          <w:p w14:paraId="59010000">
            <w:pPr>
              <w:rPr>
                <w:rFonts w:ascii="Calibri" w:hAnsi="Calibri"/>
              </w:rPr>
            </w:pPr>
            <w:r>
              <w:rPr>
                <w:rFonts w:ascii="Tinos" w:hAnsi="Tinos"/>
                <w:color w:val="000000"/>
              </w:rPr>
              <w:t>Петергофская гимназия</w:t>
            </w:r>
          </w:p>
          <w:p w14:paraId="5A010000">
            <w:pPr>
              <w:rPr>
                <w:rFonts w:ascii="Calibri" w:hAnsi="Calibri"/>
              </w:rPr>
            </w:pPr>
            <w:r>
              <w:rPr>
                <w:rFonts w:ascii="Tinos" w:hAnsi="Tinos"/>
                <w:color w:val="000000"/>
              </w:rPr>
              <w:t>императора Александра II</w:t>
            </w:r>
          </w:p>
          <w:p w14:paraId="5B010000">
            <w:pPr>
              <w:rPr>
                <w:rFonts w:ascii="Tinos" w:hAnsi="Tinos"/>
                <w:color w:val="000000"/>
              </w:rPr>
            </w:pPr>
          </w:p>
        </w:tc>
        <w:tc>
          <w:tcPr>
            <w:tcW w:type="dxa" w:w="4454"/>
            <w:tcBorders>
              <w:top w:color="FFFFFF" w:sz="4" w:val="single"/>
              <w:left w:color="FFFFFF" w:sz="4" w:val="single"/>
              <w:bottom w:sz="4" w:val="nil"/>
              <w:right w:color="FFFFFF" w:sz="4" w:val="single"/>
            </w:tcBorders>
          </w:tcPr>
          <w:p w14:paraId="5C010000">
            <w:pPr>
              <w:rPr>
                <w:rFonts w:ascii="Tinos" w:hAnsi="Tinos"/>
                <w:color w:val="000000"/>
              </w:rPr>
            </w:pPr>
          </w:p>
        </w:tc>
      </w:tr>
      <w:tr>
        <w:tc>
          <w:tcPr>
            <w:tcW w:type="dxa" w:w="5116"/>
            <w:tcBorders>
              <w:top w:sz="4" w:val="nil"/>
              <w:left w:sz="4" w:val="nil"/>
              <w:bottom w:sz="4" w:val="nil"/>
              <w:right w:sz="4" w:val="nil"/>
            </w:tcBorders>
          </w:tcPr>
          <w:p w14:paraId="5D010000">
            <w:pPr>
              <w:rPr>
                <w:rFonts w:ascii="Calibri" w:hAnsi="Calibri"/>
              </w:rPr>
            </w:pPr>
            <w:r>
              <w:rPr>
                <w:rFonts w:ascii="Tinos" w:hAnsi="Tinos"/>
                <w:color w:val="000000"/>
              </w:rPr>
              <w:t xml:space="preserve">Директор           </w:t>
            </w:r>
            <w:r>
              <w:rPr>
                <w:rFonts w:ascii="Tinos" w:hAnsi="Tinos"/>
                <w:color w:val="000000"/>
              </w:rPr>
              <w:tab/>
            </w:r>
            <w:r>
              <w:rPr>
                <w:rFonts w:ascii="Tinos" w:hAnsi="Tinos"/>
                <w:color w:val="000000"/>
              </w:rPr>
              <w:t>И. П. Моисеенко</w:t>
            </w:r>
          </w:p>
          <w:p w14:paraId="5E010000">
            <w:pPr>
              <w:rPr>
                <w:rFonts w:ascii="Calibri" w:hAnsi="Calibri"/>
              </w:rPr>
            </w:pPr>
            <w:r>
              <w:rPr>
                <w:rFonts w:ascii="Tinos" w:hAnsi="Tinos"/>
                <w:color w:val="000000"/>
              </w:rPr>
              <w:t>(подписано ЭЦП)</w:t>
            </w:r>
          </w:p>
        </w:tc>
        <w:tc>
          <w:tcPr>
            <w:tcW w:type="dxa" w:w="4454"/>
            <w:tcBorders>
              <w:top w:sz="4" w:val="nil"/>
              <w:left w:sz="4" w:val="nil"/>
              <w:bottom w:sz="4" w:val="nil"/>
              <w:right w:sz="4" w:val="nil"/>
            </w:tcBorders>
          </w:tcPr>
          <w:p w14:paraId="5F010000">
            <w:pPr>
              <w:rPr>
                <w:rFonts w:ascii="Tinos" w:hAnsi="Tinos"/>
                <w:color w:val="000000"/>
              </w:rPr>
            </w:pPr>
          </w:p>
          <w:p w14:paraId="60010000">
            <w:pPr>
              <w:rPr>
                <w:rFonts w:ascii="Calibri" w:hAnsi="Calibri"/>
              </w:rPr>
            </w:pPr>
            <w:r>
              <w:rPr>
                <w:rFonts w:ascii="Tinos" w:hAnsi="Tinos"/>
                <w:color w:val="000000"/>
              </w:rPr>
              <w:t>(подписано ЭЦП)</w:t>
            </w:r>
          </w:p>
        </w:tc>
      </w:tr>
    </w:tbl>
    <w:p w14:paraId="61010000">
      <w:pPr>
        <w:widowControl w:val="1"/>
        <w:ind/>
        <w:jc w:val="right"/>
        <w:rPr>
          <w:sz w:val="22"/>
        </w:rPr>
      </w:pPr>
    </w:p>
    <w:p w14:paraId="62010000">
      <w:pPr>
        <w:rPr>
          <w:sz w:val="22"/>
        </w:rPr>
      </w:pPr>
    </w:p>
    <w:sectPr>
      <w:footerReference r:id="rId1" w:type="default"/>
      <w:footerReference r:id="rId2" w:type="first"/>
      <w:footerReference r:id="rId4" w:type="even"/>
      <w:pgSz w:h="11906" w:orient="landscape" w:w="16838"/>
      <w:pgMar w:bottom="454" w:footer="0" w:gutter="0" w:header="0" w:left="567" w:right="567" w:top="426"/>
    </w:sectPr>
  </w:body>
</w:document>
</file>

<file path=word/endnotes.xml><?xml version="1.0" encoding="utf-8"?>
<w:end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endnote w:id="-1" w:type="separator">
    <w:p w14:paraId="6B010000">
      <w:r>
        <w:separator/>
      </w:r>
    </w:p>
  </w:endnote>
  <w:endnote w:id="0" w:type="continuationSeparator">
    <w:p w14:paraId="6C010000">
      <w:r>
        <w:continuationSeparator/>
      </w:r>
    </w:p>
  </w:endnote>
</w:endnotes>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14935" cy="130175"/>
              <wp:wrapSquare distB="0" distL="0" distR="0" distT="0" wrapText="bothSides"/>
              <wp:docPr hidden="false" id="1" name="Picture 1"/>
              <a:graphic>
                <a:graphicData uri="http://schemas.microsoft.com/office/word/2010/wordprocessingShape">
                  <wps:wsp>
                    <wps:cNvSpPr txBox="false"/>
                    <wps:spPr>
                      <a:xfrm flipH="false" flipV="false" rot="0">
                        <a:off x="0" y="0"/>
                        <a:ext cx="114935" cy="130175"/>
                      </a:xfrm>
                      <a:prstGeom prst="rect">
                        <a:avLst/>
                      </a:prstGeom>
                      <a:noFill/>
                      <a:ln>
                        <a:noFill/>
                      </a:ln>
                    </wps:spPr>
                    <wps:txbx>
                      <w:txbxContent>
                        <w:p w14:paraId="02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ftr>
</file>

<file path=word/footer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4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4605" cy="14605"/>
              <wp:wrapSquare distB="0" distL="0" distR="0" distT="0" wrapText="bothSides"/>
              <wp:docPr hidden="false" id="2" name="Picture 2"/>
              <a:graphic>
                <a:graphicData uri="http://schemas.microsoft.com/office/word/2010/wordprocessingShape">
                  <wps:wsp>
                    <wps:cNvSpPr txBox="false"/>
                    <wps:spPr>
                      <a:xfrm flipH="false" flipV="false" rot="0">
                        <a:off x="0" y="0"/>
                        <a:ext cx="14605" cy="14605"/>
                      </a:xfrm>
                      <a:prstGeom prst="rect">
                        <a:avLst/>
                      </a:prstGeom>
                      <a:noFill/>
                      <a:ln>
                        <a:noFill/>
                      </a:ln>
                    </wps:spPr>
                    <wps:txbx>
                      <w:txbxContent>
                        <w:p w14:paraId="05000000">
                          <w:pPr>
                            <w:pStyle w:val="Style_1"/>
                            <w:rPr>
                              <w:rStyle w:val="Style_2_ch"/>
                              <w:rFonts w:ascii="Times New Roman" w:hAnsi="Times New Roman"/>
                              <w:color w:val="000000"/>
                              <w:spacing w:val="0"/>
                              <w:sz w:val="24"/>
                            </w:rPr>
                          </w:pPr>
                          <w:r>
                            <w:rPr>
                              <w:rStyle w:val="Style_2_ch"/>
                              <w:rFonts w:ascii="Times New Roman" w:hAnsi="Times New Roman"/>
                              <w:color w:val="000000"/>
                              <w:spacing w:val="0"/>
                              <w:sz w:val="24"/>
                            </w:rPr>
                            <w:fldChar w:fldCharType="begin"/>
                          </w:r>
                          <w:r>
                            <w:rPr>
                              <w:rStyle w:val="Style_2_ch"/>
                              <w:rFonts w:ascii="Times New Roman" w:hAnsi="Times New Roman"/>
                              <w:color w:val="000000"/>
                              <w:spacing w:val="0"/>
                              <w:sz w:val="24"/>
                            </w:rPr>
                            <w:instrText xml:space="preserve">PAGE </w:instrText>
                          </w:r>
                          <w:r>
                            <w:rPr>
                              <w:rStyle w:val="Style_2_ch"/>
                              <w:rFonts w:ascii="Times New Roman" w:hAnsi="Times New Roman"/>
                              <w:color w:val="000000"/>
                              <w:spacing w:val="0"/>
                              <w:sz w:val="24"/>
                            </w:rPr>
                            <w:fldChar w:fldCharType="separate"/>
                          </w:r>
                          <w:r>
                            <w:rPr>
                              <w:rStyle w:val="Style_2_ch"/>
                              <w:rFonts w:ascii="Times New Roman" w:hAnsi="Times New Roman"/>
                              <w:color w:val="000000"/>
                              <w:spacing w:val="0"/>
                              <w:sz w:val="24"/>
                            </w:rPr>
                            <w:t xml:space="preserve"> </w:t>
                          </w:r>
                          <w:r>
                            <w:rPr>
                              <w:rStyle w:val="Style_2_ch"/>
                              <w:rFonts w:ascii="Times New Roman" w:hAnsi="Times New Roman"/>
                              <w:color w:val="000000"/>
                              <w:spacing w:val="0"/>
                              <w:sz w:val="24"/>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6000000">
    <w:pPr>
      <w:pStyle w:val="Style_1"/>
    </w:pPr>
  </w:p>
</w:ftr>
</file>

<file path=word/footer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3" name="Picture 3"/>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8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9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4" name="Picture 4"/>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A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footnote w:id="-1" w:type="separator">
    <w:p w14:paraId="63010000">
      <w:r>
        <w:separator/>
      </w:r>
    </w:p>
  </w:footnote>
  <w:footnote w:id="0" w:type="continuationSeparator">
    <w:p w14:paraId="64010000">
      <w:r>
        <w:continuationSeparator/>
      </w:r>
    </w:p>
  </w:footnote>
  <w:footnote w:id="1">
    <w:p w14:paraId="65010000">
      <w:pPr>
        <w:pStyle w:val="Style_27"/>
      </w:pPr>
      <w:r>
        <w:rPr>
          <w:vertAlign w:val="superscript"/>
        </w:rPr>
        <w:footnoteRef/>
      </w:r>
      <w: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14:paraId="66010000">
      <w:pPr>
        <w:pStyle w:val="Style_27"/>
      </w:pPr>
      <w:r>
        <w:rPr>
          <w:vertAlign w:val="superscript"/>
        </w:rPr>
        <w:footnoteRef/>
      </w:r>
      <w:r>
        <w:rPr>
          <w:i w:val="1"/>
        </w:rPr>
        <w:t xml:space="preserve"> </w:t>
      </w:r>
      <w:r>
        <w:rPr>
          <w:i w:val="1"/>
          <w:sz w:val="18"/>
        </w:rPr>
        <w:t>Не требуется в случае применения упрощенной системы налогообложения</w:t>
      </w:r>
    </w:p>
  </w:footnote>
  <w:footnote w:id="3">
    <w:p w14:paraId="67010000">
      <w:pPr>
        <w:pStyle w:val="Style_27"/>
      </w:pPr>
      <w:r>
        <w:rPr>
          <w:vertAlign w:val="superscript"/>
        </w:rPr>
        <w:footnoteRef/>
      </w:r>
      <w:r>
        <w:t xml:space="preserve"> Заполняется в соответствии с заявкой Поставщика с учетом положений пункта 1 части 2 статьи 43 Федерального закона</w:t>
      </w:r>
    </w:p>
  </w:footnote>
  <w:footnote w:id="4">
    <w:p w14:paraId="68010000">
      <w:pPr>
        <w:pStyle w:val="Style_27"/>
      </w:pPr>
      <w:r>
        <w:rPr>
          <w:vertAlign w:val="superscript"/>
        </w:rPr>
        <w:footnoteRef/>
      </w:r>
      <w:r>
        <w:t xml:space="preserve"> </w:t>
      </w:r>
      <w:r>
        <w:rPr>
          <w:i w:val="1"/>
        </w:rPr>
        <w:t>Указывается в строгом соответствии с Общероссийским классификатором единиц измерения</w:t>
      </w:r>
    </w:p>
  </w:footnote>
  <w:footnote w:id="5">
    <w:p w14:paraId="69010000">
      <w:pPr>
        <w:pStyle w:val="Style_27"/>
        <w:rPr>
          <w:i w:val="1"/>
          <w:sz w:val="18"/>
        </w:rPr>
      </w:pPr>
      <w:r>
        <w:rPr>
          <w:i w:val="1"/>
          <w:sz w:val="18"/>
          <w:vertAlign w:val="superscript"/>
        </w:rPr>
        <w:footnoteRef/>
      </w:r>
      <w:r>
        <w:rPr>
          <w:i w:val="1"/>
          <w:sz w:val="18"/>
        </w:rPr>
        <w:t xml:space="preserve"> В случае, если НДС не облагается, наименование графы изложить в следующей редакции: «Стоимость Товара (руб.) </w:t>
      </w:r>
      <w:r>
        <w:rPr>
          <w:i w:val="1"/>
          <w:sz w:val="18"/>
        </w:rPr>
        <w:t>(НДС не облагается)»</w:t>
      </w:r>
      <w:r>
        <w:t xml:space="preserve"> </w:t>
      </w:r>
    </w:p>
    <w:p w14:paraId="6A010000">
      <w:pPr>
        <w:pStyle w:val="Style_27"/>
      </w:pPr>
    </w:p>
  </w:footnote>
</w:footnote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8" w:type="paragraph">
    <w:name w:val="Normal"/>
    <w:link w:val="Style_8_ch"/>
    <w:uiPriority w:val="0"/>
    <w:qFormat/>
    <w:pPr>
      <w:widowControl w:val="0"/>
      <w:ind/>
    </w:pPr>
  </w:style>
  <w:style w:default="1" w:styleId="Style_8_ch" w:type="character">
    <w:name w:val="Normal"/>
    <w:link w:val="Style_8"/>
  </w:style>
  <w:style w:styleId="Style_9" w:type="paragraph">
    <w:name w:val="toc 2"/>
    <w:next w:val="Style_8"/>
    <w:link w:val="Style_9_ch"/>
    <w:uiPriority w:val="39"/>
    <w:pPr>
      <w:widowControl w:val="1"/>
      <w:ind w:firstLine="0" w:left="200"/>
      <w:jc w:val="left"/>
    </w:pPr>
    <w:rPr>
      <w:rFonts w:ascii="XO Thames" w:hAnsi="XO Thames"/>
      <w:sz w:val="28"/>
    </w:rPr>
  </w:style>
  <w:style w:styleId="Style_9_ch" w:type="character">
    <w:name w:val="toc 2"/>
    <w:link w:val="Style_9"/>
    <w:rPr>
      <w:rFonts w:ascii="XO Thames" w:hAnsi="XO Thames"/>
      <w:sz w:val="28"/>
    </w:rPr>
  </w:style>
  <w:style w:styleId="Style_10" w:type="paragraph">
    <w:name w:val="caption"/>
    <w:basedOn w:val="Style_11"/>
    <w:link w:val="Style_10_ch"/>
    <w:pPr>
      <w:widowControl w:val="1"/>
      <w:spacing w:after="120" w:before="120"/>
      <w:ind/>
    </w:pPr>
    <w:rPr>
      <w:i w:val="1"/>
    </w:rPr>
  </w:style>
  <w:style w:styleId="Style_10_ch" w:type="character">
    <w:name w:val="caption"/>
    <w:basedOn w:val="Style_11_ch"/>
    <w:link w:val="Style_10"/>
    <w:rPr>
      <w:i w:val="1"/>
    </w:rPr>
  </w:style>
  <w:style w:styleId="Style_12" w:type="paragraph">
    <w:name w:val="toc 4"/>
    <w:next w:val="Style_8"/>
    <w:link w:val="Style_12_ch"/>
    <w:uiPriority w:val="39"/>
    <w:pPr>
      <w:widowControl w:val="1"/>
      <w:ind w:firstLine="0" w:left="600"/>
      <w:jc w:val="left"/>
    </w:pPr>
    <w:rPr>
      <w:rFonts w:ascii="XO Thames" w:hAnsi="XO Thames"/>
      <w:sz w:val="28"/>
    </w:rPr>
  </w:style>
  <w:style w:styleId="Style_12_ch" w:type="character">
    <w:name w:val="toc 4"/>
    <w:link w:val="Style_12"/>
    <w:rPr>
      <w:rFonts w:ascii="XO Thames" w:hAnsi="XO Thames"/>
      <w:sz w:val="28"/>
    </w:rPr>
  </w:style>
  <w:style w:styleId="Style_13" w:type="paragraph">
    <w:name w:val="toc 6"/>
    <w:next w:val="Style_8"/>
    <w:link w:val="Style_13_ch"/>
    <w:uiPriority w:val="39"/>
    <w:pPr>
      <w:widowControl w:val="1"/>
      <w:ind w:firstLine="0" w:left="1000"/>
      <w:jc w:val="left"/>
    </w:pPr>
    <w:rPr>
      <w:rFonts w:ascii="XO Thames" w:hAnsi="XO Thames"/>
      <w:sz w:val="28"/>
    </w:rPr>
  </w:style>
  <w:style w:styleId="Style_13_ch" w:type="character">
    <w:name w:val="toc 6"/>
    <w:link w:val="Style_13"/>
    <w:rPr>
      <w:rFonts w:ascii="XO Thames" w:hAnsi="XO Thames"/>
      <w:sz w:val="28"/>
    </w:rPr>
  </w:style>
  <w:style w:styleId="Style_14" w:type="paragraph">
    <w:name w:val="toc 7"/>
    <w:next w:val="Style_8"/>
    <w:link w:val="Style_14_ch"/>
    <w:uiPriority w:val="39"/>
    <w:pPr>
      <w:widowControl w:val="1"/>
      <w:ind w:firstLine="0" w:left="1200"/>
      <w:jc w:val="left"/>
    </w:pPr>
    <w:rPr>
      <w:rFonts w:ascii="XO Thames" w:hAnsi="XO Thames"/>
      <w:sz w:val="28"/>
    </w:rPr>
  </w:style>
  <w:style w:styleId="Style_14_ch" w:type="character">
    <w:name w:val="toc 7"/>
    <w:link w:val="Style_14"/>
    <w:rPr>
      <w:rFonts w:ascii="XO Thames" w:hAnsi="XO Thames"/>
      <w:sz w:val="28"/>
    </w:rPr>
  </w:style>
  <w:style w:styleId="Style_15" w:type="paragraph">
    <w:name w:val="Footnote Symbol"/>
    <w:link w:val="Style_15_ch"/>
  </w:style>
  <w:style w:styleId="Style_15_ch" w:type="character">
    <w:name w:val="Footnote Symbol"/>
    <w:link w:val="Style_15"/>
  </w:style>
  <w:style w:styleId="Style_16" w:type="paragraph">
    <w:name w:val="Endnote"/>
    <w:link w:val="Style_16_ch"/>
    <w:pPr>
      <w:widowControl w:val="1"/>
      <w:ind w:firstLine="851" w:left="0"/>
      <w:jc w:val="both"/>
    </w:pPr>
    <w:rPr>
      <w:rFonts w:ascii="XO Thames" w:hAnsi="XO Thames"/>
      <w:sz w:val="22"/>
    </w:rPr>
  </w:style>
  <w:style w:styleId="Style_16_ch" w:type="character">
    <w:name w:val="Endnote"/>
    <w:link w:val="Style_16"/>
    <w:rPr>
      <w:rFonts w:ascii="XO Thames" w:hAnsi="XO Thames"/>
      <w:sz w:val="22"/>
    </w:rPr>
  </w:style>
  <w:style w:styleId="Style_17" w:type="paragraph">
    <w:name w:val="heading 3"/>
    <w:next w:val="Style_8"/>
    <w:link w:val="Style_17_ch"/>
    <w:uiPriority w:val="9"/>
    <w:qFormat/>
    <w:pPr>
      <w:widowControl w:val="1"/>
      <w:spacing w:after="120" w:before="120"/>
      <w:ind/>
      <w:jc w:val="both"/>
      <w:outlineLvl w:val="2"/>
    </w:pPr>
    <w:rPr>
      <w:rFonts w:ascii="XO Thames" w:hAnsi="XO Thames"/>
      <w:b w:val="1"/>
      <w:sz w:val="26"/>
    </w:rPr>
  </w:style>
  <w:style w:styleId="Style_17_ch" w:type="character">
    <w:name w:val="heading 3"/>
    <w:link w:val="Style_17"/>
    <w:rPr>
      <w:rFonts w:ascii="XO Thames" w:hAnsi="XO Thames"/>
      <w:b w:val="1"/>
      <w:sz w:val="26"/>
    </w:rPr>
  </w:style>
  <w:style w:styleId="Style_18" w:type="paragraph">
    <w:name w:val="annotation text"/>
    <w:basedOn w:val="Style_8"/>
    <w:link w:val="Style_18_ch"/>
    <w:rPr>
      <w:sz w:val="20"/>
    </w:rPr>
  </w:style>
  <w:style w:styleId="Style_18_ch" w:type="character">
    <w:name w:val="annotation text"/>
    <w:basedOn w:val="Style_8_ch"/>
    <w:link w:val="Style_18"/>
    <w:rPr>
      <w:sz w:val="20"/>
    </w:rPr>
  </w:style>
  <w:style w:styleId="Style_6" w:type="paragraph">
    <w:name w:val="ConsNormal"/>
    <w:link w:val="Style_6_ch"/>
    <w:pPr>
      <w:widowControl w:val="0"/>
      <w:ind w:firstLine="720" w:left="709" w:right="19772"/>
      <w:jc w:val="both"/>
    </w:pPr>
    <w:rPr>
      <w:rFonts w:ascii="Arial" w:hAnsi="Arial"/>
      <w:sz w:val="22"/>
    </w:rPr>
  </w:style>
  <w:style w:styleId="Style_6_ch" w:type="character">
    <w:name w:val="ConsNormal"/>
    <w:link w:val="Style_6"/>
    <w:rPr>
      <w:rFonts w:ascii="Arial" w:hAnsi="Arial"/>
      <w:sz w:val="22"/>
    </w:rPr>
  </w:style>
  <w:style w:styleId="Style_1" w:type="paragraph">
    <w:name w:val="footer"/>
    <w:basedOn w:val="Style_8"/>
    <w:link w:val="Style_1_ch"/>
    <w:pPr>
      <w:widowControl w:val="1"/>
      <w:tabs>
        <w:tab w:leader="none" w:pos="4677" w:val="center"/>
        <w:tab w:leader="none" w:pos="9355" w:val="right"/>
      </w:tabs>
      <w:ind/>
    </w:pPr>
  </w:style>
  <w:style w:styleId="Style_1_ch" w:type="character">
    <w:name w:val="footer"/>
    <w:basedOn w:val="Style_8_ch"/>
    <w:link w:val="Style_1"/>
  </w:style>
  <w:style w:styleId="Style_19" w:type="paragraph">
    <w:name w:val="Заголовок таблицы"/>
    <w:basedOn w:val="Style_20"/>
    <w:link w:val="Style_19_ch"/>
    <w:pPr>
      <w:widowControl w:val="1"/>
      <w:ind/>
      <w:jc w:val="center"/>
    </w:pPr>
    <w:rPr>
      <w:b w:val="1"/>
    </w:rPr>
  </w:style>
  <w:style w:styleId="Style_19_ch" w:type="character">
    <w:name w:val="Заголовок таблицы"/>
    <w:basedOn w:val="Style_20_ch"/>
    <w:link w:val="Style_19"/>
    <w:rPr>
      <w:b w:val="1"/>
    </w:rPr>
  </w:style>
  <w:style w:styleId="Style_21" w:type="paragraph">
    <w:name w:val="Body Text"/>
    <w:basedOn w:val="Style_8"/>
    <w:link w:val="Style_21_ch"/>
    <w:pPr>
      <w:widowControl w:val="1"/>
      <w:spacing w:after="140" w:line="276" w:lineRule="auto"/>
      <w:ind/>
    </w:pPr>
  </w:style>
  <w:style w:styleId="Style_21_ch" w:type="character">
    <w:name w:val="Body Text"/>
    <w:basedOn w:val="Style_8_ch"/>
    <w:link w:val="Style_21"/>
  </w:style>
  <w:style w:styleId="Style_2" w:type="paragraph">
    <w:name w:val="page number"/>
    <w:basedOn w:val="Style_22"/>
    <w:link w:val="Style_2_ch"/>
  </w:style>
  <w:style w:styleId="Style_2_ch" w:type="character">
    <w:name w:val="page number"/>
    <w:basedOn w:val="Style_22_ch"/>
    <w:link w:val="Style_2"/>
  </w:style>
  <w:style w:styleId="Style_23" w:type="paragraph">
    <w:name w:val="annotation reference"/>
    <w:basedOn w:val="Style_22"/>
    <w:link w:val="Style_23_ch"/>
    <w:rPr>
      <w:sz w:val="16"/>
    </w:rPr>
  </w:style>
  <w:style w:styleId="Style_23_ch" w:type="character">
    <w:name w:val="annotation reference"/>
    <w:basedOn w:val="Style_22_ch"/>
    <w:link w:val="Style_23"/>
    <w:rPr>
      <w:sz w:val="16"/>
    </w:rPr>
  </w:style>
  <w:style w:styleId="Style_24" w:type="paragraph">
    <w:name w:val="Символ сноски"/>
    <w:link w:val="Style_24_ch"/>
    <w:rPr>
      <w:vertAlign w:val="superscript"/>
    </w:rPr>
  </w:style>
  <w:style w:styleId="Style_24_ch" w:type="character">
    <w:name w:val="Символ сноски"/>
    <w:link w:val="Style_24"/>
    <w:rPr>
      <w:vertAlign w:val="superscript"/>
    </w:rPr>
  </w:style>
  <w:style w:styleId="Style_25" w:type="paragraph">
    <w:name w:val="Body Text Indent"/>
    <w:basedOn w:val="Style_8"/>
    <w:link w:val="Style_25_ch"/>
    <w:pPr>
      <w:widowControl w:val="1"/>
      <w:spacing w:after="120"/>
      <w:ind w:left="283"/>
    </w:pPr>
    <w:rPr>
      <w:rFonts w:ascii="Arial" w:hAnsi="Arial"/>
      <w:sz w:val="18"/>
    </w:rPr>
  </w:style>
  <w:style w:styleId="Style_25_ch" w:type="character">
    <w:name w:val="Body Text Indent"/>
    <w:basedOn w:val="Style_8_ch"/>
    <w:link w:val="Style_25"/>
    <w:rPr>
      <w:rFonts w:ascii="Arial" w:hAnsi="Arial"/>
      <w:sz w:val="18"/>
    </w:rPr>
  </w:style>
  <w:style w:styleId="Style_4" w:type="paragraph">
    <w:name w:val="footnote reference"/>
    <w:link w:val="Style_4_ch"/>
    <w:rPr>
      <w:vertAlign w:val="superscript"/>
    </w:rPr>
  </w:style>
  <w:style w:styleId="Style_4_ch" w:type="character">
    <w:name w:val="footnote reference"/>
    <w:link w:val="Style_4"/>
    <w:rPr>
      <w:vertAlign w:val="superscript"/>
    </w:rPr>
  </w:style>
  <w:style w:styleId="Style_26" w:type="paragraph">
    <w:name w:val="ConsPlusNormal"/>
    <w:link w:val="Style_26_ch"/>
    <w:pPr>
      <w:widowControl w:val="0"/>
      <w:ind w:firstLine="720"/>
    </w:pPr>
    <w:rPr>
      <w:rFonts w:ascii="Arial" w:hAnsi="Arial"/>
      <w:sz w:val="20"/>
    </w:rPr>
  </w:style>
  <w:style w:styleId="Style_26_ch" w:type="character">
    <w:name w:val="ConsPlusNormal"/>
    <w:link w:val="Style_26"/>
    <w:rPr>
      <w:rFonts w:ascii="Arial" w:hAnsi="Arial"/>
      <w:sz w:val="20"/>
    </w:rPr>
  </w:style>
  <w:style w:styleId="Style_27" w:type="paragraph">
    <w:name w:val="Footnote"/>
    <w:basedOn w:val="Style_8"/>
    <w:link w:val="Style_27_ch"/>
    <w:rPr>
      <w:sz w:val="20"/>
    </w:rPr>
  </w:style>
  <w:style w:styleId="Style_27_ch" w:type="character">
    <w:name w:val="Footnote"/>
    <w:basedOn w:val="Style_8_ch"/>
    <w:link w:val="Style_27"/>
    <w:rPr>
      <w:sz w:val="20"/>
    </w:rPr>
  </w:style>
  <w:style w:styleId="Style_20" w:type="paragraph">
    <w:name w:val="Содержимое таблицы"/>
    <w:basedOn w:val="Style_11"/>
    <w:link w:val="Style_20_ch"/>
  </w:style>
  <w:style w:styleId="Style_20_ch" w:type="character">
    <w:name w:val="Содержимое таблицы"/>
    <w:basedOn w:val="Style_11_ch"/>
    <w:link w:val="Style_20"/>
  </w:style>
  <w:style w:styleId="Style_28" w:type="paragraph">
    <w:name w:val="toc 3"/>
    <w:next w:val="Style_8"/>
    <w:link w:val="Style_28_ch"/>
    <w:uiPriority w:val="39"/>
    <w:pPr>
      <w:widowControl w:val="1"/>
      <w:ind w:firstLine="0" w:left="400"/>
      <w:jc w:val="left"/>
    </w:pPr>
    <w:rPr>
      <w:rFonts w:ascii="XO Thames" w:hAnsi="XO Thames"/>
      <w:sz w:val="28"/>
    </w:rPr>
  </w:style>
  <w:style w:styleId="Style_28_ch" w:type="character">
    <w:name w:val="toc 3"/>
    <w:link w:val="Style_28"/>
    <w:rPr>
      <w:rFonts w:ascii="XO Thames" w:hAnsi="XO Thames"/>
      <w:sz w:val="28"/>
    </w:rPr>
  </w:style>
  <w:style w:styleId="Style_29" w:type="paragraph">
    <w:name w:val="Заголовок1"/>
    <w:basedOn w:val="Style_11"/>
    <w:next w:val="Style_30"/>
    <w:link w:val="Style_29_ch"/>
    <w:pPr>
      <w:keepNext w:val="1"/>
      <w:widowControl w:val="1"/>
      <w:spacing w:after="120" w:before="240"/>
      <w:ind/>
    </w:pPr>
    <w:rPr>
      <w:rFonts w:ascii="Arial" w:hAnsi="Arial"/>
      <w:sz w:val="28"/>
    </w:rPr>
  </w:style>
  <w:style w:styleId="Style_29_ch" w:type="character">
    <w:name w:val="Заголовок1"/>
    <w:basedOn w:val="Style_11_ch"/>
    <w:link w:val="Style_29"/>
    <w:rPr>
      <w:rFonts w:ascii="Arial" w:hAnsi="Arial"/>
      <w:sz w:val="28"/>
    </w:rPr>
  </w:style>
  <w:style w:styleId="Style_30" w:type="paragraph">
    <w:name w:val="Text body"/>
    <w:basedOn w:val="Style_11"/>
    <w:link w:val="Style_30_ch"/>
    <w:pPr>
      <w:widowControl w:val="1"/>
      <w:spacing w:after="120"/>
      <w:ind/>
    </w:pPr>
  </w:style>
  <w:style w:styleId="Style_30_ch" w:type="character">
    <w:name w:val="Text body"/>
    <w:basedOn w:val="Style_11_ch"/>
    <w:link w:val="Style_30"/>
  </w:style>
  <w:style w:styleId="Style_31" w:type="paragraph">
    <w:name w:val="heading 5"/>
    <w:next w:val="Style_8"/>
    <w:link w:val="Style_31_ch"/>
    <w:uiPriority w:val="9"/>
    <w:qFormat/>
    <w:pPr>
      <w:widowControl w:val="1"/>
      <w:spacing w:after="120" w:before="120"/>
      <w:ind/>
      <w:jc w:val="both"/>
      <w:outlineLvl w:val="4"/>
    </w:pPr>
    <w:rPr>
      <w:rFonts w:ascii="XO Thames" w:hAnsi="XO Thames"/>
      <w:b w:val="1"/>
      <w:sz w:val="22"/>
    </w:rPr>
  </w:style>
  <w:style w:styleId="Style_31_ch" w:type="character">
    <w:name w:val="heading 5"/>
    <w:link w:val="Style_31"/>
    <w:rPr>
      <w:rFonts w:ascii="XO Thames" w:hAnsi="XO Thames"/>
      <w:b w:val="1"/>
      <w:sz w:val="22"/>
    </w:rPr>
  </w:style>
  <w:style w:styleId="Style_11" w:type="paragraph">
    <w:name w:val="Standard"/>
    <w:link w:val="Style_11_ch"/>
    <w:rPr>
      <w:color w:val="00000A"/>
      <w:sz w:val="20"/>
    </w:rPr>
  </w:style>
  <w:style w:styleId="Style_11_ch" w:type="character">
    <w:name w:val="Standard"/>
    <w:link w:val="Style_11"/>
    <w:rPr>
      <w:color w:val="00000A"/>
      <w:sz w:val="20"/>
    </w:rPr>
  </w:style>
  <w:style w:styleId="Style_32" w:type="paragraph">
    <w:name w:val="List"/>
    <w:basedOn w:val="Style_30"/>
    <w:link w:val="Style_32_ch"/>
  </w:style>
  <w:style w:styleId="Style_32_ch" w:type="character">
    <w:name w:val="List"/>
    <w:basedOn w:val="Style_30_ch"/>
    <w:link w:val="Style_32"/>
  </w:style>
  <w:style w:styleId="Style_33" w:type="paragraph">
    <w:name w:val="heading 1"/>
    <w:basedOn w:val="Style_8"/>
    <w:next w:val="Style_8"/>
    <w:link w:val="Style_33_ch"/>
    <w:uiPriority w:val="9"/>
    <w:qFormat/>
    <w:pPr>
      <w:keepNext w:val="1"/>
      <w:keepLines w:val="1"/>
      <w:widowControl w:val="1"/>
      <w:spacing w:before="240"/>
      <w:ind/>
      <w:outlineLvl w:val="0"/>
    </w:pPr>
    <w:rPr>
      <w:rFonts w:asciiTheme="majorAscii" w:hAnsiTheme="majorHAnsi"/>
      <w:color w:themeColor="accent1" w:themeShade="BF" w:val="2E75B5"/>
      <w:sz w:val="32"/>
    </w:rPr>
  </w:style>
  <w:style w:styleId="Style_33_ch" w:type="character">
    <w:name w:val="heading 1"/>
    <w:basedOn w:val="Style_8_ch"/>
    <w:link w:val="Style_33"/>
    <w:rPr>
      <w:rFonts w:asciiTheme="majorAscii" w:hAnsiTheme="majorHAnsi"/>
      <w:color w:themeColor="accent1" w:themeShade="BF" w:val="2E75B5"/>
      <w:sz w:val="32"/>
    </w:rPr>
  </w:style>
  <w:style w:styleId="Style_34" w:type="paragraph">
    <w:name w:val="index heading"/>
    <w:basedOn w:val="Style_8"/>
    <w:link w:val="Style_34_ch"/>
    <w:rPr>
      <w:rFonts w:ascii="PT Astra Serif" w:hAnsi="PT Astra Serif"/>
    </w:rPr>
  </w:style>
  <w:style w:styleId="Style_34_ch" w:type="character">
    <w:name w:val="index heading"/>
    <w:basedOn w:val="Style_8_ch"/>
    <w:link w:val="Style_34"/>
    <w:rPr>
      <w:rFonts w:ascii="PT Astra Serif" w:hAnsi="PT Astra Serif"/>
    </w:rPr>
  </w:style>
  <w:style w:styleId="Style_35" w:type="paragraph">
    <w:name w:val="Hyperlink"/>
    <w:basedOn w:val="Style_22"/>
    <w:link w:val="Style_35_ch"/>
    <w:rPr>
      <w:color w:themeColor="hyperlink" w:val="0563C1"/>
      <w:u w:val="single"/>
    </w:rPr>
  </w:style>
  <w:style w:styleId="Style_35_ch" w:type="character">
    <w:name w:val="Hyperlink"/>
    <w:basedOn w:val="Style_22_ch"/>
    <w:link w:val="Style_35"/>
    <w:rPr>
      <w:color w:themeColor="hyperlink" w:val="0563C1"/>
      <w:u w:val="single"/>
    </w:rPr>
  </w:style>
  <w:style w:styleId="Style_36" w:type="paragraph">
    <w:name w:val="Footnote"/>
    <w:basedOn w:val="Style_11"/>
    <w:link w:val="Style_36_ch"/>
    <w:pPr>
      <w:widowControl w:val="1"/>
      <w:ind w:hanging="339" w:left="339"/>
    </w:pPr>
  </w:style>
  <w:style w:styleId="Style_36_ch" w:type="character">
    <w:name w:val="Footnote"/>
    <w:basedOn w:val="Style_11_ch"/>
    <w:link w:val="Style_36"/>
  </w:style>
  <w:style w:styleId="Style_37" w:type="paragraph">
    <w:name w:val="toc 1"/>
    <w:next w:val="Style_8"/>
    <w:link w:val="Style_37_ch"/>
    <w:uiPriority w:val="39"/>
    <w:pPr>
      <w:widowControl w:val="1"/>
      <w:ind w:firstLine="0" w:left="0"/>
      <w:jc w:val="left"/>
    </w:pPr>
    <w:rPr>
      <w:rFonts w:ascii="XO Thames" w:hAnsi="XO Thames"/>
      <w:b w:val="1"/>
      <w:sz w:val="28"/>
    </w:rPr>
  </w:style>
  <w:style w:styleId="Style_37_ch" w:type="character">
    <w:name w:val="toc 1"/>
    <w:link w:val="Style_37"/>
    <w:rPr>
      <w:rFonts w:ascii="XO Thames" w:hAnsi="XO Thames"/>
      <w:b w:val="1"/>
      <w:sz w:val="28"/>
    </w:rPr>
  </w:style>
  <w:style w:styleId="Style_38" w:type="paragraph">
    <w:name w:val="Header and Footer"/>
    <w:basedOn w:val="Style_8"/>
    <w:link w:val="Style_38_ch"/>
  </w:style>
  <w:style w:styleId="Style_38_ch" w:type="character">
    <w:name w:val="Header and Footer"/>
    <w:basedOn w:val="Style_8_ch"/>
    <w:link w:val="Style_38"/>
  </w:style>
  <w:style w:styleId="Style_39" w:type="paragraph">
    <w:name w:val="Маркеры"/>
    <w:link w:val="Style_39_ch"/>
    <w:rPr>
      <w:rFonts w:ascii="OpenSymbol" w:hAnsi="OpenSymbol"/>
    </w:rPr>
  </w:style>
  <w:style w:styleId="Style_39_ch" w:type="character">
    <w:name w:val="Маркеры"/>
    <w:link w:val="Style_39"/>
    <w:rPr>
      <w:rFonts w:ascii="OpenSymbol" w:hAnsi="OpenSymbol"/>
    </w:rPr>
  </w:style>
  <w:style w:styleId="Style_40" w:type="paragraph">
    <w:name w:val="Содержимое врезки"/>
    <w:basedOn w:val="Style_8"/>
    <w:link w:val="Style_40_ch"/>
  </w:style>
  <w:style w:styleId="Style_40_ch" w:type="character">
    <w:name w:val="Содержимое врезки"/>
    <w:basedOn w:val="Style_8_ch"/>
    <w:link w:val="Style_40"/>
  </w:style>
  <w:style w:styleId="Style_41" w:type="paragraph">
    <w:name w:val="Колонтитул"/>
    <w:basedOn w:val="Style_8"/>
    <w:link w:val="Style_41_ch"/>
  </w:style>
  <w:style w:styleId="Style_41_ch" w:type="character">
    <w:name w:val="Колонтитул"/>
    <w:basedOn w:val="Style_8_ch"/>
    <w:link w:val="Style_41"/>
  </w:style>
  <w:style w:styleId="Style_42" w:type="paragraph">
    <w:name w:val="toc 9"/>
    <w:next w:val="Style_8"/>
    <w:link w:val="Style_42_ch"/>
    <w:uiPriority w:val="39"/>
    <w:pPr>
      <w:widowControl w:val="1"/>
      <w:ind w:firstLine="0" w:left="1600"/>
      <w:jc w:val="left"/>
    </w:pPr>
    <w:rPr>
      <w:rFonts w:ascii="XO Thames" w:hAnsi="XO Thames"/>
      <w:sz w:val="28"/>
    </w:rPr>
  </w:style>
  <w:style w:styleId="Style_42_ch" w:type="character">
    <w:name w:val="toc 9"/>
    <w:link w:val="Style_42"/>
    <w:rPr>
      <w:rFonts w:ascii="XO Thames" w:hAnsi="XO Thames"/>
      <w:sz w:val="28"/>
    </w:rPr>
  </w:style>
  <w:style w:styleId="Style_43" w:type="paragraph">
    <w:name w:val="Обычный1"/>
    <w:link w:val="Style_43_ch"/>
  </w:style>
  <w:style w:styleId="Style_43_ch" w:type="character">
    <w:name w:val="Обычный1"/>
    <w:link w:val="Style_43"/>
  </w:style>
  <w:style w:styleId="Style_44" w:type="paragraph">
    <w:name w:val="toc 8"/>
    <w:next w:val="Style_8"/>
    <w:link w:val="Style_44_ch"/>
    <w:uiPriority w:val="39"/>
    <w:pPr>
      <w:widowControl w:val="1"/>
      <w:ind w:firstLine="0" w:left="1400"/>
      <w:jc w:val="left"/>
    </w:pPr>
    <w:rPr>
      <w:rFonts w:ascii="XO Thames" w:hAnsi="XO Thames"/>
      <w:sz w:val="28"/>
    </w:rPr>
  </w:style>
  <w:style w:styleId="Style_44_ch" w:type="character">
    <w:name w:val="toc 8"/>
    <w:link w:val="Style_44"/>
    <w:rPr>
      <w:rFonts w:ascii="XO Thames" w:hAnsi="XO Thames"/>
      <w:sz w:val="28"/>
    </w:rPr>
  </w:style>
  <w:style w:styleId="Style_45" w:type="paragraph">
    <w:name w:val="annotation subject"/>
    <w:basedOn w:val="Style_18"/>
    <w:next w:val="Style_18"/>
    <w:link w:val="Style_45_ch"/>
    <w:rPr>
      <w:b w:val="1"/>
    </w:rPr>
  </w:style>
  <w:style w:styleId="Style_45_ch" w:type="character">
    <w:name w:val="annotation subject"/>
    <w:basedOn w:val="Style_18_ch"/>
    <w:link w:val="Style_45"/>
    <w:rPr>
      <w:b w:val="1"/>
    </w:rPr>
  </w:style>
  <w:style w:styleId="Style_46" w:type="paragraph">
    <w:name w:val="header"/>
    <w:basedOn w:val="Style_11"/>
    <w:link w:val="Style_46_ch"/>
    <w:pPr>
      <w:widowControl w:val="1"/>
      <w:tabs>
        <w:tab w:leader="none" w:pos="4819" w:val="center"/>
        <w:tab w:leader="none" w:pos="9638" w:val="right"/>
      </w:tabs>
      <w:ind/>
    </w:pPr>
  </w:style>
  <w:style w:styleId="Style_46_ch" w:type="character">
    <w:name w:val="header"/>
    <w:basedOn w:val="Style_11_ch"/>
    <w:link w:val="Style_46"/>
  </w:style>
  <w:style w:styleId="Style_47" w:type="paragraph">
    <w:name w:val="endnote reference"/>
    <w:link w:val="Style_47_ch"/>
    <w:rPr>
      <w:vertAlign w:val="superscript"/>
    </w:rPr>
  </w:style>
  <w:style w:styleId="Style_47_ch" w:type="character">
    <w:name w:val="endnote reference"/>
    <w:link w:val="Style_47"/>
    <w:rPr>
      <w:vertAlign w:val="superscript"/>
    </w:rPr>
  </w:style>
  <w:style w:styleId="Style_48" w:type="paragraph">
    <w:name w:val="WW8Num1z0"/>
    <w:link w:val="Style_48_ch"/>
  </w:style>
  <w:style w:styleId="Style_48_ch" w:type="character">
    <w:name w:val="WW8Num1z0"/>
    <w:link w:val="Style_48"/>
  </w:style>
  <w:style w:styleId="Style_49" w:type="paragraph">
    <w:name w:val="toc 5"/>
    <w:next w:val="Style_8"/>
    <w:link w:val="Style_49_ch"/>
    <w:uiPriority w:val="39"/>
    <w:pPr>
      <w:widowControl w:val="1"/>
      <w:ind w:firstLine="0" w:left="800"/>
      <w:jc w:val="left"/>
    </w:pPr>
    <w:rPr>
      <w:rFonts w:ascii="XO Thames" w:hAnsi="XO Thames"/>
      <w:sz w:val="28"/>
    </w:rPr>
  </w:style>
  <w:style w:styleId="Style_49_ch" w:type="character">
    <w:name w:val="toc 5"/>
    <w:link w:val="Style_49"/>
    <w:rPr>
      <w:rFonts w:ascii="XO Thames" w:hAnsi="XO Thames"/>
      <w:sz w:val="28"/>
    </w:rPr>
  </w:style>
  <w:style w:styleId="Style_50" w:type="paragraph">
    <w:name w:val="Указатель1"/>
    <w:basedOn w:val="Style_11"/>
    <w:link w:val="Style_50_ch"/>
  </w:style>
  <w:style w:styleId="Style_50_ch" w:type="character">
    <w:name w:val="Указатель1"/>
    <w:basedOn w:val="Style_11_ch"/>
    <w:link w:val="Style_50"/>
  </w:style>
  <w:style w:styleId="Style_51" w:type="paragraph">
    <w:name w:val="Internet link"/>
    <w:link w:val="Style_51_ch"/>
    <w:rPr>
      <w:color w:val="000080"/>
      <w:u w:val="single"/>
    </w:rPr>
  </w:style>
  <w:style w:styleId="Style_51_ch" w:type="character">
    <w:name w:val="Internet link"/>
    <w:link w:val="Style_51"/>
    <w:rPr>
      <w:color w:val="000080"/>
      <w:u w:val="single"/>
    </w:rPr>
  </w:style>
  <w:style w:styleId="Style_52" w:type="paragraph">
    <w:name w:val="Subtitle"/>
    <w:next w:val="Style_8"/>
    <w:link w:val="Style_52_ch"/>
    <w:uiPriority w:val="11"/>
    <w:qFormat/>
    <w:pPr>
      <w:widowControl w:val="1"/>
      <w:ind/>
      <w:jc w:val="both"/>
    </w:pPr>
    <w:rPr>
      <w:rFonts w:ascii="XO Thames" w:hAnsi="XO Thames"/>
      <w:i w:val="1"/>
      <w:sz w:val="24"/>
    </w:rPr>
  </w:style>
  <w:style w:styleId="Style_52_ch" w:type="character">
    <w:name w:val="Subtitle"/>
    <w:link w:val="Style_52"/>
    <w:rPr>
      <w:rFonts w:ascii="XO Thames" w:hAnsi="XO Thames"/>
      <w:i w:val="1"/>
      <w:sz w:val="24"/>
    </w:rPr>
  </w:style>
  <w:style w:styleId="Style_53" w:type="paragraph">
    <w:name w:val="Символ концевой сноски"/>
    <w:link w:val="Style_53_ch"/>
    <w:rPr>
      <w:vertAlign w:val="superscript"/>
    </w:rPr>
  </w:style>
  <w:style w:styleId="Style_53_ch" w:type="character">
    <w:name w:val="Символ концевой сноски"/>
    <w:link w:val="Style_53"/>
    <w:rPr>
      <w:vertAlign w:val="superscript"/>
    </w:rPr>
  </w:style>
  <w:style w:styleId="Style_54" w:type="paragraph">
    <w:name w:val="Emphasis"/>
    <w:basedOn w:val="Style_22"/>
    <w:link w:val="Style_54_ch"/>
    <w:rPr>
      <w:i w:val="1"/>
    </w:rPr>
  </w:style>
  <w:style w:styleId="Style_54_ch" w:type="character">
    <w:name w:val="Emphasis"/>
    <w:basedOn w:val="Style_22_ch"/>
    <w:link w:val="Style_54"/>
    <w:rPr>
      <w:i w:val="1"/>
    </w:rPr>
  </w:style>
  <w:style w:styleId="Style_3" w:type="paragraph">
    <w:name w:val="List Paragraph"/>
    <w:basedOn w:val="Style_8"/>
    <w:link w:val="Style_3_ch"/>
    <w:pPr>
      <w:widowControl w:val="1"/>
      <w:ind w:left="720"/>
      <w:contextualSpacing w:val="1"/>
    </w:pPr>
  </w:style>
  <w:style w:styleId="Style_3_ch" w:type="character">
    <w:name w:val="List Paragraph"/>
    <w:basedOn w:val="Style_8_ch"/>
    <w:link w:val="Style_3"/>
  </w:style>
  <w:style w:styleId="Style_55" w:type="paragraph">
    <w:name w:val="Title"/>
    <w:basedOn w:val="Style_8"/>
    <w:next w:val="Style_21"/>
    <w:link w:val="Style_55_ch"/>
    <w:uiPriority w:val="10"/>
    <w:qFormat/>
    <w:pPr>
      <w:keepNext w:val="1"/>
      <w:widowControl w:val="1"/>
      <w:spacing w:after="120" w:before="240"/>
      <w:ind/>
    </w:pPr>
    <w:rPr>
      <w:rFonts w:ascii="PT Astra Serif" w:hAnsi="PT Astra Serif"/>
      <w:sz w:val="28"/>
    </w:rPr>
  </w:style>
  <w:style w:styleId="Style_55_ch" w:type="character">
    <w:name w:val="Title"/>
    <w:basedOn w:val="Style_8_ch"/>
    <w:link w:val="Style_55"/>
    <w:rPr>
      <w:rFonts w:ascii="PT Astra Serif" w:hAnsi="PT Astra Serif"/>
      <w:sz w:val="28"/>
    </w:rPr>
  </w:style>
  <w:style w:styleId="Style_56" w:type="paragraph">
    <w:name w:val="heading 4"/>
    <w:next w:val="Style_8"/>
    <w:link w:val="Style_56_ch"/>
    <w:uiPriority w:val="9"/>
    <w:qFormat/>
    <w:pPr>
      <w:widowControl w:val="1"/>
      <w:spacing w:after="120" w:before="120"/>
      <w:ind/>
      <w:jc w:val="both"/>
      <w:outlineLvl w:val="3"/>
    </w:pPr>
    <w:rPr>
      <w:rFonts w:ascii="XO Thames" w:hAnsi="XO Thames"/>
      <w:b w:val="1"/>
      <w:sz w:val="24"/>
    </w:rPr>
  </w:style>
  <w:style w:styleId="Style_56_ch" w:type="character">
    <w:name w:val="heading 4"/>
    <w:link w:val="Style_56"/>
    <w:rPr>
      <w:rFonts w:ascii="XO Thames" w:hAnsi="XO Thames"/>
      <w:b w:val="1"/>
      <w:sz w:val="24"/>
    </w:rPr>
  </w:style>
  <w:style w:styleId="Style_57" w:type="paragraph">
    <w:name w:val="Balloon Text"/>
    <w:basedOn w:val="Style_8"/>
    <w:link w:val="Style_57_ch"/>
    <w:rPr>
      <w:rFonts w:ascii="Tahoma" w:hAnsi="Tahoma"/>
      <w:sz w:val="16"/>
    </w:rPr>
  </w:style>
  <w:style w:styleId="Style_57_ch" w:type="character">
    <w:name w:val="Balloon Text"/>
    <w:basedOn w:val="Style_8_ch"/>
    <w:link w:val="Style_57"/>
    <w:rPr>
      <w:rFonts w:ascii="Tahoma" w:hAnsi="Tahoma"/>
      <w:sz w:val="16"/>
    </w:rPr>
  </w:style>
  <w:style w:styleId="Style_58" w:type="paragraph">
    <w:name w:val="heading 2"/>
    <w:next w:val="Style_8"/>
    <w:link w:val="Style_58_ch"/>
    <w:uiPriority w:val="9"/>
    <w:qFormat/>
    <w:pPr>
      <w:widowControl w:val="1"/>
      <w:spacing w:after="120" w:before="120"/>
      <w:ind/>
      <w:jc w:val="both"/>
      <w:outlineLvl w:val="1"/>
    </w:pPr>
    <w:rPr>
      <w:rFonts w:ascii="XO Thames" w:hAnsi="XO Thames"/>
      <w:b w:val="1"/>
      <w:sz w:val="28"/>
    </w:rPr>
  </w:style>
  <w:style w:styleId="Style_58_ch" w:type="character">
    <w:name w:val="heading 2"/>
    <w:link w:val="Style_58"/>
    <w:rPr>
      <w:rFonts w:ascii="XO Thames" w:hAnsi="XO Thames"/>
      <w:b w:val="1"/>
      <w:sz w:val="28"/>
    </w:rPr>
  </w:style>
  <w:style w:styleId="Style_59" w:type="paragraph">
    <w:name w:val="WW8Num2z0"/>
    <w:link w:val="Style_59_ch"/>
    <w:rPr>
      <w:sz w:val="24"/>
    </w:rPr>
  </w:style>
  <w:style w:styleId="Style_59_ch" w:type="character">
    <w:name w:val="WW8Num2z0"/>
    <w:link w:val="Style_59"/>
    <w:rPr>
      <w:sz w:val="24"/>
    </w:rPr>
  </w:style>
  <w:style w:styleId="Style_22" w:type="paragraph">
    <w:name w:val="Default Paragraph Font"/>
    <w:link w:val="Style_22_ch"/>
  </w:style>
  <w:style w:styleId="Style_22_ch" w:type="character">
    <w:name w:val="Default Paragraph Font"/>
    <w:link w:val="Style_22"/>
  </w:style>
  <w:style w:styleId="Style_7" w:type="table">
    <w:name w:val="Table Grid"/>
    <w:basedOn w:val="Style_5"/>
    <w:rPr>
      <w:rFonts w:asciiTheme="minorAscii" w:hAnsiTheme="minorHAnsi"/>
      <w:sz w:val="22"/>
    </w:rPr>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5"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media/1.emf" Type="http://schemas.openxmlformats.org/officeDocument/2006/relationships/image"/>
  <Relationship Id="rId6" Target="footer6.xml" Type="http://schemas.openxmlformats.org/officeDocument/2006/relationships/footer"/>
  <Relationship Id="rId14" Target="footnotes.xml" Type="http://schemas.openxmlformats.org/officeDocument/2006/relationships/footnotes"/>
  <Relationship Id="rId13" Target="theme/theme1.xml" Type="http://schemas.openxmlformats.org/officeDocument/2006/relationships/theme"/>
  <Relationship Id="rId4" Target="footer4.xml" Type="http://schemas.openxmlformats.org/officeDocument/2006/relationships/footer"/>
  <Relationship Id="rId3" Target="footer3.xml" Type="http://schemas.openxmlformats.org/officeDocument/2006/relationships/footer"/>
  <Relationship Id="rId12" Target="webSettings.xml" Type="http://schemas.openxmlformats.org/officeDocument/2006/relationships/webSettings"/>
  <Relationship Id="rId10" Target="styles.xml" Type="http://schemas.openxmlformats.org/officeDocument/2006/relationships/styles"/>
  <Relationship Id="rId5" Target="footer5.xml" Type="http://schemas.openxmlformats.org/officeDocument/2006/relationships/footer"/>
  <Relationship Id="rId11" Target="stylesWithEffects.xml" Type="http://schemas.microsoft.com/office/2007/relationships/stylesWithEffects"/>
  <Relationship Id="rId8" Target="fontTable.xml" Type="http://schemas.openxmlformats.org/officeDocument/2006/relationships/fontTable"/>
  <Relationship Id="rId16" Target="numbering.xml" Type="http://schemas.openxmlformats.org/officeDocument/2006/relationships/numbering"/>
  <Relationship Id="rId2" Target="footer2.xml" Type="http://schemas.openxmlformats.org/officeDocument/2006/relationships/footer"/>
  <Relationship Id="rId9" Target="settings.xml" Type="http://schemas.openxmlformats.org/officeDocument/2006/relationships/settings"/>
  <Relationship Id="rId15" Target="endnotes.xml" Type="http://schemas.openxmlformats.org/officeDocument/2006/relationships/endnotes"/>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MyOffice-CoreFramework-Windows/38-1384.1107.10199.1019.1@2600cfe5f4b542ca5f3c0e142379f873658cd812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2026-04-28T09:01:52Z</dcterms:created>
  <dcterms:modified xsi:type="dcterms:W3CDTF">2026-04-28T09:37:35Z</dcterms:modified>
</cp:coreProperties>
</file>