
<file path=[Content_Types].xml><?xml version="1.0" encoding="utf-8"?>
<Types xmlns="http://schemas.openxmlformats.org/package/2006/content-types">
  <Default ContentType="image/x-emf" Extension="emf"/>
  <Default ContentType="application/xml" Extension="xml"/>
  <Default ContentType="application/vnd.openxmlformats-package.relationships+xml" Extension="rels"/>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er+xml" PartName="/word/footer3.xml"/>
  <Override ContentType="application/vnd.openxmlformats-officedocument.wordprocessingml.footer+xml" PartName="/word/footer4.xml"/>
  <Override ContentType="application/vnd.openxmlformats-officedocument.wordprocessingml.footer+xml" PartName="/word/footer5.xml"/>
  <Override ContentType="application/vnd.openxmlformats-officedocument.wordprocessingml.footer+xml" PartName="/word/footer6.xml"/>
  <Override ContentType="application/vnd.openxmlformats-officedocument.wordprocessingml.footnotes+xml" PartName="/word/footnotes.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body>
    <w:p w14:paraId="0B000000">
      <w:pPr>
        <w:widowControl w:val="1"/>
        <w:ind/>
        <w:jc w:val="center"/>
        <w:outlineLvl w:val="0"/>
        <w:rPr>
          <w:b w:val="1"/>
          <w:sz w:val="22"/>
        </w:rPr>
      </w:pPr>
      <w:r>
        <w:rPr>
          <w:b w:val="1"/>
          <w:caps w:val="1"/>
          <w:sz w:val="22"/>
        </w:rPr>
        <w:t>ПРОЕКТ контрактА</w:t>
      </w:r>
      <w:r>
        <w:rPr>
          <w:b w:val="1"/>
          <w:sz w:val="22"/>
        </w:rPr>
        <w:t xml:space="preserve"> № </w:t>
      </w:r>
      <w:r>
        <w:rPr>
          <w:b w:val="1"/>
          <w:sz w:val="22"/>
        </w:rPr>
        <w:t>___</w:t>
      </w:r>
      <w:r>
        <w:rPr>
          <w:b w:val="1"/>
          <w:sz w:val="22"/>
        </w:rPr>
        <w:t>/26</w:t>
      </w:r>
    </w:p>
    <w:p w14:paraId="0C000000">
      <w:pPr>
        <w:widowControl w:val="1"/>
        <w:ind/>
        <w:jc w:val="center"/>
        <w:rPr>
          <w:sz w:val="22"/>
        </w:rPr>
      </w:pPr>
    </w:p>
    <w:p w14:paraId="0D000000">
      <w:pPr>
        <w:widowControl w:val="1"/>
        <w:spacing w:line="276" w:lineRule="auto"/>
        <w:ind/>
        <w:jc w:val="center"/>
        <w:rPr>
          <w:sz w:val="22"/>
        </w:rPr>
      </w:pPr>
      <w:r>
        <w:rPr>
          <w:sz w:val="22"/>
        </w:rPr>
        <w:t>Санкт-Петербург</w:t>
      </w:r>
      <w:r>
        <w:rPr>
          <w:sz w:val="22"/>
        </w:rPr>
        <w:tab/>
      </w:r>
      <w:r>
        <w:rPr>
          <w:sz w:val="22"/>
        </w:rPr>
        <w:tab/>
      </w:r>
      <w:r>
        <w:rPr>
          <w:sz w:val="22"/>
        </w:rPr>
        <w:tab/>
      </w:r>
      <w:r>
        <w:rPr>
          <w:sz w:val="22"/>
        </w:rPr>
        <w:tab/>
      </w:r>
      <w:r>
        <w:rPr>
          <w:sz w:val="22"/>
        </w:rPr>
        <w:tab/>
      </w:r>
      <w:r>
        <w:rPr>
          <w:sz w:val="22"/>
        </w:rPr>
        <w:tab/>
      </w:r>
      <w:r>
        <w:rPr>
          <w:sz w:val="22"/>
        </w:rPr>
        <w:tab/>
      </w:r>
      <w:r>
        <w:rPr>
          <w:sz w:val="22"/>
        </w:rPr>
        <w:t xml:space="preserve">      ____________________  2026 г.</w:t>
      </w:r>
    </w:p>
    <w:p w14:paraId="0E000000">
      <w:pPr>
        <w:widowControl w:val="1"/>
        <w:spacing w:line="276" w:lineRule="auto"/>
        <w:ind/>
        <w:jc w:val="center"/>
        <w:rPr>
          <w:sz w:val="22"/>
        </w:rPr>
      </w:pPr>
    </w:p>
    <w:p w14:paraId="0F000000">
      <w:pPr>
        <w:widowControl w:val="1"/>
        <w:ind w:firstLine="720"/>
        <w:jc w:val="both"/>
        <w:rPr>
          <w:sz w:val="22"/>
        </w:rPr>
      </w:pPr>
      <w:r>
        <w:rPr>
          <w:sz w:val="22"/>
        </w:rPr>
        <w:t xml:space="preserve">Государственное бюджетное общеобразовательное учреждение Петергофская гимназия императора Александра </w:t>
      </w:r>
      <w:r>
        <w:rPr>
          <w:sz w:val="22"/>
        </w:rPr>
        <w:t>II</w:t>
      </w:r>
      <w:r>
        <w:rPr>
          <w:sz w:val="22"/>
        </w:rPr>
        <w:t>, в лице директора Моисеенко Инны Петровны, действующего на</w:t>
      </w:r>
      <w:r>
        <w:rPr>
          <w:sz w:val="22"/>
        </w:rPr>
        <w:t> </w:t>
      </w:r>
      <w:r>
        <w:rPr>
          <w:sz w:val="22"/>
        </w:rPr>
        <w:t>основании</w:t>
      </w:r>
      <w:r>
        <w:rPr>
          <w:sz w:val="22"/>
        </w:rPr>
        <w:t xml:space="preserve"> </w:t>
      </w:r>
      <w:r>
        <w:rPr>
          <w:sz w:val="22"/>
        </w:rPr>
        <w:t xml:space="preserve">Устава с одной стороны, и ____________________________ именуемое в дальнейшем «Поставщик», в лице _______________________________________, действующего на основании _______________________, с другой стороны, совместно именуемые «Стороны», в соответствии с п. 4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по средствам электронного магазина,  заключили в рамках осуществления закупки с идентификационным кодом закупки </w:t>
      </w:r>
      <w:r>
        <w:br/>
      </w:r>
      <w:r>
        <w:rPr>
          <w:rFonts w:ascii="Times New Roman" w:hAnsi="Times New Roman"/>
          <w:b w:val="0"/>
          <w:i w:val="0"/>
          <w:caps w:val="0"/>
          <w:color w:val="000000"/>
          <w:spacing w:val="0"/>
          <w:sz w:val="22"/>
        </w:rPr>
        <w:t>262781901991378190100100040000000244</w:t>
      </w:r>
      <w:r>
        <w:rPr>
          <w:rFonts w:ascii="Tahoma" w:hAnsi="Tahoma"/>
          <w:color w:val="000000"/>
          <w:sz w:val="18"/>
          <w:shd w:fill="F1F1F1" w:val="clear"/>
        </w:rPr>
        <w:t xml:space="preserve"> </w:t>
      </w:r>
      <w:r>
        <w:rPr>
          <w:sz w:val="22"/>
        </w:rPr>
        <w:t xml:space="preserve"> настоящий контракт (далее - Контракт) о нижеследующем:</w:t>
      </w:r>
    </w:p>
    <w:p w14:paraId="10000000">
      <w:pPr>
        <w:widowControl w:val="1"/>
        <w:ind/>
        <w:jc w:val="center"/>
        <w:rPr>
          <w:b w:val="1"/>
          <w:sz w:val="22"/>
        </w:rPr>
      </w:pPr>
    </w:p>
    <w:p w14:paraId="11000000">
      <w:pPr>
        <w:widowControl w:val="1"/>
        <w:ind/>
        <w:jc w:val="center"/>
        <w:rPr>
          <w:sz w:val="22"/>
        </w:rPr>
      </w:pPr>
      <w:r>
        <w:rPr>
          <w:b w:val="1"/>
          <w:sz w:val="22"/>
        </w:rPr>
        <w:t>Предмет Контракта</w:t>
      </w:r>
    </w:p>
    <w:p w14:paraId="12000000">
      <w:pPr>
        <w:pStyle w:val="Style_3"/>
        <w:widowControl w:val="1"/>
        <w:ind w:left="1069"/>
        <w:rPr>
          <w:b w:val="1"/>
          <w:sz w:val="22"/>
        </w:rPr>
      </w:pPr>
    </w:p>
    <w:p w14:paraId="13000000">
      <w:pPr>
        <w:widowControl w:val="1"/>
        <w:ind w:firstLine="567"/>
        <w:jc w:val="both"/>
      </w:pPr>
      <w:r>
        <w:rPr>
          <w:sz w:val="22"/>
        </w:rPr>
        <w:t xml:space="preserve">1.1. Поставщик принимает на себя обязательство по </w:t>
      </w:r>
      <w:r>
        <w:rPr>
          <w:b w:val="1"/>
        </w:rPr>
        <w:t xml:space="preserve">поставке </w:t>
      </w:r>
      <w:r>
        <w:rPr>
          <w:b w:val="1"/>
        </w:rPr>
        <w:t>бланков</w:t>
      </w:r>
      <w:r>
        <w:rPr>
          <w:b w:val="1"/>
        </w:rPr>
        <w:t xml:space="preserve"> </w:t>
      </w:r>
      <w:r>
        <w:rPr>
          <w:sz w:val="22"/>
        </w:rPr>
        <w:t>(далее – Товар)</w:t>
      </w:r>
      <w:r>
        <w:rPr>
          <w:sz w:val="22"/>
        </w:rPr>
        <w:t xml:space="preserve"> Заказчику в обусловленный настоящим Контрактом срок, согласно Расчету цены контракта (Приложение № 1 к настоящему Контракту), а Заказчик обязуется принять и оплатить Товар в порядке и на условиях, предусмотренных настоящим Контрактом.</w:t>
      </w:r>
    </w:p>
    <w:p w14:paraId="14000000">
      <w:pPr>
        <w:widowControl w:val="1"/>
        <w:tabs>
          <w:tab w:leader="none" w:pos="4153" w:val="center"/>
          <w:tab w:leader="none" w:pos="8306" w:val="right"/>
        </w:tabs>
        <w:spacing w:before="120"/>
        <w:ind w:firstLine="567"/>
        <w:jc w:val="both"/>
        <w:rPr>
          <w:b w:val="1"/>
          <w:sz w:val="22"/>
          <w:u w:val="single"/>
        </w:rPr>
      </w:pPr>
      <w:r>
        <w:rPr>
          <w:sz w:val="22"/>
        </w:rPr>
        <w:t xml:space="preserve">1.2. Поставка Товара осуществляется в сроки, установленные разделом 3 настоящего Контракта, по адресу Заказчика: </w:t>
      </w:r>
      <w:r>
        <w:t xml:space="preserve"> </w:t>
      </w:r>
      <w:r>
        <w:rPr>
          <w:b w:val="1"/>
          <w:u w:val="single"/>
        </w:rPr>
        <w:t>г. Санкт</w:t>
      </w:r>
      <w:r>
        <w:rPr>
          <w:b w:val="1"/>
          <w:u w:val="single"/>
        </w:rPr>
        <w:t>-Пе</w:t>
      </w:r>
      <w:r>
        <w:rPr>
          <w:b w:val="1"/>
          <w:u w:val="single"/>
        </w:rPr>
        <w:t>тербург</w:t>
      </w:r>
      <w:r>
        <w:rPr>
          <w:b w:val="1"/>
          <w:u w:val="single"/>
        </w:rPr>
        <w:t xml:space="preserve">, </w:t>
      </w:r>
      <w:r>
        <w:rPr>
          <w:b w:val="1"/>
          <w:sz w:val="22"/>
          <w:u w:val="single"/>
        </w:rPr>
        <w:t>г. Петергоф, Санкт-Петербургский пр., д. 43, литера А</w:t>
      </w:r>
    </w:p>
    <w:p w14:paraId="15000000">
      <w:pPr>
        <w:widowControl w:val="1"/>
        <w:ind w:firstLine="567"/>
        <w:jc w:val="both"/>
        <w:rPr>
          <w:sz w:val="22"/>
        </w:rPr>
      </w:pPr>
    </w:p>
    <w:p w14:paraId="16000000">
      <w:pPr>
        <w:widowControl w:val="1"/>
        <w:ind w:firstLine="567"/>
        <w:jc w:val="both"/>
        <w:rPr>
          <w:sz w:val="22"/>
        </w:rPr>
      </w:pPr>
      <w:r>
        <w:rPr>
          <w:sz w:val="22"/>
        </w:rPr>
        <w:t>2. Цена Контракта, порядок расчетов, обеспечение исполнения Контракта</w:t>
      </w:r>
    </w:p>
    <w:p w14:paraId="17000000">
      <w:pPr>
        <w:widowControl w:val="1"/>
        <w:spacing w:before="120"/>
        <w:ind/>
        <w:jc w:val="center"/>
        <w:rPr>
          <w:b w:val="1"/>
          <w:sz w:val="22"/>
        </w:rPr>
      </w:pPr>
    </w:p>
    <w:p w14:paraId="18000000">
      <w:pPr>
        <w:widowControl w:val="1"/>
        <w:ind w:firstLine="708"/>
        <w:rPr>
          <w:sz w:val="22"/>
        </w:rPr>
      </w:pPr>
      <w:r>
        <w:rPr>
          <w:sz w:val="22"/>
        </w:rPr>
        <w:t>2.1. Цена Контракта составляет _______________ (указать сумму прописью) рублей __ копеек, в том числе НДС - (__%) _________ (указать сумму прописью) рублей ___ копеек</w:t>
      </w:r>
      <w:r>
        <w:rPr>
          <w:rStyle w:val="Style_4_ch"/>
          <w:sz w:val="22"/>
        </w:rPr>
        <w:footnoteReference w:id="1"/>
      </w:r>
      <w:r>
        <w:rPr>
          <w:sz w:val="22"/>
        </w:rPr>
        <w:t>.</w:t>
      </w:r>
    </w:p>
    <w:p w14:paraId="19000000">
      <w:pPr>
        <w:widowControl w:val="1"/>
        <w:ind w:firstLine="708"/>
        <w:rPr>
          <w:sz w:val="22"/>
        </w:rPr>
      </w:pPr>
      <w:r>
        <w:rPr>
          <w:sz w:val="22"/>
        </w:rPr>
        <w:t>2.2. Цена Контракта является твердой и определяется на весь срок его исполнения.</w:t>
      </w:r>
    </w:p>
    <w:p w14:paraId="1A000000">
      <w:pPr>
        <w:widowControl w:val="1"/>
        <w:ind w:firstLine="709"/>
        <w:jc w:val="both"/>
        <w:rPr>
          <w:sz w:val="22"/>
        </w:rPr>
      </w:pPr>
      <w:r>
        <w:rPr>
          <w:sz w:val="22"/>
        </w:rPr>
        <w:t xml:space="preserve">2.3. В стоимости Товара учтены все расходы Поставщика, связанные с поставкой Товара, в том числе расходы по погрузке, доставке, разгрузке, подъему на этажи, упаковке, маркировке, сертификации, а также уплачиваемые Поставщиком страхование, налоги, сборы и иные обязательные платежи. </w:t>
      </w:r>
    </w:p>
    <w:p w14:paraId="1B000000">
      <w:pPr>
        <w:widowControl w:val="1"/>
        <w:ind w:firstLine="709"/>
        <w:jc w:val="both"/>
        <w:rPr>
          <w:sz w:val="22"/>
        </w:rPr>
      </w:pPr>
      <w:r>
        <w:rPr>
          <w:sz w:val="22"/>
        </w:rPr>
        <w:t>2.4. Оплата по настоящему Контракту производится Заказчиком без авансирования (без предварительной оплаты) в срок не более десяти рабочих дней с даты подписания Заказчиком акта приемки Товара. При этом Поставщик предоставляет Заказчику счет, счет-фактуру</w:t>
      </w:r>
      <w:r>
        <w:rPr>
          <w:rStyle w:val="Style_4_ch"/>
          <w:sz w:val="22"/>
        </w:rPr>
        <w:footnoteReference w:id="2"/>
      </w:r>
      <w:r>
        <w:rPr>
          <w:sz w:val="22"/>
        </w:rPr>
        <w:t>, товарную накладную на поставленный Товар.</w:t>
      </w:r>
    </w:p>
    <w:p w14:paraId="1C000000">
      <w:pPr>
        <w:widowControl w:val="1"/>
        <w:ind w:firstLine="709"/>
        <w:jc w:val="both"/>
        <w:rPr>
          <w:sz w:val="22"/>
        </w:rPr>
      </w:pPr>
      <w:r>
        <w:rPr>
          <w:sz w:val="22"/>
        </w:rPr>
        <w:t xml:space="preserve">В случае осуществления поставки Товара отдельными частями, входящими в комплект, оплата производится в срок не более десяти рабочих дней с даты подписания Заказчиком акта приемки последней поставленной части, входящей в комплект Товара. </w:t>
      </w:r>
    </w:p>
    <w:p w14:paraId="1D000000">
      <w:pPr>
        <w:widowControl w:val="1"/>
        <w:ind w:firstLine="709"/>
        <w:jc w:val="both"/>
        <w:rPr>
          <w:sz w:val="22"/>
        </w:rPr>
      </w:pPr>
      <w:r>
        <w:rPr>
          <w:sz w:val="22"/>
        </w:rPr>
        <w:t>2.5. Заказчик производит оплату путем перечисления денежных средств на расчетный счет Поставщика в порядке, установленном настоящим Контрактом.</w:t>
      </w:r>
    </w:p>
    <w:p w14:paraId="1E000000">
      <w:pPr>
        <w:widowControl w:val="1"/>
        <w:ind w:firstLine="709"/>
        <w:jc w:val="both"/>
        <w:rPr>
          <w:sz w:val="22"/>
        </w:rPr>
      </w:pPr>
      <w:r>
        <w:rPr>
          <w:sz w:val="22"/>
        </w:rPr>
        <w:t>2.6. Сумма, подлежащая уплате Заказчиком Поставщику,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F000000">
      <w:pPr>
        <w:widowControl w:val="1"/>
        <w:ind w:firstLine="567"/>
        <w:jc w:val="both"/>
        <w:rPr>
          <w:sz w:val="22"/>
        </w:rPr>
      </w:pPr>
      <w:r>
        <w:rPr>
          <w:sz w:val="22"/>
        </w:rPr>
        <w:t xml:space="preserve">2.7. Источник финансирования – </w:t>
      </w:r>
      <w:r>
        <w:rPr>
          <w:sz w:val="22"/>
        </w:rPr>
        <w:t>Источник финансирования Контракта - Внебюджетные средства. Субсидии на госзадания.</w:t>
      </w:r>
    </w:p>
    <w:p w14:paraId="20000000">
      <w:pPr>
        <w:widowControl w:val="1"/>
        <w:ind/>
        <w:jc w:val="both"/>
        <w:rPr>
          <w:sz w:val="22"/>
        </w:rPr>
      </w:pPr>
      <w:r>
        <w:rPr>
          <w:sz w:val="22"/>
        </w:rPr>
        <w:t xml:space="preserve">          2.8. По соглашению Сторон цена Контракта может быть снижена без изменения предусмотренных Контрактом количества Товара, его качества и иных условий Контракта.</w:t>
      </w:r>
    </w:p>
    <w:p w14:paraId="21000000">
      <w:pPr>
        <w:widowControl w:val="1"/>
        <w:ind w:firstLine="709"/>
        <w:jc w:val="both"/>
        <w:rPr>
          <w:sz w:val="22"/>
        </w:rPr>
      </w:pPr>
      <w:r>
        <w:rPr>
          <w:sz w:val="22"/>
        </w:rPr>
        <w:t xml:space="preserve">2.9. Заказчик по согласованию с Поставщиком вправе увеличить количество поставляемого Товара на сумму, не превышающую разницы между ценой Контракта, предложенной таким участником, и начальной (максимальной) ценой контракта (ценой лота), если это право Заказчика предусмотрено документацией. При этом цена единицы Товара не должна превышать цену единицы Товара, определяемую как частное от деления цены Контракта, </w:t>
      </w:r>
      <w:r>
        <w:rPr>
          <w:i w:val="1"/>
          <w:sz w:val="22"/>
        </w:rPr>
        <w:t xml:space="preserve">предложенной участником </w:t>
      </w:r>
      <w:r>
        <w:rPr>
          <w:sz w:val="22"/>
        </w:rPr>
        <w:t>на количество Товара</w:t>
      </w:r>
      <w:r>
        <w:rPr>
          <w:i w:val="1"/>
          <w:sz w:val="22"/>
        </w:rPr>
        <w:t>.</w:t>
      </w:r>
    </w:p>
    <w:p w14:paraId="22000000">
      <w:pPr>
        <w:widowControl w:val="1"/>
        <w:ind w:firstLine="709"/>
        <w:jc w:val="both"/>
        <w:rPr>
          <w:sz w:val="22"/>
        </w:rPr>
      </w:pPr>
      <w:r>
        <w:rPr>
          <w:color w:val="000000"/>
          <w:sz w:val="22"/>
        </w:rPr>
        <w:t>2.10. По предложению Заказчика предусмотренное Контрактом количество поставляемого Товара может быть увеличено или уменьшено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23000000">
      <w:pPr>
        <w:widowControl w:val="1"/>
        <w:spacing w:before="120"/>
        <w:ind/>
        <w:jc w:val="center"/>
        <w:rPr>
          <w:b w:val="1"/>
          <w:sz w:val="22"/>
        </w:rPr>
      </w:pPr>
    </w:p>
    <w:p w14:paraId="24000000">
      <w:pPr>
        <w:widowControl w:val="1"/>
        <w:spacing w:before="120"/>
        <w:ind/>
        <w:jc w:val="center"/>
        <w:rPr>
          <w:b w:val="1"/>
          <w:sz w:val="22"/>
        </w:rPr>
      </w:pPr>
      <w:r>
        <w:rPr>
          <w:b w:val="1"/>
          <w:sz w:val="22"/>
        </w:rPr>
        <w:t>3. Срок (период) поставки Товара</w:t>
      </w:r>
    </w:p>
    <w:p w14:paraId="25000000">
      <w:pPr>
        <w:widowControl w:val="1"/>
        <w:spacing w:before="120"/>
        <w:ind/>
        <w:jc w:val="center"/>
        <w:rPr>
          <w:b w:val="1"/>
          <w:sz w:val="22"/>
        </w:rPr>
      </w:pPr>
    </w:p>
    <w:p w14:paraId="26000000">
      <w:pPr>
        <w:widowControl w:val="1"/>
        <w:tabs>
          <w:tab w:leader="none" w:pos="10348" w:val="left"/>
        </w:tabs>
        <w:ind w:firstLine="567" w:left="0"/>
        <w:jc w:val="both"/>
        <w:rPr>
          <w:b w:val="1"/>
          <w:sz w:val="22"/>
        </w:rPr>
      </w:pPr>
      <w:r>
        <w:rPr>
          <w:sz w:val="22"/>
        </w:rPr>
        <w:t xml:space="preserve">3.1. </w:t>
      </w:r>
      <w:r>
        <w:rPr>
          <w:b w:val="1"/>
          <w:sz w:val="22"/>
        </w:rPr>
        <w:t xml:space="preserve">Поставка Товара осуществляется </w:t>
      </w:r>
      <w:r>
        <w:rPr>
          <w:b w:val="1"/>
        </w:rPr>
        <w:t>c даты заключения контракта до 15 мая 2026г.</w:t>
      </w:r>
    </w:p>
    <w:p w14:paraId="27000000">
      <w:pPr>
        <w:widowControl w:val="1"/>
        <w:ind w:firstLine="567"/>
        <w:jc w:val="both"/>
        <w:rPr>
          <w:sz w:val="22"/>
        </w:rPr>
      </w:pPr>
      <w:r>
        <w:rPr>
          <w:sz w:val="22"/>
          <w:highlight w:val="white"/>
        </w:rPr>
        <w:t xml:space="preserve">3.2. Поставка </w:t>
      </w:r>
      <w:r>
        <w:rPr>
          <w:sz w:val="22"/>
        </w:rPr>
        <w:t>Товара должна осуществляться по рабочим дням с 09.00 час. до 17.00 час. (по пятницам с 09.00 час. до 16.00 час.).</w:t>
      </w:r>
    </w:p>
    <w:p w14:paraId="28000000">
      <w:pPr>
        <w:widowControl w:val="1"/>
        <w:spacing w:before="120"/>
        <w:ind/>
        <w:jc w:val="center"/>
        <w:rPr>
          <w:b w:val="1"/>
          <w:sz w:val="22"/>
        </w:rPr>
      </w:pPr>
    </w:p>
    <w:p w14:paraId="29000000">
      <w:pPr>
        <w:widowControl w:val="1"/>
        <w:spacing w:before="120"/>
        <w:ind/>
        <w:jc w:val="center"/>
        <w:rPr>
          <w:b w:val="1"/>
          <w:sz w:val="22"/>
        </w:rPr>
      </w:pPr>
      <w:r>
        <w:rPr>
          <w:b w:val="1"/>
          <w:sz w:val="22"/>
        </w:rPr>
        <w:t>4. Порядок поставки Товара</w:t>
      </w:r>
    </w:p>
    <w:p w14:paraId="2A000000">
      <w:pPr>
        <w:widowControl w:val="1"/>
        <w:spacing w:before="120"/>
        <w:ind/>
        <w:jc w:val="center"/>
        <w:rPr>
          <w:b w:val="1"/>
          <w:sz w:val="22"/>
        </w:rPr>
      </w:pPr>
    </w:p>
    <w:p w14:paraId="2B000000">
      <w:pPr>
        <w:widowControl w:val="1"/>
        <w:ind w:firstLine="567"/>
        <w:jc w:val="both"/>
        <w:rPr>
          <w:b w:val="1"/>
          <w:i w:val="1"/>
          <w:sz w:val="22"/>
        </w:rPr>
      </w:pPr>
      <w:r>
        <w:rPr>
          <w:sz w:val="22"/>
        </w:rPr>
        <w:t xml:space="preserve">4.1. Поставка Товара включает в себя доставку Товара по указанному в Контракте адресу Заказчика, погрузочно-разгрузочные работы, а также сборку и установку Товара в случае, если Товар поставляется в разобранном виде. </w:t>
      </w:r>
    </w:p>
    <w:p w14:paraId="2C000000">
      <w:pPr>
        <w:widowControl w:val="1"/>
        <w:ind w:firstLine="567"/>
        <w:jc w:val="both"/>
        <w:rPr>
          <w:sz w:val="22"/>
        </w:rPr>
      </w:pPr>
      <w:r>
        <w:rPr>
          <w:sz w:val="22"/>
        </w:rPr>
        <w:t>4.2. Поставка Товара осуществляется по предварительному согласованию с Заказчиком даты и времени поставки, с учетом раздела 3 настоящего Контракта.</w:t>
      </w:r>
    </w:p>
    <w:p w14:paraId="2D000000">
      <w:pPr>
        <w:widowControl w:val="1"/>
        <w:ind w:firstLine="567"/>
        <w:jc w:val="both"/>
        <w:rPr>
          <w:sz w:val="22"/>
        </w:rPr>
      </w:pPr>
      <w:r>
        <w:rPr>
          <w:sz w:val="22"/>
        </w:rPr>
        <w:t xml:space="preserve">4.3. Товар поставляется в упаковке, соответствующей требованиям торгового оборота, обеспечивающей сохранность Товара при транспортировке. Поставляемый Товар должен быть новым (не бывшим в употреблении, не прошедшем ремонт, в том числе восстановление, замену составных частей, восстановление потребительских свойств и качеств). </w:t>
      </w:r>
    </w:p>
    <w:p w14:paraId="2E000000">
      <w:pPr>
        <w:widowControl w:val="1"/>
        <w:spacing w:before="120"/>
        <w:ind/>
        <w:jc w:val="center"/>
        <w:rPr>
          <w:b w:val="1"/>
          <w:sz w:val="22"/>
        </w:rPr>
      </w:pPr>
    </w:p>
    <w:p w14:paraId="2F000000">
      <w:pPr>
        <w:widowControl w:val="1"/>
        <w:spacing w:before="120"/>
        <w:ind/>
        <w:jc w:val="center"/>
        <w:rPr>
          <w:b w:val="1"/>
          <w:sz w:val="22"/>
        </w:rPr>
      </w:pPr>
      <w:r>
        <w:rPr>
          <w:b w:val="1"/>
          <w:sz w:val="22"/>
        </w:rPr>
        <w:t xml:space="preserve">5. Порядок и срок приемки поставленного Товара, оформление результатов приемки </w:t>
      </w:r>
    </w:p>
    <w:p w14:paraId="30000000">
      <w:pPr>
        <w:widowControl w:val="1"/>
        <w:spacing w:before="120"/>
        <w:ind/>
        <w:jc w:val="center"/>
        <w:rPr>
          <w:b w:val="1"/>
          <w:sz w:val="22"/>
        </w:rPr>
      </w:pPr>
    </w:p>
    <w:p w14:paraId="31000000">
      <w:pPr>
        <w:widowControl w:val="1"/>
        <w:ind w:firstLine="567"/>
        <w:jc w:val="both"/>
        <w:rPr>
          <w:sz w:val="22"/>
        </w:rPr>
      </w:pPr>
      <w:r>
        <w:rPr>
          <w:sz w:val="22"/>
        </w:rPr>
        <w:t xml:space="preserve">5.1. Приемку поставленного Товара осуществляет ответственное лицо Заказчика, которое осуществляет контроль за надлежащим выполнением условий Контракта, подписывает акт приемки Товара и готовит отчет о результатах исполнения Контракта. </w:t>
      </w:r>
    </w:p>
    <w:p w14:paraId="32000000">
      <w:pPr>
        <w:widowControl w:val="1"/>
        <w:ind w:firstLine="567"/>
        <w:jc w:val="both"/>
        <w:rPr>
          <w:sz w:val="22"/>
        </w:rPr>
      </w:pPr>
      <w:r>
        <w:rPr>
          <w:sz w:val="22"/>
        </w:rPr>
        <w:t>Для приемки Товара Заказчик вправе создать приемочную комиссию.</w:t>
      </w:r>
    </w:p>
    <w:p w14:paraId="33000000">
      <w:pPr>
        <w:widowControl w:val="1"/>
        <w:ind w:firstLine="567"/>
        <w:jc w:val="both"/>
        <w:rPr>
          <w:sz w:val="22"/>
        </w:rPr>
      </w:pPr>
      <w:r>
        <w:rPr>
          <w:sz w:val="22"/>
        </w:rPr>
        <w:t xml:space="preserve">Ответственное лицо Заказчика или приемочная комиссия в течение 3 (трех) рабочих дней со дня поставки Товара, проводит экспертизу на предмет соответствия поставленного Товара условиям Контракта. </w:t>
      </w:r>
    </w:p>
    <w:p w14:paraId="34000000">
      <w:pPr>
        <w:widowControl w:val="1"/>
        <w:ind w:firstLine="567"/>
        <w:jc w:val="both"/>
        <w:rPr>
          <w:sz w:val="22"/>
        </w:rPr>
      </w:pPr>
      <w:r>
        <w:rPr>
          <w:sz w:val="22"/>
        </w:rPr>
        <w:t>Экспертиза результатов поставки Товара может проводиться Заказчиком своими силами или с привлечением экспертов, экспертных организаций.</w:t>
      </w:r>
    </w:p>
    <w:p w14:paraId="35000000">
      <w:pPr>
        <w:widowControl w:val="1"/>
        <w:ind w:firstLine="567"/>
        <w:jc w:val="both"/>
        <w:rPr>
          <w:sz w:val="22"/>
        </w:rPr>
      </w:pPr>
      <w:r>
        <w:rPr>
          <w:sz w:val="22"/>
        </w:rPr>
        <w:t>5.2. Поставщик по соглашению с Заказчиком вправе направить своего уполномоченного представителя для участия в осуществлении приемки Товара.</w:t>
      </w:r>
    </w:p>
    <w:p w14:paraId="36000000">
      <w:pPr>
        <w:widowControl w:val="1"/>
        <w:ind w:firstLine="567"/>
        <w:jc w:val="both"/>
        <w:rPr>
          <w:sz w:val="22"/>
        </w:rPr>
      </w:pPr>
      <w:r>
        <w:rPr>
          <w:sz w:val="22"/>
        </w:rPr>
        <w:t>5.3. Порядок осуществления приемки поставленного Товара:</w:t>
      </w:r>
    </w:p>
    <w:p w14:paraId="37000000">
      <w:pPr>
        <w:widowControl w:val="1"/>
        <w:ind w:firstLine="567"/>
        <w:jc w:val="both"/>
        <w:rPr>
          <w:sz w:val="22"/>
        </w:rPr>
      </w:pPr>
      <w:r>
        <w:rPr>
          <w:sz w:val="22"/>
        </w:rPr>
        <w:t>5.3.1. Вместе с поставленным Товаром Поставщик представляет Заказчику финансовые документы для оплаты поставленного Товара, указанные в пункте 2.4 Контракта, подтверждающие исполнение обязательства, акт приемки Товара.</w:t>
      </w:r>
    </w:p>
    <w:p w14:paraId="38000000">
      <w:pPr>
        <w:widowControl w:val="1"/>
        <w:ind w:firstLine="567"/>
        <w:jc w:val="both"/>
        <w:rPr>
          <w:sz w:val="22"/>
        </w:rPr>
      </w:pPr>
      <w:r>
        <w:rPr>
          <w:sz w:val="22"/>
        </w:rPr>
        <w:t>5.3.2. Ответственное лицо Заказчика за приемку Товара или приемочная комиссия Заказчика в срок, установленный в пункте 5.1 Контракта, осуществляет приемку поставленного Товара по количеству, комплектности, объему, качеству и соответствию поставленного Товара требованиям, установленным Контрактом, в том числе сведениям, указанным в транспортных и сопроводительных документах по: наименованию, количеству, качеству, маркировке, таре и упаковке, а также сроку поставки Товара.</w:t>
      </w:r>
    </w:p>
    <w:p w14:paraId="39000000">
      <w:pPr>
        <w:widowControl w:val="1"/>
        <w:ind w:firstLine="567"/>
        <w:jc w:val="both"/>
        <w:rPr>
          <w:sz w:val="22"/>
        </w:rPr>
      </w:pPr>
      <w:r>
        <w:rPr>
          <w:sz w:val="22"/>
        </w:rPr>
        <w:t>5.3.3. При отсутствии замечаний при приемке поставленного Товара оформляется соответствующий акт приемки Товара, который подписывается Заказчиком.</w:t>
      </w:r>
    </w:p>
    <w:p w14:paraId="3A000000">
      <w:pPr>
        <w:widowControl w:val="1"/>
        <w:ind w:firstLine="567"/>
        <w:jc w:val="both"/>
        <w:rPr>
          <w:sz w:val="22"/>
        </w:rPr>
      </w:pPr>
      <w:r>
        <w:rPr>
          <w:sz w:val="22"/>
        </w:rPr>
        <w:t xml:space="preserve">5.3.4. В случае выявления несоответствий поставленного Товара требованиям настоящего Контракта, препятствующих его приемке, на основании заключения ответственного лица Заказчика за приемку Товара или на основании заключения приемочной комиссии, Заказчик, в срок, установленный в пункте 5.1 Контракта, направляет Поставщику в письменной форме мотивированный отказ от подписания акта о приемке Товара с указанием сроков устранения выявленных недостатков. </w:t>
      </w:r>
    </w:p>
    <w:p w14:paraId="3B000000">
      <w:pPr>
        <w:widowControl w:val="1"/>
        <w:ind w:firstLine="567"/>
        <w:jc w:val="both"/>
        <w:rPr>
          <w:sz w:val="22"/>
        </w:rPr>
      </w:pPr>
      <w:r>
        <w:rPr>
          <w:sz w:val="22"/>
        </w:rPr>
        <w:t>5.3.5. Поставщик своими силами и за свой счет обязан устранить недостатки Товара в установленный Заказчиком срок.</w:t>
      </w:r>
    </w:p>
    <w:p w14:paraId="3C000000">
      <w:pPr>
        <w:widowControl w:val="1"/>
        <w:ind w:firstLine="567"/>
        <w:jc w:val="both"/>
        <w:rPr>
          <w:sz w:val="22"/>
        </w:rPr>
      </w:pPr>
      <w:r>
        <w:rPr>
          <w:sz w:val="22"/>
        </w:rPr>
        <w:t xml:space="preserve">Устранение недостатков не освобождает Поставщика от ответственности за ненадлежащее исполнение принятых на себя обязательств по настоящему Контракту. </w:t>
      </w:r>
    </w:p>
    <w:p w14:paraId="3D000000">
      <w:pPr>
        <w:widowControl w:val="1"/>
        <w:ind w:firstLine="567"/>
        <w:jc w:val="both"/>
        <w:rPr>
          <w:sz w:val="22"/>
        </w:rPr>
      </w:pPr>
      <w:r>
        <w:rPr>
          <w:sz w:val="22"/>
        </w:rPr>
        <w:t xml:space="preserve">5.3.6. В случае отказа Поставщика устранить недостатки, указанные Заказчиком в мотивированном отказе от подписания акта приемки Товара, Заказчик принимает решение об одностороннем отказе от исполнения Контракта.  </w:t>
      </w:r>
    </w:p>
    <w:p w14:paraId="3E000000">
      <w:pPr>
        <w:widowControl w:val="1"/>
        <w:ind w:firstLine="567"/>
        <w:jc w:val="both"/>
        <w:rPr>
          <w:sz w:val="22"/>
        </w:rPr>
      </w:pPr>
      <w:r>
        <w:rPr>
          <w:sz w:val="22"/>
        </w:rPr>
        <w:t xml:space="preserve">5.3.7. После устранения Поставщиком выявленных в ходе приемки Товара недостатков, Заказчик, в течение 3 (трех) рабочих дней со дня повторной поставки Товара, вновь осуществляет приемку Товара. </w:t>
      </w:r>
    </w:p>
    <w:p w14:paraId="3F000000">
      <w:pPr>
        <w:widowControl w:val="1"/>
        <w:ind w:firstLine="567"/>
        <w:jc w:val="both"/>
        <w:rPr>
          <w:sz w:val="22"/>
        </w:rPr>
      </w:pPr>
      <w:r>
        <w:rPr>
          <w:sz w:val="22"/>
        </w:rPr>
        <w:t>При повторном выявлении отступлений от условий Контракта, ухудшающих качество Товара или иных его характеристик и свойств, равно как отсутствие сертификатов и/или иных документов на Товар (если такое требование установлено Контрактом), а также в случае нарушения сроков устранения недостатков, недопоставке Товара, ответственное лицо Заказчика за приемку Товара или приемочная комиссия Заказчика составляет заключение, являющееся мотивированным отказом от приемки Товара, которое направляется Поставщику. В этом случае оплата по Контракту не производится.</w:t>
      </w:r>
    </w:p>
    <w:p w14:paraId="40000000">
      <w:pPr>
        <w:widowControl w:val="1"/>
        <w:ind w:firstLine="567"/>
        <w:jc w:val="both"/>
        <w:rPr>
          <w:sz w:val="22"/>
        </w:rPr>
      </w:pPr>
      <w:r>
        <w:rPr>
          <w:sz w:val="22"/>
        </w:rPr>
        <w:t>5.3.8. В случае отказа Заказчика от поставленного Товара Заказчик обязан обеспечить его сохранность, приняв Товар на ответственное хранение, незамедлительно уведомив об этом Поставщика. Поставщик в течение 3 (трех) рабочих дней обязан вывезти Товар, находящийся на сохранении у Заказчика. В противном случае, Заказчик не несет ответственность за сохранение Товара.</w:t>
      </w:r>
    </w:p>
    <w:p w14:paraId="41000000">
      <w:pPr>
        <w:widowControl w:val="1"/>
        <w:ind w:firstLine="567"/>
        <w:jc w:val="both"/>
        <w:rPr>
          <w:sz w:val="22"/>
        </w:rPr>
      </w:pPr>
      <w:r>
        <w:rPr>
          <w:sz w:val="22"/>
        </w:rPr>
        <w:t xml:space="preserve">5.3.9. Товар считается поставленным со дня подписания Заказчиком акта приемки Товара. </w:t>
      </w:r>
    </w:p>
    <w:p w14:paraId="42000000">
      <w:pPr>
        <w:widowControl w:val="1"/>
        <w:ind w:firstLine="567"/>
        <w:jc w:val="both"/>
        <w:rPr>
          <w:sz w:val="22"/>
        </w:rPr>
      </w:pPr>
      <w:r>
        <w:rPr>
          <w:sz w:val="22"/>
        </w:rPr>
        <w:t>5.3.10. Риски случайной гибели или случайного повреждения, поставленного по настоящему Контракту Товара, а также бремя его содержания переходят от Поставщика к Заказчику с момента подписания Заказчиком акта приемки Товара.</w:t>
      </w:r>
    </w:p>
    <w:p w14:paraId="43000000">
      <w:pPr>
        <w:widowControl w:val="1"/>
        <w:ind w:firstLine="567"/>
        <w:jc w:val="both"/>
        <w:rPr>
          <w:sz w:val="22"/>
        </w:rPr>
      </w:pPr>
    </w:p>
    <w:p w14:paraId="44000000">
      <w:pPr>
        <w:widowControl w:val="1"/>
        <w:spacing w:before="120"/>
        <w:ind/>
        <w:jc w:val="center"/>
        <w:rPr>
          <w:b w:val="1"/>
          <w:sz w:val="22"/>
        </w:rPr>
      </w:pPr>
      <w:r>
        <w:rPr>
          <w:b w:val="1"/>
          <w:sz w:val="22"/>
        </w:rPr>
        <w:t>6. Качество Товара. Требования к гарантийному сроку Товара и (или) объему предоставления гарантий его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 порядок и сроки предоставления обеспечения гарантийных обязательств</w:t>
      </w:r>
    </w:p>
    <w:p w14:paraId="45000000">
      <w:pPr>
        <w:widowControl w:val="1"/>
        <w:ind w:firstLine="567"/>
        <w:jc w:val="center"/>
      </w:pPr>
    </w:p>
    <w:p w14:paraId="46000000">
      <w:pPr>
        <w:widowControl w:val="1"/>
        <w:ind w:firstLine="567"/>
        <w:jc w:val="both"/>
        <w:rPr>
          <w:b w:val="1"/>
          <w:i w:val="1"/>
          <w:sz w:val="22"/>
        </w:rPr>
      </w:pPr>
      <w:r>
        <w:rPr>
          <w:sz w:val="22"/>
        </w:rPr>
        <w:t>6.1. Качество поставляемого Товара должно полностью соответствовать требованиям, указанным в приложении № 1 к настоящему Контракту.</w:t>
      </w:r>
    </w:p>
    <w:p w14:paraId="47000000">
      <w:pPr>
        <w:widowControl w:val="1"/>
        <w:ind w:firstLine="567"/>
        <w:jc w:val="both"/>
        <w:rPr>
          <w:sz w:val="22"/>
        </w:rPr>
      </w:pPr>
      <w:r>
        <w:rPr>
          <w:sz w:val="22"/>
        </w:rPr>
        <w:t>6.2. Поставщик 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 в том числе предоставляет информацию о стране происхождения Товара.</w:t>
      </w:r>
    </w:p>
    <w:p w14:paraId="48000000">
      <w:pPr>
        <w:widowControl w:val="1"/>
        <w:ind w:firstLine="567"/>
        <w:jc w:val="both"/>
        <w:rPr>
          <w:sz w:val="22"/>
        </w:rPr>
      </w:pPr>
      <w:r>
        <w:rPr>
          <w:sz w:val="22"/>
        </w:rPr>
        <w:t>Поставщик обязуется предоставить по запросу Заказчика, а также уполномоченных государственных органов всю необходимую документацию и информацию об условиях поставки, количестве, качестве Товара и иную запрашиваемую информацию, связанную с выполнением условий Контракта.</w:t>
      </w:r>
    </w:p>
    <w:p w14:paraId="49000000">
      <w:pPr>
        <w:widowControl w:val="1"/>
        <w:ind w:firstLine="567"/>
        <w:jc w:val="both"/>
        <w:rPr>
          <w:sz w:val="22"/>
        </w:rPr>
      </w:pPr>
      <w:r>
        <w:rPr>
          <w:sz w:val="22"/>
        </w:rPr>
        <w:t xml:space="preserve">6.3. Гарантийный срок Товара составляет 12 месяцев с даты подписания Заказчиком акта приемки Товара (в случае осуществления монтажа и наладки Товара – с момента ввода Товара в эксплуатацию), но не меньше срока, указанного производителем в паспорте Товара. </w:t>
      </w:r>
    </w:p>
    <w:p w14:paraId="4A000000">
      <w:pPr>
        <w:widowControl w:val="1"/>
        <w:ind w:firstLine="567"/>
        <w:jc w:val="both"/>
        <w:rPr>
          <w:b w:val="1"/>
          <w:i w:val="1"/>
          <w:sz w:val="22"/>
        </w:rPr>
      </w:pPr>
      <w:r>
        <w:rPr>
          <w:sz w:val="22"/>
        </w:rPr>
        <w:t xml:space="preserve">В течение указанного срока Поставщик осуществляет гарантийное и сервисное обслуживание Товара без дополнительной оплаты такого обслуживания Заказчиком. </w:t>
      </w:r>
    </w:p>
    <w:p w14:paraId="4B000000">
      <w:pPr>
        <w:widowControl w:val="1"/>
        <w:ind w:firstLine="567"/>
        <w:jc w:val="both"/>
        <w:rPr>
          <w:sz w:val="22"/>
        </w:rPr>
      </w:pPr>
      <w:r>
        <w:rPr>
          <w:sz w:val="22"/>
        </w:rPr>
        <w:t xml:space="preserve">6.4. В случае возникновения в период гарантийного срока Товара неисправности (дефекта) Товара, Поставщик обязан произвести ремонт либо произвести замену некачественного Товара в течение 3 (трех) рабочих дней после получения уведомления Заказчика о неисправности (дефекте) Товара. </w:t>
      </w:r>
    </w:p>
    <w:p w14:paraId="4C000000">
      <w:pPr>
        <w:widowControl w:val="1"/>
        <w:ind w:firstLine="567"/>
        <w:jc w:val="both"/>
        <w:rPr>
          <w:sz w:val="22"/>
        </w:rPr>
      </w:pPr>
      <w:r>
        <w:rPr>
          <w:sz w:val="22"/>
        </w:rPr>
        <w:t>6.5. На время ремонта дефектный Товар, по требованию Заказчика, подлежит замене на аналогичный новый Товар.</w:t>
      </w:r>
    </w:p>
    <w:p w14:paraId="4D000000">
      <w:pPr>
        <w:widowControl w:val="1"/>
        <w:spacing w:before="120"/>
        <w:ind/>
        <w:jc w:val="center"/>
        <w:rPr>
          <w:b w:val="1"/>
          <w:sz w:val="22"/>
        </w:rPr>
      </w:pPr>
    </w:p>
    <w:p w14:paraId="4E000000">
      <w:pPr>
        <w:widowControl w:val="1"/>
        <w:spacing w:before="120"/>
        <w:ind/>
        <w:jc w:val="center"/>
        <w:rPr>
          <w:b w:val="1"/>
          <w:sz w:val="22"/>
        </w:rPr>
      </w:pPr>
      <w:r>
        <w:rPr>
          <w:b w:val="1"/>
          <w:sz w:val="22"/>
        </w:rPr>
        <w:t>7. Права и обязанности Сторон</w:t>
      </w:r>
    </w:p>
    <w:p w14:paraId="4F000000">
      <w:pPr>
        <w:widowControl w:val="1"/>
        <w:spacing w:before="120"/>
        <w:ind/>
        <w:jc w:val="center"/>
        <w:rPr>
          <w:b w:val="1"/>
          <w:sz w:val="22"/>
        </w:rPr>
      </w:pPr>
    </w:p>
    <w:p w14:paraId="50000000">
      <w:pPr>
        <w:widowControl w:val="1"/>
        <w:ind w:firstLine="567"/>
        <w:jc w:val="both"/>
        <w:rPr>
          <w:sz w:val="22"/>
        </w:rPr>
      </w:pPr>
      <w:r>
        <w:rPr>
          <w:sz w:val="22"/>
        </w:rPr>
        <w:t>7.1. Заказчик обязан:</w:t>
      </w:r>
    </w:p>
    <w:p w14:paraId="51000000">
      <w:pPr>
        <w:widowControl w:val="1"/>
        <w:ind w:firstLine="567"/>
        <w:jc w:val="both"/>
        <w:rPr>
          <w:sz w:val="22"/>
        </w:rPr>
      </w:pPr>
      <w:r>
        <w:rPr>
          <w:sz w:val="22"/>
        </w:rPr>
        <w:t>7.1.1. Принять поставленный Товар в порядке и сроки, предусмотренные Контрактом. Указать Поставщику места размещения Товара.</w:t>
      </w:r>
    </w:p>
    <w:p w14:paraId="52000000">
      <w:pPr>
        <w:widowControl w:val="1"/>
        <w:ind w:firstLine="567"/>
        <w:jc w:val="both"/>
        <w:rPr>
          <w:sz w:val="22"/>
        </w:rPr>
      </w:pPr>
      <w:r>
        <w:rPr>
          <w:sz w:val="22"/>
        </w:rPr>
        <w:t>7.1.2. В случае надлежащего исполнения Поставщиком обязательств по Контракту, оплатить поставленный Товар в порядке и на условиях, предусмотренных Контрактом.</w:t>
      </w:r>
    </w:p>
    <w:p w14:paraId="53000000">
      <w:pPr>
        <w:widowControl w:val="1"/>
        <w:ind w:firstLine="567"/>
        <w:jc w:val="both"/>
        <w:rPr>
          <w:sz w:val="22"/>
        </w:rPr>
      </w:pPr>
      <w:r>
        <w:rPr>
          <w:sz w:val="22"/>
        </w:rPr>
        <w:t>7.2. Заказчик вправе:</w:t>
      </w:r>
    </w:p>
    <w:p w14:paraId="54000000">
      <w:pPr>
        <w:widowControl w:val="1"/>
        <w:ind w:firstLine="567"/>
        <w:jc w:val="both"/>
        <w:rPr>
          <w:sz w:val="22"/>
        </w:rPr>
      </w:pPr>
      <w:r>
        <w:rPr>
          <w:sz w:val="22"/>
        </w:rPr>
        <w:t>7.2.1. Требовать надлежащего исполнения обязательств в соответствии с условиями Контракта.</w:t>
      </w:r>
    </w:p>
    <w:p w14:paraId="55000000">
      <w:pPr>
        <w:widowControl w:val="1"/>
        <w:ind w:firstLine="567"/>
        <w:jc w:val="both"/>
        <w:rPr>
          <w:sz w:val="22"/>
        </w:rPr>
      </w:pPr>
      <w:r>
        <w:rPr>
          <w:sz w:val="22"/>
        </w:rPr>
        <w:t xml:space="preserve">7.2.2. Требовать представления надлежащим образом оформленных отчетных и финансовых документов, подтверждающих исполнение обязательств. </w:t>
      </w:r>
    </w:p>
    <w:p w14:paraId="56000000">
      <w:pPr>
        <w:widowControl w:val="1"/>
        <w:ind w:firstLine="567"/>
        <w:jc w:val="both"/>
        <w:rPr>
          <w:sz w:val="22"/>
        </w:rPr>
      </w:pPr>
      <w:r>
        <w:rPr>
          <w:sz w:val="22"/>
        </w:rPr>
        <w:t>7.2.3. Запрашивать у Поставщика информацию о ходе и состоянии исполнения обязательств по Контракту.</w:t>
      </w:r>
    </w:p>
    <w:p w14:paraId="57000000">
      <w:pPr>
        <w:widowControl w:val="1"/>
        <w:ind w:firstLine="567"/>
        <w:jc w:val="both"/>
        <w:rPr>
          <w:sz w:val="22"/>
        </w:rPr>
      </w:pPr>
      <w:r>
        <w:rPr>
          <w:sz w:val="22"/>
        </w:rPr>
        <w:t>7.2.4. Осуществлять контроль за порядком и сроками поставки Товара, не вмешиваясь в оперативно-хозяйственную деятельность Поставщика.</w:t>
      </w:r>
    </w:p>
    <w:p w14:paraId="58000000">
      <w:pPr>
        <w:widowControl w:val="1"/>
        <w:ind w:firstLine="567"/>
        <w:jc w:val="both"/>
        <w:rPr>
          <w:sz w:val="22"/>
        </w:rPr>
      </w:pPr>
      <w:r>
        <w:rPr>
          <w:sz w:val="22"/>
        </w:rPr>
        <w:t>7.2.5. Отказаться от принятия и оплаты Товара, не соответствующего требованиям Контракта.</w:t>
      </w:r>
    </w:p>
    <w:p w14:paraId="59000000">
      <w:pPr>
        <w:widowControl w:val="1"/>
        <w:ind w:firstLine="567"/>
        <w:jc w:val="both"/>
        <w:rPr>
          <w:sz w:val="22"/>
        </w:rPr>
      </w:pPr>
      <w:r>
        <w:rPr>
          <w:sz w:val="22"/>
        </w:rPr>
        <w:t>7.2.6.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5A000000">
      <w:pPr>
        <w:widowControl w:val="1"/>
        <w:ind w:firstLine="567"/>
        <w:jc w:val="both"/>
        <w:rPr>
          <w:color w:val="000000"/>
          <w:sz w:val="22"/>
        </w:rPr>
      </w:pPr>
      <w:r>
        <w:rPr>
          <w:sz w:val="22"/>
        </w:rPr>
        <w:t>7.2.7. П</w:t>
      </w:r>
      <w:r>
        <w:rPr>
          <w:color w:val="000000"/>
          <w:sz w:val="22"/>
        </w:rPr>
        <w:t>ринять решение об одностороннем отказе от исполнения Контракта.</w:t>
      </w:r>
    </w:p>
    <w:p w14:paraId="5B000000">
      <w:pPr>
        <w:widowControl w:val="1"/>
        <w:ind w:firstLine="567"/>
        <w:jc w:val="both"/>
        <w:rPr>
          <w:sz w:val="22"/>
        </w:rPr>
      </w:pPr>
      <w:r>
        <w:rPr>
          <w:sz w:val="22"/>
        </w:rPr>
        <w:t>7.3. Поставщик обязан:</w:t>
      </w:r>
    </w:p>
    <w:p w14:paraId="5C000000">
      <w:pPr>
        <w:widowControl w:val="1"/>
        <w:ind w:firstLine="567"/>
        <w:jc w:val="both"/>
        <w:rPr>
          <w:sz w:val="22"/>
        </w:rPr>
      </w:pPr>
      <w:r>
        <w:rPr>
          <w:sz w:val="22"/>
        </w:rPr>
        <w:t>7.3.1. Поставить Товар, обеспечив его надлежащее качество, в сроки, установленные Контрактом.</w:t>
      </w:r>
    </w:p>
    <w:p w14:paraId="5D000000">
      <w:pPr>
        <w:widowControl w:val="1"/>
        <w:ind w:firstLine="567"/>
        <w:jc w:val="both"/>
        <w:rPr>
          <w:sz w:val="22"/>
        </w:rPr>
      </w:pPr>
      <w:r>
        <w:rPr>
          <w:sz w:val="22"/>
        </w:rPr>
        <w:t>7.3.2. Произвести погрузку, доставку, разгрузку, подъем Товара на этажи, сборку и установку, вывоз упаковочной тары и иные виды работ в рамках поставки, установленные пунктом 2.3 Контракта.</w:t>
      </w:r>
    </w:p>
    <w:p w14:paraId="5E000000">
      <w:pPr>
        <w:widowControl w:val="1"/>
        <w:ind w:firstLine="567"/>
        <w:jc w:val="both"/>
        <w:rPr>
          <w:sz w:val="22"/>
        </w:rPr>
      </w:pPr>
      <w:r>
        <w:rPr>
          <w:sz w:val="22"/>
        </w:rPr>
        <w:t>7.3.3. Исполнять указания Заказчика, полученные в ходе поставки Товара. Безвозмездно устранять обнаруженные Заказчиком недостатки в поставленном Товаре.</w:t>
      </w:r>
    </w:p>
    <w:p w14:paraId="5F000000">
      <w:pPr>
        <w:widowControl w:val="1"/>
        <w:ind w:firstLine="567"/>
        <w:jc w:val="both"/>
        <w:rPr>
          <w:sz w:val="22"/>
        </w:rPr>
      </w:pPr>
      <w:r>
        <w:rPr>
          <w:sz w:val="22"/>
        </w:rPr>
        <w:t>7.3.4. Передать Заказчику надлежащим образом оформленные отчетные и финансовые документы в порядке и в сроки, установленные Контрактом, в том числе сертификаты соответствия на Товар (декларации о соответствии), либо их копии, заверенные в установленном порядке, представить информацию о стране происхождения Товара и иные документы, предусмотренные Контрактом.</w:t>
      </w:r>
    </w:p>
    <w:p w14:paraId="60000000">
      <w:pPr>
        <w:widowControl w:val="1"/>
        <w:ind w:firstLine="567"/>
        <w:jc w:val="both"/>
        <w:rPr>
          <w:sz w:val="22"/>
        </w:rPr>
      </w:pPr>
      <w:r>
        <w:rPr>
          <w:sz w:val="22"/>
        </w:rPr>
        <w:t>7.3.5. Представлять по запросу Заказчика в сроки, указанные в таком запросе, информацию о ходе исполнения обязательств по Контракту.</w:t>
      </w:r>
    </w:p>
    <w:p w14:paraId="61000000">
      <w:pPr>
        <w:widowControl w:val="1"/>
        <w:ind w:firstLine="567"/>
        <w:jc w:val="both"/>
        <w:rPr>
          <w:sz w:val="22"/>
        </w:rPr>
      </w:pPr>
      <w:r>
        <w:rPr>
          <w:sz w:val="22"/>
        </w:rPr>
        <w:t>7.3.6.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62000000">
      <w:pPr>
        <w:widowControl w:val="1"/>
        <w:ind w:firstLine="567"/>
        <w:jc w:val="both"/>
        <w:rPr>
          <w:sz w:val="22"/>
        </w:rPr>
      </w:pPr>
      <w:r>
        <w:rPr>
          <w:sz w:val="22"/>
        </w:rPr>
        <w:t>7.3.7. Соблюдать конфиденциальность в отношении всей информации, ставшей известной Поставщику в связи с исполнением обязательств по Контракту.</w:t>
      </w:r>
    </w:p>
    <w:p w14:paraId="63000000">
      <w:pPr>
        <w:widowControl w:val="1"/>
        <w:ind w:firstLine="567"/>
        <w:jc w:val="both"/>
        <w:rPr>
          <w:sz w:val="22"/>
        </w:rPr>
      </w:pPr>
      <w:r>
        <w:rPr>
          <w:sz w:val="22"/>
        </w:rPr>
        <w:t>7.3.8. Незамедлительно уведомлять Заказчика обо всех созданных в процессе исполнения Контракта объектах интеллектуальной собственности.</w:t>
      </w:r>
    </w:p>
    <w:p w14:paraId="64000000">
      <w:pPr>
        <w:widowControl w:val="1"/>
        <w:ind w:firstLine="567"/>
        <w:jc w:val="both"/>
        <w:rPr>
          <w:sz w:val="22"/>
        </w:rPr>
      </w:pPr>
      <w:r>
        <w:rPr>
          <w:sz w:val="22"/>
        </w:rPr>
        <w:t>7.3.9. Понести риск случайной гибели или случайного повреждения Товара до подписания акта приемки Товара Заказчиком.</w:t>
      </w:r>
    </w:p>
    <w:p w14:paraId="65000000">
      <w:pPr>
        <w:widowControl w:val="1"/>
        <w:ind w:firstLine="567"/>
        <w:jc w:val="both"/>
        <w:rPr>
          <w:sz w:val="22"/>
        </w:rPr>
      </w:pPr>
      <w:r>
        <w:rPr>
          <w:sz w:val="22"/>
        </w:rPr>
        <w:t>7.3.10. Устранить выявленные недостатки поставленного Товара в порядке и сроки, установленные Контрактом.</w:t>
      </w:r>
    </w:p>
    <w:p w14:paraId="66000000">
      <w:pPr>
        <w:widowControl w:val="1"/>
        <w:ind w:firstLine="567"/>
        <w:jc w:val="both"/>
        <w:rPr>
          <w:sz w:val="22"/>
        </w:rPr>
      </w:pPr>
      <w:r>
        <w:rPr>
          <w:sz w:val="22"/>
        </w:rPr>
        <w:t>7.3.11. Предоставлять Заказчику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Поставщика обстоятельств, которые грозят годности результатов поставляемого Товара либо создают невозможность их поставки в срок.</w:t>
      </w:r>
    </w:p>
    <w:p w14:paraId="67000000">
      <w:pPr>
        <w:widowControl w:val="1"/>
        <w:ind w:firstLine="567"/>
        <w:jc w:val="both"/>
        <w:rPr>
          <w:sz w:val="22"/>
        </w:rPr>
      </w:pPr>
      <w:r>
        <w:rPr>
          <w:sz w:val="22"/>
        </w:rPr>
        <w:t>7.3.12. В случае привлечения к исполнению обязательств по Контракту третьих лиц на основании заключенного договора, незамедлительно уведомить об этом Заказчика.</w:t>
      </w:r>
    </w:p>
    <w:p w14:paraId="68000000">
      <w:pPr>
        <w:widowControl w:val="1"/>
        <w:ind w:firstLine="567"/>
        <w:jc w:val="both"/>
        <w:rPr>
          <w:sz w:val="22"/>
        </w:rPr>
      </w:pPr>
      <w:r>
        <w:rPr>
          <w:sz w:val="22"/>
        </w:rPr>
        <w:t>7.3.13. Нести ответственность перед Заказчиком за действия привлекаемых третьих лиц.</w:t>
      </w:r>
    </w:p>
    <w:p w14:paraId="69000000">
      <w:pPr>
        <w:widowControl w:val="1"/>
        <w:ind w:firstLine="567"/>
        <w:jc w:val="both"/>
        <w:rPr>
          <w:sz w:val="22"/>
        </w:rPr>
      </w:pPr>
      <w:r>
        <w:rPr>
          <w:sz w:val="22"/>
        </w:rPr>
        <w:t>7.4. Поставщик вправе:</w:t>
      </w:r>
    </w:p>
    <w:p w14:paraId="6A000000">
      <w:pPr>
        <w:widowControl w:val="1"/>
        <w:ind w:firstLine="567"/>
        <w:jc w:val="both"/>
        <w:rPr>
          <w:sz w:val="22"/>
        </w:rPr>
      </w:pPr>
      <w:r>
        <w:rPr>
          <w:sz w:val="22"/>
        </w:rPr>
        <w:t>7.4.1. Требовать подписания документов об исполнении им обязательств по Контракту от Заказчика.</w:t>
      </w:r>
    </w:p>
    <w:p w14:paraId="6B000000">
      <w:pPr>
        <w:widowControl w:val="1"/>
        <w:ind w:firstLine="567"/>
        <w:jc w:val="both"/>
        <w:rPr>
          <w:sz w:val="22"/>
        </w:rPr>
      </w:pPr>
      <w:r>
        <w:rPr>
          <w:sz w:val="22"/>
        </w:rPr>
        <w:t>7.4.2. Требовать оплаты по Контракту в случае надлежащего исполнения своих обязательств по Контракту.</w:t>
      </w:r>
    </w:p>
    <w:p w14:paraId="6C000000">
      <w:pPr>
        <w:widowControl w:val="1"/>
        <w:ind w:firstLine="567"/>
        <w:jc w:val="both"/>
        <w:rPr>
          <w:sz w:val="22"/>
        </w:rPr>
      </w:pPr>
      <w:r>
        <w:rPr>
          <w:sz w:val="22"/>
        </w:rPr>
        <w:t>7.4.3. Направить уполномоченного представителя для передачи Товара Заказчику с правом подписи акта приемки Товара.</w:t>
      </w:r>
    </w:p>
    <w:p w14:paraId="6D000000">
      <w:pPr>
        <w:widowControl w:val="1"/>
        <w:spacing w:before="120"/>
        <w:ind/>
        <w:jc w:val="center"/>
        <w:rPr>
          <w:b w:val="1"/>
          <w:sz w:val="22"/>
        </w:rPr>
      </w:pPr>
    </w:p>
    <w:p w14:paraId="6E000000">
      <w:pPr>
        <w:widowControl w:val="1"/>
        <w:spacing w:before="120"/>
        <w:ind/>
        <w:jc w:val="center"/>
        <w:rPr>
          <w:b w:val="1"/>
          <w:sz w:val="22"/>
        </w:rPr>
      </w:pPr>
      <w:r>
        <w:rPr>
          <w:b w:val="1"/>
          <w:sz w:val="22"/>
        </w:rPr>
        <w:t xml:space="preserve">8. Ответственность Сторон </w:t>
      </w:r>
    </w:p>
    <w:p w14:paraId="6F000000">
      <w:pPr>
        <w:widowControl w:val="1"/>
        <w:spacing w:before="120"/>
        <w:ind/>
        <w:jc w:val="center"/>
        <w:rPr>
          <w:b w:val="1"/>
          <w:sz w:val="22"/>
        </w:rPr>
      </w:pPr>
    </w:p>
    <w:p w14:paraId="70000000">
      <w:pPr>
        <w:widowControl w:val="1"/>
        <w:ind w:firstLine="567"/>
        <w:jc w:val="both"/>
        <w:rPr>
          <w:sz w:val="22"/>
        </w:rPr>
      </w:pPr>
      <w:r>
        <w:rPr>
          <w:sz w:val="22"/>
        </w:rPr>
        <w:t>8.1. В случае просрочки исполнения,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14:paraId="71000000">
      <w:pPr>
        <w:widowControl w:val="1"/>
        <w:ind w:firstLine="567"/>
        <w:jc w:val="both"/>
        <w:rPr>
          <w:sz w:val="22"/>
        </w:rPr>
      </w:pPr>
      <w:r>
        <w:rPr>
          <w:sz w:val="22"/>
        </w:rPr>
        <w:t>8.2.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72000000">
      <w:pPr>
        <w:widowControl w:val="1"/>
        <w:ind w:firstLine="567"/>
        <w:jc w:val="both"/>
        <w:rPr>
          <w:color w:val="000000"/>
          <w:sz w:val="22"/>
        </w:rPr>
      </w:pPr>
      <w:r>
        <w:rPr>
          <w:sz w:val="22"/>
        </w:rPr>
        <w:t xml:space="preserve">8.2.1. Пеня начисляется за каждый день </w:t>
      </w:r>
      <w:r>
        <w:rPr>
          <w:color w:val="000000"/>
          <w:sz w:val="22"/>
        </w:rPr>
        <w:t xml:space="preserve">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w:t>
      </w:r>
      <w:r>
        <w:rPr>
          <w:color w:val="000000"/>
          <w:sz w:val="22"/>
        </w:rPr>
        <w:t>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73000000">
      <w:pPr>
        <w:widowControl w:val="1"/>
        <w:ind w:firstLine="567"/>
        <w:jc w:val="both"/>
        <w:rPr>
          <w:color w:val="000000"/>
          <w:sz w:val="22"/>
        </w:rPr>
      </w:pPr>
      <w:r>
        <w:rPr>
          <w:color w:val="000000"/>
          <w:sz w:val="22"/>
        </w:rPr>
        <w:t>8.2.2.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74000000">
      <w:pPr>
        <w:widowControl w:val="1"/>
        <w:ind w:firstLine="567"/>
        <w:jc w:val="both"/>
        <w:rPr>
          <w:color w:val="000000"/>
          <w:sz w:val="22"/>
        </w:rPr>
      </w:pPr>
      <w:r>
        <w:rPr>
          <w:color w:val="000000"/>
          <w:sz w:val="22"/>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75000000">
      <w:pPr>
        <w:widowControl w:val="1"/>
        <w:ind w:firstLine="567"/>
        <w:jc w:val="both"/>
        <w:rPr>
          <w:color w:val="000000"/>
          <w:sz w:val="22"/>
        </w:rPr>
      </w:pPr>
      <w:r>
        <w:rPr>
          <w:color w:val="000000"/>
          <w:sz w:val="22"/>
        </w:rPr>
        <w:t>1000 рублей, если цена контракта не превышает 3 млн. рублей (включительно);</w:t>
      </w:r>
    </w:p>
    <w:p w14:paraId="76000000">
      <w:pPr>
        <w:widowControl w:val="1"/>
        <w:ind w:firstLine="567"/>
        <w:jc w:val="both"/>
        <w:rPr>
          <w:color w:val="000000"/>
          <w:sz w:val="22"/>
        </w:rPr>
      </w:pPr>
      <w:r>
        <w:rPr>
          <w:color w:val="000000"/>
          <w:sz w:val="22"/>
        </w:rPr>
        <w:t>8.2.3.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7000000">
      <w:pPr>
        <w:widowControl w:val="1"/>
        <w:ind w:firstLine="567"/>
        <w:jc w:val="both"/>
        <w:rPr>
          <w:color w:val="000000"/>
          <w:sz w:val="22"/>
        </w:rPr>
      </w:pPr>
      <w:r>
        <w:rPr>
          <w:color w:val="000000"/>
          <w:sz w:val="22"/>
        </w:rPr>
        <w:t>8.3.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78000000">
      <w:pPr>
        <w:widowControl w:val="1"/>
        <w:ind w:firstLine="567"/>
        <w:jc w:val="both"/>
        <w:rPr>
          <w:sz w:val="22"/>
        </w:rPr>
      </w:pPr>
      <w:r>
        <w:rPr>
          <w:sz w:val="22"/>
        </w:rPr>
        <w:t xml:space="preserve">8.3.1.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 </w:t>
      </w:r>
    </w:p>
    <w:p w14:paraId="79000000">
      <w:pPr>
        <w:widowControl w:val="1"/>
        <w:ind w:firstLine="567"/>
        <w:jc w:val="both"/>
        <w:rPr>
          <w:sz w:val="22"/>
        </w:rPr>
      </w:pPr>
      <w:r>
        <w:rPr>
          <w:sz w:val="22"/>
        </w:rPr>
        <w:t xml:space="preserve">8.3.2.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а именно: </w:t>
      </w:r>
    </w:p>
    <w:p w14:paraId="7A000000">
      <w:pPr>
        <w:widowControl w:val="1"/>
        <w:ind w:firstLine="567"/>
        <w:jc w:val="both"/>
        <w:rPr>
          <w:color w:val="000000"/>
          <w:sz w:val="22"/>
        </w:rPr>
      </w:pPr>
      <w:r>
        <w:rPr>
          <w:color w:val="000000"/>
          <w:sz w:val="22"/>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14:paraId="7B000000">
      <w:pPr>
        <w:widowControl w:val="1"/>
        <w:ind w:firstLine="567"/>
        <w:jc w:val="both"/>
        <w:rPr>
          <w:color w:val="000000"/>
          <w:sz w:val="22"/>
        </w:rPr>
      </w:pPr>
      <w:r>
        <w:rPr>
          <w:color w:val="000000"/>
          <w:sz w:val="22"/>
        </w:rPr>
        <w:t>10 процентов цены контракта (этапа) в случае, если цена контракта (этапа) не превышает 3 млн. рублей;</w:t>
      </w:r>
    </w:p>
    <w:p w14:paraId="7C000000">
      <w:pPr>
        <w:widowControl w:val="1"/>
        <w:ind w:firstLine="567"/>
        <w:jc w:val="both"/>
        <w:rPr>
          <w:color w:val="000000"/>
          <w:sz w:val="22"/>
        </w:rPr>
      </w:pPr>
      <w:r>
        <w:rPr>
          <w:color w:val="000000"/>
          <w:sz w:val="22"/>
        </w:rPr>
        <w:t>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Федерального закона № 44-ФЗ,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5000 рублей и не менее 1000 рублей.</w:t>
      </w:r>
    </w:p>
    <w:p w14:paraId="7D000000">
      <w:pPr>
        <w:widowControl w:val="1"/>
        <w:ind w:firstLine="567"/>
        <w:jc w:val="both"/>
        <w:rPr>
          <w:color w:val="000000"/>
          <w:sz w:val="22"/>
        </w:rPr>
      </w:pPr>
      <w:r>
        <w:rPr>
          <w:color w:val="000000"/>
          <w:sz w:val="22"/>
        </w:rPr>
        <w:t>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(в том числе гарантийного обязательства), предусмотренных Контрактом):</w:t>
      </w:r>
    </w:p>
    <w:p w14:paraId="7E000000">
      <w:pPr>
        <w:widowControl w:val="1"/>
        <w:ind w:firstLine="567"/>
        <w:jc w:val="both"/>
        <w:rPr>
          <w:color w:val="000000"/>
          <w:sz w:val="22"/>
        </w:rPr>
      </w:pPr>
      <w:r>
        <w:rPr>
          <w:color w:val="000000"/>
          <w:sz w:val="22"/>
        </w:rPr>
        <w:t>а) в случае, если цена контракта не превышает начальную (максимальную) цену контракта:</w:t>
      </w:r>
    </w:p>
    <w:p w14:paraId="7F000000">
      <w:pPr>
        <w:widowControl w:val="1"/>
        <w:ind w:firstLine="567"/>
        <w:jc w:val="both"/>
        <w:rPr>
          <w:color w:val="000000"/>
          <w:sz w:val="22"/>
        </w:rPr>
      </w:pPr>
      <w:r>
        <w:rPr>
          <w:color w:val="000000"/>
          <w:sz w:val="22"/>
        </w:rPr>
        <w:t>10 процентов начальной (максимальной) цены контракта, если цена контракта не превышает 3 млн. рублей;</w:t>
      </w:r>
    </w:p>
    <w:p w14:paraId="80000000">
      <w:pPr>
        <w:widowControl w:val="1"/>
        <w:ind w:firstLine="567"/>
        <w:jc w:val="both"/>
        <w:rPr>
          <w:color w:val="000000"/>
          <w:sz w:val="22"/>
        </w:rPr>
      </w:pPr>
      <w:r>
        <w:rPr>
          <w:color w:val="000000"/>
          <w:sz w:val="22"/>
        </w:rPr>
        <w:t>б) в случае, если цена контракта превышает начальную (максимальную) цену контракта:</w:t>
      </w:r>
    </w:p>
    <w:p w14:paraId="81000000">
      <w:pPr>
        <w:widowControl w:val="1"/>
        <w:ind w:firstLine="567"/>
        <w:jc w:val="both"/>
        <w:rPr>
          <w:color w:val="000000"/>
          <w:sz w:val="22"/>
        </w:rPr>
      </w:pPr>
      <w:r>
        <w:rPr>
          <w:color w:val="000000"/>
          <w:sz w:val="22"/>
        </w:rPr>
        <w:t>10 процентов цены контракта, если цена контракта не превышает 3 млн. рублей;</w:t>
      </w:r>
    </w:p>
    <w:p w14:paraId="82000000">
      <w:pPr>
        <w:widowControl w:val="1"/>
        <w:ind w:firstLine="567"/>
        <w:jc w:val="both"/>
        <w:rPr>
          <w:color w:val="000000"/>
          <w:sz w:val="22"/>
        </w:rPr>
      </w:pPr>
      <w:r>
        <w:rPr>
          <w:color w:val="000000"/>
          <w:sz w:val="22"/>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83000000">
      <w:pPr>
        <w:widowControl w:val="1"/>
        <w:ind w:firstLine="567"/>
        <w:jc w:val="both"/>
        <w:rPr>
          <w:color w:val="000000"/>
          <w:sz w:val="22"/>
        </w:rPr>
      </w:pPr>
      <w:r>
        <w:rPr>
          <w:color w:val="000000"/>
          <w:sz w:val="22"/>
        </w:rPr>
        <w:t>1000 рублей, если цена контракта не превышает 3 млн. рублей;</w:t>
      </w:r>
    </w:p>
    <w:p w14:paraId="84000000">
      <w:pPr>
        <w:widowControl w:val="1"/>
        <w:ind w:firstLine="567"/>
        <w:jc w:val="both"/>
        <w:rPr>
          <w:color w:val="000000"/>
          <w:sz w:val="22"/>
        </w:rPr>
      </w:pPr>
      <w:r>
        <w:rPr>
          <w:color w:val="000000"/>
          <w:sz w:val="22"/>
        </w:rPr>
        <w:t>8.3.3.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85000000">
      <w:pPr>
        <w:widowControl w:val="1"/>
        <w:ind w:firstLine="567"/>
        <w:jc w:val="both"/>
        <w:rPr>
          <w:color w:val="000000"/>
          <w:sz w:val="22"/>
        </w:rPr>
      </w:pPr>
      <w:r>
        <w:rPr>
          <w:color w:val="000000"/>
          <w:sz w:val="22"/>
        </w:rPr>
        <w:t>8.4. В случае неисполнения или ненадлежащего исполнения Поставщиком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86000000">
      <w:pPr>
        <w:widowControl w:val="1"/>
        <w:ind w:firstLine="567"/>
        <w:jc w:val="both"/>
        <w:rPr>
          <w:sz w:val="22"/>
        </w:rPr>
      </w:pPr>
      <w:r>
        <w:rPr>
          <w:color w:val="000000"/>
          <w:sz w:val="22"/>
        </w:rPr>
        <w:t xml:space="preserve">8.5. </w:t>
      </w:r>
      <w:r>
        <w:rPr>
          <w:sz w:val="22"/>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87000000">
      <w:pPr>
        <w:widowControl w:val="1"/>
        <w:ind w:firstLine="567"/>
        <w:jc w:val="both"/>
        <w:rPr>
          <w:sz w:val="22"/>
        </w:rPr>
      </w:pPr>
      <w:r>
        <w:rPr>
          <w:sz w:val="22"/>
        </w:rPr>
        <w:t>8.6. Уплата неустойки (штрафа, пени) не освобождает Стороны от выполнения принятых обязательств.</w:t>
      </w:r>
    </w:p>
    <w:p w14:paraId="88000000">
      <w:pPr>
        <w:widowControl w:val="1"/>
        <w:ind w:firstLine="567"/>
        <w:jc w:val="both"/>
        <w:rPr>
          <w:sz w:val="22"/>
        </w:rPr>
      </w:pPr>
      <w:r>
        <w:rPr>
          <w:sz w:val="22"/>
        </w:rPr>
        <w:t>8.7. Указанная в настоящем разделе неустойка (штрафы, пени) взимается за каждое нарушение в отдельности.</w:t>
      </w:r>
    </w:p>
    <w:p w14:paraId="89000000">
      <w:pPr>
        <w:widowControl w:val="1"/>
        <w:ind w:firstLine="567"/>
        <w:jc w:val="both"/>
        <w:rPr>
          <w:sz w:val="22"/>
        </w:rPr>
      </w:pPr>
      <w:r>
        <w:rPr>
          <w:sz w:val="22"/>
        </w:rPr>
        <w:t>8.8.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8A000000">
      <w:pPr>
        <w:widowControl w:val="1"/>
        <w:ind w:firstLine="567"/>
        <w:jc w:val="both"/>
        <w:rPr>
          <w:sz w:val="22"/>
        </w:rPr>
      </w:pPr>
      <w:r>
        <w:rPr>
          <w:sz w:val="22"/>
        </w:rPr>
        <w:t>8.9. Заказчик вправе взыскать размер начисленной неустойки (штрафов, пени) за счет денежных средств, внесенных Поставщиком в качестве обеспечения исполнения Контракта.</w:t>
      </w:r>
    </w:p>
    <w:p w14:paraId="8B000000">
      <w:pPr>
        <w:widowControl w:val="1"/>
        <w:spacing w:before="120"/>
        <w:ind/>
        <w:jc w:val="center"/>
        <w:rPr>
          <w:b w:val="1"/>
          <w:sz w:val="22"/>
        </w:rPr>
      </w:pPr>
    </w:p>
    <w:p w14:paraId="8C000000">
      <w:pPr>
        <w:widowControl w:val="1"/>
        <w:spacing w:before="120"/>
        <w:ind/>
        <w:jc w:val="center"/>
        <w:rPr>
          <w:b w:val="1"/>
          <w:sz w:val="22"/>
        </w:rPr>
      </w:pPr>
      <w:r>
        <w:rPr>
          <w:b w:val="1"/>
          <w:sz w:val="22"/>
        </w:rPr>
        <w:t>9. Срок действия Контракта</w:t>
      </w:r>
    </w:p>
    <w:p w14:paraId="8D000000">
      <w:pPr>
        <w:widowControl w:val="1"/>
        <w:spacing w:before="120"/>
        <w:ind/>
        <w:jc w:val="center"/>
        <w:rPr>
          <w:b w:val="1"/>
          <w:sz w:val="22"/>
        </w:rPr>
      </w:pPr>
    </w:p>
    <w:p w14:paraId="8E000000">
      <w:pPr>
        <w:widowControl w:val="1"/>
        <w:ind w:firstLine="567"/>
        <w:jc w:val="both"/>
        <w:rPr>
          <w:sz w:val="22"/>
        </w:rPr>
      </w:pPr>
      <w:r>
        <w:rPr>
          <w:sz w:val="22"/>
        </w:rPr>
        <w:t>9.1. Настоящий Контракт действует с момента его размещения в единой информационной системе и подписания Заказчиком и до выполнения Сторонами принятых по Контракту обязательств, но не позднее «31» декабря 2026 года.</w:t>
      </w:r>
    </w:p>
    <w:p w14:paraId="8F000000">
      <w:pPr>
        <w:widowControl w:val="1"/>
        <w:ind w:firstLine="567"/>
        <w:jc w:val="both"/>
        <w:rPr>
          <w:sz w:val="22"/>
        </w:rPr>
      </w:pPr>
      <w:r>
        <w:rPr>
          <w:sz w:val="22"/>
        </w:rPr>
        <w:t>9.2. Обязательства по настоящему Контракту в части оплаты не могут наступать ранее его регистрации в Реестре государственных контрактов.</w:t>
      </w:r>
    </w:p>
    <w:p w14:paraId="90000000">
      <w:pPr>
        <w:widowControl w:val="1"/>
        <w:ind w:firstLine="567"/>
        <w:jc w:val="both"/>
        <w:rPr>
          <w:sz w:val="22"/>
        </w:rPr>
      </w:pPr>
      <w:r>
        <w:rPr>
          <w:sz w:val="22"/>
        </w:rPr>
        <w:t>9.3. Истечение срока действия настоящего Контракта не освобождает Стороны от исполнения обязательств, возникших в период его действия, а также от ответственности за нарушение условий Контракта.</w:t>
      </w:r>
    </w:p>
    <w:p w14:paraId="91000000">
      <w:pPr>
        <w:widowControl w:val="1"/>
        <w:spacing w:before="120"/>
        <w:ind/>
        <w:jc w:val="center"/>
        <w:rPr>
          <w:b w:val="1"/>
          <w:sz w:val="22"/>
        </w:rPr>
      </w:pPr>
    </w:p>
    <w:p w14:paraId="92000000">
      <w:pPr>
        <w:widowControl w:val="1"/>
        <w:spacing w:before="120"/>
        <w:ind/>
        <w:jc w:val="center"/>
        <w:rPr>
          <w:b w:val="1"/>
          <w:sz w:val="22"/>
        </w:rPr>
      </w:pPr>
      <w:r>
        <w:rPr>
          <w:b w:val="1"/>
          <w:sz w:val="22"/>
        </w:rPr>
        <w:t>10. Порядок изменения и расторжения Контракта</w:t>
      </w:r>
    </w:p>
    <w:p w14:paraId="93000000">
      <w:pPr>
        <w:widowControl w:val="1"/>
        <w:spacing w:before="120"/>
        <w:ind/>
        <w:jc w:val="center"/>
        <w:rPr>
          <w:b w:val="1"/>
          <w:sz w:val="22"/>
        </w:rPr>
      </w:pPr>
    </w:p>
    <w:p w14:paraId="94000000">
      <w:pPr>
        <w:widowControl w:val="1"/>
        <w:ind w:firstLine="567"/>
        <w:jc w:val="both"/>
        <w:rPr>
          <w:sz w:val="22"/>
        </w:rPr>
      </w:pPr>
      <w:r>
        <w:rPr>
          <w:sz w:val="22"/>
        </w:rPr>
        <w:t xml:space="preserve">10.1.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14:paraId="95000000">
      <w:pPr>
        <w:widowControl w:val="1"/>
        <w:ind w:firstLine="567"/>
        <w:jc w:val="both"/>
        <w:rPr>
          <w:sz w:val="22"/>
        </w:rPr>
      </w:pPr>
      <w:r>
        <w:rPr>
          <w:sz w:val="22"/>
        </w:rPr>
        <w:t xml:space="preserve">10.2. В случае расторжения Контракта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настоящего Контракта. </w:t>
      </w:r>
    </w:p>
    <w:p w14:paraId="96000000">
      <w:pPr>
        <w:widowControl w:val="1"/>
        <w:ind w:firstLine="567"/>
        <w:jc w:val="both"/>
        <w:rPr>
          <w:color w:val="000000"/>
          <w:sz w:val="22"/>
        </w:rPr>
      </w:pPr>
      <w:r>
        <w:rPr>
          <w:sz w:val="22"/>
        </w:rPr>
        <w:t xml:space="preserve">10.3. Расторжение Контракта допускается по соглашению Сторон, по решению суда, в </w:t>
      </w:r>
      <w:r>
        <w:rPr>
          <w:color w:val="000000"/>
          <w:sz w:val="22"/>
        </w:rPr>
        <w:t>случае одностороннего отказа стороны Контракта от исполнения Контракта в соответствии с действующим законодательством и условиями Контракта.</w:t>
      </w:r>
    </w:p>
    <w:p w14:paraId="97000000">
      <w:pPr>
        <w:widowControl w:val="1"/>
        <w:ind w:firstLine="567"/>
        <w:jc w:val="both"/>
        <w:rPr>
          <w:color w:val="000000"/>
          <w:sz w:val="22"/>
        </w:rPr>
      </w:pPr>
      <w:r>
        <w:rPr>
          <w:caps w:val="1"/>
          <w:color w:val="000000"/>
          <w:sz w:val="22"/>
        </w:rPr>
        <w:t>10.</w:t>
      </w:r>
      <w:r>
        <w:rPr>
          <w:color w:val="000000"/>
          <w:sz w:val="22"/>
        </w:rPr>
        <w:t>4. Решение об одностороннем отказе от исполнения Контракта принимается Заказчиком в следующих случаях:</w:t>
      </w:r>
    </w:p>
    <w:p w14:paraId="98000000">
      <w:pPr>
        <w:widowControl w:val="1"/>
        <w:ind w:firstLine="567"/>
        <w:jc w:val="both"/>
        <w:rPr>
          <w:color w:val="000000"/>
          <w:sz w:val="22"/>
        </w:rPr>
      </w:pPr>
      <w:r>
        <w:rPr>
          <w:color w:val="000000"/>
          <w:sz w:val="22"/>
        </w:rPr>
        <w:t>10.4.1. Если в ходе исполнения Контракта будет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14:paraId="99000000">
      <w:pPr>
        <w:widowControl w:val="1"/>
        <w:ind w:firstLine="567"/>
        <w:jc w:val="both"/>
        <w:rPr>
          <w:color w:val="000000"/>
          <w:sz w:val="22"/>
        </w:rPr>
      </w:pPr>
      <w:r>
        <w:rPr>
          <w:color w:val="000000"/>
          <w:sz w:val="22"/>
        </w:rPr>
        <w:t xml:space="preserve">10.4.2. При неоднократном и/или существенном нарушении сроков поставки Товара. </w:t>
      </w:r>
    </w:p>
    <w:p w14:paraId="9A000000">
      <w:pPr>
        <w:widowControl w:val="1"/>
        <w:ind w:firstLine="567"/>
        <w:jc w:val="both"/>
        <w:rPr>
          <w:sz w:val="22"/>
        </w:rPr>
      </w:pPr>
      <w:r>
        <w:rPr>
          <w:sz w:val="22"/>
        </w:rPr>
        <w:t>10.4.3. В случае, если Поставщик отказывается устранить недостатки, указанные в акте об отказе в приемке поставленного Товара.</w:t>
      </w:r>
    </w:p>
    <w:p w14:paraId="9B000000">
      <w:pPr>
        <w:widowControl w:val="1"/>
        <w:ind w:firstLine="567"/>
        <w:jc w:val="both"/>
        <w:rPr>
          <w:sz w:val="22"/>
        </w:rPr>
      </w:pPr>
      <w:r>
        <w:rPr>
          <w:color w:val="000000"/>
          <w:sz w:val="22"/>
        </w:rPr>
        <w:t>10.5. Решение Заказчика об одностороннем отказе от исполнения Контракта в течение трех рабочих дней с даты принятия указанного решения, размещается в единой информационной системе и направляется Поставщику</w:t>
      </w:r>
      <w:r>
        <w:rPr>
          <w:sz w:val="22"/>
        </w:rPr>
        <w:t xml:space="preserve">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w:t>
      </w:r>
    </w:p>
    <w:p w14:paraId="9C000000">
      <w:pPr>
        <w:widowControl w:val="1"/>
        <w:ind w:firstLine="567"/>
        <w:jc w:val="both"/>
        <w:rPr>
          <w:sz w:val="22"/>
        </w:rPr>
      </w:pPr>
      <w:r>
        <w:rPr>
          <w:sz w:val="22"/>
        </w:rPr>
        <w:t>10.6.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9D000000">
      <w:pPr>
        <w:widowControl w:val="1"/>
        <w:ind w:firstLine="567"/>
        <w:jc w:val="both"/>
        <w:rPr>
          <w:sz w:val="22"/>
        </w:rPr>
      </w:pPr>
      <w:r>
        <w:rPr>
          <w:sz w:val="22"/>
        </w:rPr>
        <w:t xml:space="preserve">10.7. </w:t>
      </w:r>
      <w:bookmarkStart w:id="1" w:name="P12E0"/>
      <w:bookmarkEnd w:id="1"/>
      <w:r>
        <w:rPr>
          <w:sz w:val="22"/>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 44-ФЗ.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bookmarkStart w:id="2" w:name="P12E2"/>
      <w:bookmarkEnd w:id="2"/>
      <w:bookmarkStart w:id="3" w:name="P12F6"/>
      <w:bookmarkEnd w:id="3"/>
    </w:p>
    <w:p w14:paraId="9E000000">
      <w:pPr>
        <w:widowControl w:val="1"/>
        <w:ind w:firstLine="567"/>
        <w:jc w:val="both"/>
        <w:rPr>
          <w:sz w:val="22"/>
        </w:rPr>
      </w:pPr>
      <w:r>
        <w:rPr>
          <w:sz w:val="22"/>
        </w:rPr>
        <w:t>10.8. Информация о Поставщике, с которым Контракт был расторгнут в связи с односторонним отказом Заказчика от исполнения Контракта, включается в реестр недобросовестных поставщиков (подрядчиков, исполнителей).</w:t>
      </w:r>
    </w:p>
    <w:p w14:paraId="9F000000">
      <w:pPr>
        <w:widowControl w:val="1"/>
        <w:ind w:firstLine="567"/>
        <w:jc w:val="both"/>
        <w:rPr>
          <w:sz w:val="22"/>
        </w:rPr>
      </w:pPr>
      <w:r>
        <w:rPr>
          <w:sz w:val="22"/>
        </w:rPr>
        <w:t xml:space="preserve">10.9. </w:t>
      </w:r>
      <w:bookmarkStart w:id="4" w:name="P12F8"/>
      <w:bookmarkEnd w:id="4"/>
      <w:bookmarkStart w:id="5" w:name="P12FA"/>
      <w:bookmarkEnd w:id="5"/>
      <w:bookmarkStart w:id="6" w:name="P12FC"/>
      <w:bookmarkEnd w:id="6"/>
      <w:bookmarkStart w:id="7" w:name="P12FE"/>
      <w:bookmarkEnd w:id="7"/>
      <w:r>
        <w:rPr>
          <w:sz w:val="22"/>
        </w:rPr>
        <w:t xml:space="preserve">Поставщик вправе принять решение об одностороннем отказе от исполнения Контракта по основаниям, предусмотренным </w:t>
      </w:r>
      <w:r>
        <w:rPr>
          <w:sz w:val="22"/>
        </w:rPr>
        <w:fldChar w:fldCharType="begin"/>
      </w:r>
      <w:r>
        <w:rPr>
          <w:sz w:val="22"/>
        </w:rPr>
        <w:instrText>HYPERLINK "kodeks://link/d?nd=9027690&amp;prevdoc=499011838"</w:instrText>
      </w:r>
      <w:r>
        <w:rPr>
          <w:sz w:val="22"/>
        </w:rPr>
        <w:fldChar w:fldCharType="separate"/>
      </w:r>
      <w:r>
        <w:rPr>
          <w:sz w:val="22"/>
        </w:rPr>
        <w:t>Гражданским кодексом Российской Федерации</w:t>
      </w:r>
      <w:r>
        <w:rPr>
          <w:sz w:val="22"/>
        </w:rPr>
        <w:fldChar w:fldCharType="end"/>
      </w:r>
      <w:r>
        <w:rPr>
          <w:sz w:val="22"/>
        </w:rPr>
        <w:t xml:space="preserve"> для одностороннего отказа от исполнения отдельных видов обязательств.</w:t>
      </w:r>
    </w:p>
    <w:p w14:paraId="A0000000">
      <w:pPr>
        <w:widowControl w:val="1"/>
        <w:ind w:firstLine="567"/>
        <w:jc w:val="both"/>
        <w:rPr>
          <w:sz w:val="22"/>
        </w:rPr>
      </w:pPr>
      <w:r>
        <w:rPr>
          <w:sz w:val="22"/>
        </w:rPr>
        <w:t xml:space="preserve">10.10. Решение Поставщика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подтверждения о его вручении Заказчику. Выполнение Поставщиком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Поставщиком подтверждения о вручении Заказчику указанного уведомления. </w:t>
      </w:r>
      <w:bookmarkStart w:id="8" w:name="P1302"/>
      <w:bookmarkEnd w:id="8"/>
    </w:p>
    <w:p w14:paraId="A1000000">
      <w:pPr>
        <w:widowControl w:val="1"/>
        <w:ind w:firstLine="567"/>
        <w:jc w:val="both"/>
        <w:rPr>
          <w:sz w:val="22"/>
        </w:rPr>
      </w:pPr>
      <w:r>
        <w:rPr>
          <w:sz w:val="22"/>
        </w:rPr>
        <w:t>10.11.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A2000000">
      <w:pPr>
        <w:widowControl w:val="1"/>
        <w:ind w:firstLine="567"/>
        <w:jc w:val="both"/>
        <w:rPr>
          <w:sz w:val="22"/>
        </w:rPr>
      </w:pPr>
      <w:bookmarkStart w:id="9" w:name="P1304"/>
      <w:bookmarkEnd w:id="9"/>
      <w:r>
        <w:rPr>
          <w:sz w:val="22"/>
        </w:rPr>
        <w:t>10.12.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A3000000">
      <w:pPr>
        <w:widowControl w:val="1"/>
        <w:spacing w:before="120"/>
        <w:ind/>
        <w:jc w:val="center"/>
        <w:rPr>
          <w:b w:val="1"/>
          <w:sz w:val="22"/>
        </w:rPr>
      </w:pPr>
    </w:p>
    <w:p w14:paraId="A4000000">
      <w:pPr>
        <w:widowControl w:val="1"/>
        <w:spacing w:before="120"/>
        <w:ind/>
        <w:jc w:val="center"/>
        <w:rPr>
          <w:b w:val="1"/>
          <w:sz w:val="22"/>
        </w:rPr>
      </w:pPr>
      <w:r>
        <w:rPr>
          <w:b w:val="1"/>
          <w:sz w:val="22"/>
        </w:rPr>
        <w:t>11. Обстоятельства непреодолимой силы (форс-мажор)</w:t>
      </w:r>
    </w:p>
    <w:p w14:paraId="A5000000">
      <w:pPr>
        <w:widowControl w:val="1"/>
        <w:spacing w:before="120"/>
        <w:ind/>
        <w:jc w:val="center"/>
        <w:rPr>
          <w:b w:val="1"/>
          <w:sz w:val="22"/>
        </w:rPr>
      </w:pPr>
    </w:p>
    <w:p w14:paraId="A6000000">
      <w:pPr>
        <w:widowControl w:val="1"/>
        <w:ind w:firstLine="567"/>
        <w:jc w:val="both"/>
        <w:rPr>
          <w:sz w:val="22"/>
        </w:rPr>
      </w:pPr>
      <w:r>
        <w:rPr>
          <w:sz w:val="22"/>
        </w:rPr>
        <w:t xml:space="preserve">11.1.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14:paraId="A7000000">
      <w:pPr>
        <w:widowControl w:val="1"/>
        <w:ind w:firstLine="567"/>
        <w:jc w:val="both"/>
        <w:rPr>
          <w:sz w:val="22"/>
        </w:rPr>
      </w:pPr>
      <w:r>
        <w:rPr>
          <w:sz w:val="22"/>
        </w:rPr>
        <w:t>11.2.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14:paraId="A8000000">
      <w:pPr>
        <w:widowControl w:val="1"/>
        <w:spacing w:before="120"/>
        <w:ind/>
        <w:jc w:val="center"/>
        <w:rPr>
          <w:b w:val="1"/>
          <w:sz w:val="22"/>
        </w:rPr>
      </w:pPr>
    </w:p>
    <w:p w14:paraId="A9000000">
      <w:pPr>
        <w:widowControl w:val="1"/>
        <w:spacing w:before="120"/>
        <w:ind/>
        <w:jc w:val="center"/>
        <w:rPr>
          <w:b w:val="1"/>
          <w:sz w:val="22"/>
        </w:rPr>
      </w:pPr>
      <w:r>
        <w:rPr>
          <w:b w:val="1"/>
          <w:sz w:val="22"/>
        </w:rPr>
        <w:t>12. Порядок рассмотрения споров</w:t>
      </w:r>
    </w:p>
    <w:p w14:paraId="AA000000">
      <w:pPr>
        <w:widowControl w:val="1"/>
        <w:spacing w:before="120"/>
        <w:ind/>
        <w:jc w:val="center"/>
        <w:rPr>
          <w:b w:val="1"/>
          <w:sz w:val="22"/>
        </w:rPr>
      </w:pPr>
    </w:p>
    <w:p w14:paraId="AB000000">
      <w:pPr>
        <w:widowControl w:val="1"/>
        <w:ind w:firstLine="567"/>
        <w:jc w:val="both"/>
        <w:rPr>
          <w:sz w:val="22"/>
        </w:rPr>
      </w:pPr>
      <w:r>
        <w:rPr>
          <w:sz w:val="22"/>
        </w:rPr>
        <w:t>12.1.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AC000000">
      <w:pPr>
        <w:widowControl w:val="1"/>
        <w:ind w:firstLine="567"/>
        <w:jc w:val="both"/>
        <w:rPr>
          <w:b w:val="1"/>
          <w:sz w:val="22"/>
        </w:rPr>
      </w:pPr>
      <w:r>
        <w:rPr>
          <w:sz w:val="22"/>
        </w:rPr>
        <w:t>12.2. В случае невозможности разрешения разногласий путем переговоров они могут быть переданы на рассмотрение в Арбитражный суд города Санкт-Петербурга и Ленинградской области.</w:t>
      </w:r>
    </w:p>
    <w:p w14:paraId="AD000000">
      <w:pPr>
        <w:widowControl w:val="1"/>
        <w:spacing w:before="120"/>
        <w:ind/>
        <w:jc w:val="center"/>
        <w:rPr>
          <w:b w:val="1"/>
          <w:caps w:val="1"/>
          <w:color w:val="000000"/>
          <w:sz w:val="22"/>
        </w:rPr>
      </w:pPr>
    </w:p>
    <w:p w14:paraId="AE000000">
      <w:pPr>
        <w:widowControl w:val="1"/>
        <w:spacing w:before="120"/>
        <w:ind/>
        <w:jc w:val="center"/>
        <w:rPr>
          <w:b w:val="1"/>
          <w:color w:val="000000"/>
          <w:sz w:val="22"/>
        </w:rPr>
      </w:pPr>
      <w:r>
        <w:rPr>
          <w:b w:val="1"/>
          <w:caps w:val="1"/>
          <w:color w:val="000000"/>
          <w:sz w:val="22"/>
        </w:rPr>
        <w:t>13. А</w:t>
      </w:r>
      <w:r>
        <w:rPr>
          <w:b w:val="1"/>
          <w:color w:val="000000"/>
          <w:sz w:val="22"/>
        </w:rPr>
        <w:t>нтикоррупционная оговорка</w:t>
      </w:r>
    </w:p>
    <w:p w14:paraId="AF000000">
      <w:pPr>
        <w:widowControl w:val="1"/>
        <w:spacing w:before="120"/>
        <w:ind/>
        <w:jc w:val="center"/>
        <w:rPr>
          <w:b w:val="1"/>
          <w:color w:val="000000"/>
          <w:sz w:val="22"/>
        </w:rPr>
      </w:pPr>
    </w:p>
    <w:p w14:paraId="B0000000">
      <w:pPr>
        <w:widowControl w:val="1"/>
        <w:ind w:firstLine="567"/>
        <w:jc w:val="both"/>
        <w:rPr>
          <w:color w:val="000000"/>
          <w:sz w:val="22"/>
        </w:rPr>
      </w:pPr>
      <w:r>
        <w:rPr>
          <w:color w:val="000000"/>
          <w:sz w:val="22"/>
        </w:rPr>
        <w:t>13.1.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B1000000">
      <w:pPr>
        <w:widowControl w:val="1"/>
        <w:ind w:firstLine="567"/>
        <w:jc w:val="both"/>
        <w:rPr>
          <w:color w:val="000000"/>
          <w:sz w:val="22"/>
        </w:rPr>
      </w:pPr>
      <w:r>
        <w:rPr>
          <w:color w:val="000000"/>
          <w:sz w:val="22"/>
        </w:rPr>
        <w:t>13.1.1.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B2000000">
      <w:pPr>
        <w:widowControl w:val="1"/>
        <w:ind w:firstLine="567"/>
        <w:jc w:val="both"/>
        <w:rPr>
          <w:color w:val="000000"/>
          <w:sz w:val="22"/>
        </w:rPr>
      </w:pPr>
      <w:r>
        <w:rPr>
          <w:color w:val="000000"/>
          <w:sz w:val="22"/>
        </w:rPr>
        <w:t>13.1.2.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B3000000">
      <w:pPr>
        <w:widowControl w:val="1"/>
        <w:ind w:firstLine="567"/>
        <w:jc w:val="both"/>
        <w:rPr>
          <w:color w:val="000000"/>
          <w:sz w:val="22"/>
        </w:rPr>
      </w:pPr>
      <w:r>
        <w:rPr>
          <w:color w:val="000000"/>
          <w:sz w:val="22"/>
        </w:rPr>
        <w:t>13.1.3. Не совершать иных действий, нарушающих антикоррупционное законодательство Российской Федерации.</w:t>
      </w:r>
    </w:p>
    <w:p w14:paraId="B4000000">
      <w:pPr>
        <w:widowControl w:val="1"/>
        <w:spacing w:before="120"/>
        <w:ind/>
        <w:jc w:val="center"/>
        <w:rPr>
          <w:b w:val="1"/>
          <w:sz w:val="22"/>
        </w:rPr>
      </w:pPr>
    </w:p>
    <w:p w14:paraId="B5000000">
      <w:pPr>
        <w:widowControl w:val="1"/>
        <w:spacing w:before="120"/>
        <w:ind/>
        <w:jc w:val="center"/>
        <w:rPr>
          <w:b w:val="1"/>
          <w:sz w:val="22"/>
        </w:rPr>
      </w:pPr>
      <w:r>
        <w:rPr>
          <w:b w:val="1"/>
          <w:sz w:val="22"/>
        </w:rPr>
        <w:t>14. Прочие условия</w:t>
      </w:r>
    </w:p>
    <w:p w14:paraId="B6000000">
      <w:pPr>
        <w:widowControl w:val="1"/>
        <w:spacing w:before="120"/>
        <w:ind/>
        <w:jc w:val="center"/>
        <w:rPr>
          <w:b w:val="1"/>
          <w:sz w:val="22"/>
        </w:rPr>
      </w:pPr>
    </w:p>
    <w:p w14:paraId="B7000000">
      <w:pPr>
        <w:widowControl w:val="1"/>
        <w:ind w:firstLine="567"/>
        <w:jc w:val="both"/>
        <w:rPr>
          <w:sz w:val="22"/>
        </w:rPr>
      </w:pPr>
      <w:r>
        <w:rPr>
          <w:sz w:val="22"/>
        </w:rPr>
        <w:t xml:space="preserve">14.1. </w:t>
      </w:r>
      <w:r>
        <w:rPr>
          <w:sz w:val="22"/>
        </w:rPr>
        <w:t>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электронных площадок Сторон, а также, по соглашению Сторон, в двух экземплярах на бумажном носителе для каждой из Сторон.</w:t>
      </w:r>
    </w:p>
    <w:p w14:paraId="B8000000">
      <w:pPr>
        <w:widowControl w:val="1"/>
        <w:ind w:firstLine="567"/>
        <w:jc w:val="both"/>
        <w:rPr>
          <w:sz w:val="22"/>
        </w:rPr>
      </w:pPr>
      <w:r>
        <w:rPr>
          <w:sz w:val="22"/>
        </w:rPr>
        <w:t>14.2.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B9000000">
      <w:pPr>
        <w:widowControl w:val="1"/>
        <w:ind w:firstLine="567"/>
        <w:jc w:val="both"/>
        <w:rPr>
          <w:sz w:val="22"/>
        </w:rPr>
      </w:pPr>
      <w:r>
        <w:rPr>
          <w:sz w:val="22"/>
        </w:rPr>
        <w:t>14.3. По вопросам, не предусмотренным настоящим Контрактом, Стороны руководствуются действующим законодательством Российской Федерации.</w:t>
      </w:r>
    </w:p>
    <w:p w14:paraId="BA000000">
      <w:pPr>
        <w:widowControl w:val="1"/>
        <w:ind w:firstLine="567"/>
        <w:jc w:val="both"/>
        <w:rPr>
          <w:sz w:val="22"/>
        </w:rPr>
      </w:pPr>
      <w:r>
        <w:rPr>
          <w:sz w:val="22"/>
        </w:rPr>
        <w:t>14.4. В случае изменения юридического или фактического адреса, банковских или иных реквизитов, Стороны обязаны уведомить друг друга за пять дней до предполагаемых событий.</w:t>
      </w:r>
    </w:p>
    <w:p w14:paraId="BB000000">
      <w:pPr>
        <w:widowControl w:val="1"/>
        <w:spacing w:before="120"/>
        <w:ind/>
        <w:jc w:val="center"/>
        <w:rPr>
          <w:b w:val="1"/>
          <w:sz w:val="22"/>
        </w:rPr>
      </w:pPr>
      <w:r>
        <w:rPr>
          <w:b w:val="1"/>
          <w:sz w:val="22"/>
        </w:rPr>
        <w:t>15. Приложения к Контракту</w:t>
      </w:r>
    </w:p>
    <w:p w14:paraId="BC000000">
      <w:pPr>
        <w:widowControl w:val="1"/>
        <w:ind w:firstLine="567"/>
        <w:jc w:val="both"/>
        <w:rPr>
          <w:sz w:val="22"/>
        </w:rPr>
      </w:pPr>
      <w:r>
        <w:rPr>
          <w:sz w:val="22"/>
        </w:rPr>
        <w:t>15.1. Приложение № 1 Расчет цены контракта</w:t>
      </w:r>
    </w:p>
    <w:p w14:paraId="BD000000">
      <w:pPr>
        <w:widowControl w:val="1"/>
        <w:ind w:firstLine="567"/>
        <w:jc w:val="both"/>
        <w:rPr>
          <w:sz w:val="22"/>
        </w:rPr>
      </w:pPr>
      <w:r>
        <w:rPr>
          <w:sz w:val="22"/>
        </w:rPr>
        <w:t>15.2. Приложение №2 Описанию объекта закупки</w:t>
      </w:r>
    </w:p>
    <w:p w14:paraId="BE000000">
      <w:pPr>
        <w:widowControl w:val="1"/>
        <w:ind w:firstLine="567"/>
        <w:jc w:val="center"/>
        <w:rPr>
          <w:sz w:val="22"/>
        </w:rPr>
      </w:pPr>
      <w:r>
        <w:drawing>
          <wp:inline>
            <wp:extent cx="5943600" cy="161925"/>
            <wp:effectExtent b="0" l="0" r="0" t="0"/>
            <wp:docPr hidden="false" id="6" name="Picture 6"/>
            <a:graphic>
              <a:graphicData uri="http://schemas.openxmlformats.org/drawingml/2006/picture">
                <pic:pic>
                  <pic:nvPicPr>
                    <pic:cNvPr hidden="false" id="5" name="Picture 5"/>
                    <pic:cNvPicPr preferRelativeResize="true"/>
                  </pic:nvPicPr>
                  <pic:blipFill>
                    <a:blip r:embed="rId7"/>
                    <a:srcRect b="0" l="0" r="0" t="0"/>
                    <a:stretch/>
                  </pic:blipFill>
                  <pic:spPr>
                    <a:xfrm flipH="false" flipV="false" rot="0">
                      <a:ext cx="5943600" cy="161925"/>
                    </a:xfrm>
                    <a:prstGeom prst="rect"/>
                  </pic:spPr>
                </pic:pic>
              </a:graphicData>
            </a:graphic>
          </wp:inline>
        </w:drawing>
      </w:r>
    </w:p>
    <w:tbl>
      <w:tblPr>
        <w:tblStyle w:val="Style_5"/>
        <w:tblpPr w:bottomFromText="0" w:horzAnchor="margin" w:leftFromText="180" w:rightFromText="180" w:tblpXSpec="center" w:tblpY="811" w:topFromText="0" w:vertAnchor="text"/>
        <w:tblW w:type="auto" w:w="0"/>
        <w:jc w:val="center"/>
        <w:tblLayout w:type="fixed"/>
        <w:tblCellMar>
          <w:top w:type="dxa" w:w="102"/>
          <w:left w:type="dxa" w:w="62"/>
          <w:bottom w:type="dxa" w:w="102"/>
          <w:right w:type="dxa" w:w="62"/>
        </w:tblCellMar>
      </w:tblPr>
      <w:tblGrid>
        <w:gridCol w:w="5756"/>
        <w:gridCol w:w="5020"/>
      </w:tblGrid>
      <w:tr>
        <w:tc>
          <w:tcPr>
            <w:tcW w:type="dxa" w:w="5756"/>
            <w:tcMar>
              <w:top w:type="dxa" w:w="102"/>
              <w:left w:type="dxa" w:w="62"/>
              <w:bottom w:type="dxa" w:w="102"/>
              <w:right w:type="dxa" w:w="62"/>
            </w:tcMar>
          </w:tcPr>
          <w:p w14:paraId="BF000000">
            <w:r>
              <w:t>Заказчик:</w:t>
            </w:r>
          </w:p>
          <w:p w14:paraId="C0000000">
            <w:r>
              <w:t>Государственное бюджетное общеобразовательное учреждение Петергофская гимназия императора Александра II</w:t>
            </w:r>
          </w:p>
          <w:p w14:paraId="C1000000">
            <w:r>
              <w:t>ОГРН  1027808914704</w:t>
            </w:r>
          </w:p>
          <w:p w14:paraId="C2000000">
            <w:r>
              <w:t>ОКТМО  40395000</w:t>
            </w:r>
          </w:p>
          <w:p w14:paraId="C3000000">
            <w:r>
              <w:t>Юридический адрес:</w:t>
            </w:r>
          </w:p>
          <w:p w14:paraId="C4000000">
            <w:r>
              <w:t>198510, Санкт-Петербург, г.Петергоф</w:t>
            </w:r>
          </w:p>
          <w:p w14:paraId="C5000000">
            <w:r>
              <w:t>Санкт-Петербургский пр., дом 43 литера А</w:t>
            </w:r>
          </w:p>
          <w:p w14:paraId="C6000000">
            <w:r>
              <w:t>ИНН  7819019913</w:t>
            </w:r>
          </w:p>
          <w:p w14:paraId="C7000000">
            <w:r>
              <w:t>КПП  781901001</w:t>
            </w:r>
          </w:p>
          <w:p w14:paraId="C8000000">
            <w:r>
              <w:t>Платежные реквизиты:</w:t>
            </w:r>
          </w:p>
          <w:p w14:paraId="C9000000">
            <w:r>
              <w:t>ОКЦ № 1 Северо-Западного ГУ Банка</w:t>
            </w:r>
          </w:p>
          <w:p w14:paraId="CA000000">
            <w:r>
              <w:t>России//УФК по г. Санкт-Петербургу, г. Санкт-Петербург</w:t>
            </w:r>
          </w:p>
          <w:p w14:paraId="CB000000">
            <w:r>
              <w:t>Корреспондентский счет:</w:t>
            </w:r>
          </w:p>
          <w:p w14:paraId="CC000000">
            <w:r>
              <w:t>40102810945370000005</w:t>
            </w:r>
          </w:p>
          <w:p w14:paraId="CD000000">
            <w:r>
              <w:t>БИК: 014030106</w:t>
            </w:r>
          </w:p>
          <w:p w14:paraId="CE000000">
            <w:r>
              <w:t>Расчетный счет: 03224643400000007200</w:t>
            </w:r>
          </w:p>
          <w:p w14:paraId="CF000000">
            <w:r>
              <w:t>Комитет финансов Санкт-Петербурга</w:t>
            </w:r>
          </w:p>
          <w:p w14:paraId="D0000000">
            <w:r>
              <w:t>(Петергофская гимназия, л/с 0631017)</w:t>
            </w:r>
          </w:p>
          <w:p w14:paraId="D1000000"/>
          <w:p w14:paraId="D2000000">
            <w:pPr>
              <w:rPr>
                <w:sz w:val="22"/>
              </w:rPr>
            </w:pPr>
            <w:r>
              <w:t xml:space="preserve">Директор           </w:t>
            </w:r>
            <w:r>
              <w:tab/>
            </w:r>
            <w:r>
              <w:t>И. П. Моисеенко</w:t>
            </w:r>
          </w:p>
          <w:p w14:paraId="D3000000">
            <w:pPr>
              <w:rPr>
                <w:sz w:val="22"/>
              </w:rPr>
            </w:pPr>
            <w:r>
              <w:rPr>
                <w:caps w:val="1"/>
              </w:rPr>
              <w:t>(подписано ЭЦП)</w:t>
            </w:r>
          </w:p>
        </w:tc>
        <w:tc>
          <w:tcPr>
            <w:tcW w:type="dxa" w:w="5020"/>
            <w:tcMar>
              <w:top w:type="dxa" w:w="102"/>
              <w:left w:type="dxa" w:w="62"/>
              <w:bottom w:type="dxa" w:w="102"/>
              <w:right w:type="dxa" w:w="62"/>
            </w:tcMar>
          </w:tcPr>
          <w:p w14:paraId="D4000000">
            <w:pPr>
              <w:rPr>
                <w:sz w:val="22"/>
              </w:rPr>
            </w:pPr>
            <w:r>
              <w:rPr>
                <w:sz w:val="22"/>
              </w:rPr>
              <w:t>Поставщик:</w:t>
            </w:r>
          </w:p>
          <w:p w14:paraId="D5000000">
            <w:pPr>
              <w:pStyle w:val="Style_6"/>
              <w:widowControl w:val="1"/>
              <w:ind w:firstLine="0" w:left="0" w:right="0"/>
              <w:rPr>
                <w:rFonts w:ascii="Times New Roman" w:hAnsi="Times New Roman"/>
                <w:caps w:val="1"/>
              </w:rPr>
            </w:pPr>
          </w:p>
          <w:p w14:paraId="D6000000">
            <w:pPr>
              <w:pStyle w:val="Style_6"/>
              <w:widowControl w:val="1"/>
              <w:ind w:firstLine="0" w:left="0" w:right="0"/>
              <w:rPr>
                <w:rFonts w:ascii="Times New Roman" w:hAnsi="Times New Roman"/>
                <w:caps w:val="1"/>
              </w:rPr>
            </w:pPr>
          </w:p>
          <w:p w14:paraId="D7000000">
            <w:pPr>
              <w:pStyle w:val="Style_6"/>
              <w:widowControl w:val="1"/>
              <w:ind w:firstLine="0" w:left="0" w:right="0"/>
              <w:rPr>
                <w:rFonts w:ascii="Times New Roman" w:hAnsi="Times New Roman"/>
                <w:caps w:val="1"/>
              </w:rPr>
            </w:pPr>
          </w:p>
          <w:p w14:paraId="D8000000">
            <w:pPr>
              <w:pStyle w:val="Style_6"/>
              <w:widowControl w:val="1"/>
              <w:ind w:firstLine="0" w:left="0" w:right="0"/>
              <w:rPr>
                <w:rFonts w:ascii="Times New Roman" w:hAnsi="Times New Roman"/>
                <w:caps w:val="1"/>
              </w:rPr>
            </w:pPr>
          </w:p>
          <w:p w14:paraId="D9000000">
            <w:pPr>
              <w:pStyle w:val="Style_6"/>
              <w:widowControl w:val="1"/>
              <w:ind w:firstLine="0" w:left="0" w:right="0"/>
              <w:rPr>
                <w:rFonts w:ascii="Times New Roman" w:hAnsi="Times New Roman"/>
                <w:caps w:val="1"/>
              </w:rPr>
            </w:pPr>
          </w:p>
          <w:p w14:paraId="DA000000">
            <w:pPr>
              <w:pStyle w:val="Style_6"/>
              <w:widowControl w:val="1"/>
              <w:ind w:firstLine="0" w:left="0" w:right="0"/>
              <w:rPr>
                <w:rFonts w:ascii="Times New Roman" w:hAnsi="Times New Roman"/>
                <w:caps w:val="1"/>
              </w:rPr>
            </w:pPr>
          </w:p>
          <w:p w14:paraId="DB000000">
            <w:pPr>
              <w:pStyle w:val="Style_6"/>
              <w:widowControl w:val="1"/>
              <w:ind w:firstLine="0" w:left="0" w:right="0"/>
              <w:rPr>
                <w:rFonts w:ascii="Times New Roman" w:hAnsi="Times New Roman"/>
                <w:caps w:val="1"/>
              </w:rPr>
            </w:pPr>
          </w:p>
          <w:p w14:paraId="DC000000">
            <w:pPr>
              <w:pStyle w:val="Style_6"/>
              <w:widowControl w:val="1"/>
              <w:ind w:firstLine="0" w:left="0" w:right="0"/>
              <w:rPr>
                <w:rFonts w:ascii="Times New Roman" w:hAnsi="Times New Roman"/>
                <w:caps w:val="1"/>
              </w:rPr>
            </w:pPr>
          </w:p>
          <w:p w14:paraId="DD000000">
            <w:pPr>
              <w:pStyle w:val="Style_6"/>
              <w:widowControl w:val="1"/>
              <w:ind w:firstLine="0" w:left="0" w:right="0"/>
              <w:rPr>
                <w:rFonts w:ascii="Times New Roman" w:hAnsi="Times New Roman"/>
                <w:caps w:val="1"/>
              </w:rPr>
            </w:pPr>
          </w:p>
          <w:p w14:paraId="DE000000">
            <w:pPr>
              <w:pStyle w:val="Style_6"/>
              <w:widowControl w:val="1"/>
              <w:ind w:firstLine="0" w:left="0" w:right="0"/>
              <w:rPr>
                <w:rFonts w:ascii="Times New Roman" w:hAnsi="Times New Roman"/>
                <w:caps w:val="1"/>
              </w:rPr>
            </w:pPr>
          </w:p>
          <w:p w14:paraId="DF000000">
            <w:pPr>
              <w:pStyle w:val="Style_6"/>
              <w:widowControl w:val="1"/>
              <w:ind w:firstLine="0" w:left="0" w:right="0"/>
              <w:rPr>
                <w:rFonts w:ascii="Times New Roman" w:hAnsi="Times New Roman"/>
                <w:caps w:val="1"/>
              </w:rPr>
            </w:pPr>
          </w:p>
          <w:p w14:paraId="E0000000">
            <w:pPr>
              <w:pStyle w:val="Style_6"/>
              <w:widowControl w:val="1"/>
              <w:ind w:firstLine="0" w:left="0" w:right="0"/>
              <w:rPr>
                <w:rFonts w:ascii="Times New Roman" w:hAnsi="Times New Roman"/>
                <w:caps w:val="1"/>
              </w:rPr>
            </w:pPr>
          </w:p>
          <w:p w14:paraId="E1000000">
            <w:pPr>
              <w:pStyle w:val="Style_6"/>
              <w:widowControl w:val="1"/>
              <w:ind w:firstLine="0" w:left="0" w:right="0"/>
              <w:rPr>
                <w:rFonts w:ascii="Times New Roman" w:hAnsi="Times New Roman"/>
                <w:caps w:val="1"/>
              </w:rPr>
            </w:pPr>
          </w:p>
          <w:p w14:paraId="E2000000">
            <w:pPr>
              <w:pStyle w:val="Style_6"/>
              <w:widowControl w:val="1"/>
              <w:ind w:firstLine="0" w:left="0" w:right="0"/>
              <w:rPr>
                <w:rFonts w:ascii="Times New Roman" w:hAnsi="Times New Roman"/>
                <w:caps w:val="1"/>
              </w:rPr>
            </w:pPr>
          </w:p>
          <w:p w14:paraId="E3000000">
            <w:pPr>
              <w:pStyle w:val="Style_6"/>
              <w:widowControl w:val="1"/>
              <w:ind w:firstLine="0" w:left="0" w:right="0"/>
              <w:rPr>
                <w:rFonts w:ascii="Times New Roman" w:hAnsi="Times New Roman"/>
                <w:caps w:val="1"/>
              </w:rPr>
            </w:pPr>
          </w:p>
          <w:p w14:paraId="E4000000">
            <w:pPr>
              <w:pStyle w:val="Style_6"/>
              <w:widowControl w:val="1"/>
              <w:ind w:firstLine="0" w:left="0" w:right="0"/>
              <w:rPr>
                <w:rFonts w:ascii="Times New Roman" w:hAnsi="Times New Roman"/>
                <w:caps w:val="1"/>
              </w:rPr>
            </w:pPr>
          </w:p>
          <w:p w14:paraId="E5000000">
            <w:pPr>
              <w:pStyle w:val="Style_6"/>
              <w:widowControl w:val="1"/>
              <w:ind w:firstLine="0" w:left="0" w:right="0"/>
              <w:rPr>
                <w:rFonts w:ascii="Times New Roman" w:hAnsi="Times New Roman"/>
                <w:caps w:val="1"/>
              </w:rPr>
            </w:pPr>
          </w:p>
          <w:p w14:paraId="E6000000">
            <w:pPr>
              <w:pStyle w:val="Style_6"/>
              <w:widowControl w:val="1"/>
              <w:ind w:firstLine="0" w:left="0" w:right="0"/>
              <w:rPr>
                <w:rFonts w:ascii="Times New Roman" w:hAnsi="Times New Roman"/>
                <w:caps w:val="1"/>
              </w:rPr>
            </w:pPr>
          </w:p>
          <w:p w14:paraId="E7000000">
            <w:pPr>
              <w:pStyle w:val="Style_6"/>
              <w:widowControl w:val="1"/>
              <w:ind w:firstLine="0" w:left="0" w:right="0"/>
              <w:rPr>
                <w:rFonts w:ascii="Times New Roman" w:hAnsi="Times New Roman"/>
                <w:caps w:val="1"/>
              </w:rPr>
            </w:pPr>
          </w:p>
          <w:p w14:paraId="E8000000">
            <w:pPr>
              <w:pStyle w:val="Style_6"/>
              <w:widowControl w:val="1"/>
              <w:ind w:firstLine="0" w:left="0" w:right="0"/>
              <w:rPr>
                <w:rFonts w:ascii="Times New Roman" w:hAnsi="Times New Roman"/>
                <w:caps w:val="1"/>
              </w:rPr>
            </w:pPr>
          </w:p>
          <w:p w14:paraId="E9000000">
            <w:pPr>
              <w:pStyle w:val="Style_6"/>
              <w:widowControl w:val="1"/>
              <w:ind w:firstLine="0" w:left="0" w:right="0"/>
              <w:rPr>
                <w:rFonts w:ascii="Times New Roman" w:hAnsi="Times New Roman"/>
                <w:caps w:val="1"/>
              </w:rPr>
            </w:pPr>
          </w:p>
          <w:p w14:paraId="EA000000">
            <w:pPr>
              <w:pStyle w:val="Style_6"/>
              <w:widowControl w:val="1"/>
              <w:ind w:firstLine="0" w:left="0" w:right="0"/>
              <w:rPr>
                <w:rFonts w:ascii="Times New Roman" w:hAnsi="Times New Roman"/>
                <w:caps w:val="1"/>
              </w:rPr>
            </w:pPr>
          </w:p>
          <w:p w14:paraId="EB000000">
            <w:pPr>
              <w:pStyle w:val="Style_6"/>
              <w:widowControl w:val="1"/>
              <w:ind w:firstLine="0" w:left="0" w:right="0"/>
              <w:rPr>
                <w:rFonts w:ascii="Times New Roman" w:hAnsi="Times New Roman"/>
                <w:caps w:val="1"/>
              </w:rPr>
            </w:pPr>
          </w:p>
          <w:p w14:paraId="EC000000">
            <w:pPr>
              <w:pStyle w:val="Style_6"/>
              <w:widowControl w:val="1"/>
              <w:ind w:firstLine="0" w:left="0" w:right="0"/>
              <w:rPr>
                <w:rFonts w:ascii="Times New Roman" w:hAnsi="Times New Roman"/>
                <w:color w:val="000000"/>
              </w:rPr>
            </w:pPr>
            <w:r>
              <w:rPr>
                <w:rFonts w:ascii="Times New Roman" w:hAnsi="Times New Roman"/>
                <w:caps w:val="1"/>
              </w:rPr>
              <w:t xml:space="preserve"> (подписано ЭЦП)</w:t>
            </w:r>
          </w:p>
          <w:p w14:paraId="ED000000">
            <w:pPr>
              <w:rPr>
                <w:sz w:val="22"/>
              </w:rPr>
            </w:pPr>
          </w:p>
        </w:tc>
      </w:tr>
    </w:tbl>
    <w:p w14:paraId="EE000000">
      <w:pPr>
        <w:rPr>
          <w:b w:val="1"/>
          <w:sz w:val="22"/>
        </w:rPr>
      </w:pPr>
    </w:p>
    <w:p w14:paraId="EF000000">
      <w:pPr>
        <w:sectPr>
          <w:footerReference r:id="rId2" w:type="default"/>
          <w:footerReference r:id="rId1" w:type="first"/>
          <w:footerReference r:id="rId6" w:type="even"/>
          <w:pgSz w:h="16838" w:orient="portrait" w:w="11906"/>
          <w:pgMar w:bottom="567" w:footer="0" w:gutter="0" w:header="0" w:left="1134" w:right="454" w:top="567"/>
        </w:sectPr>
      </w:pPr>
    </w:p>
    <w:p w14:paraId="F0000000">
      <w:r>
        <w:t>Приложение № 1 к Контракту</w:t>
      </w:r>
    </w:p>
    <w:p w14:paraId="F1000000">
      <w:pPr>
        <w:pStyle w:val="Style_3"/>
        <w:widowControl w:val="1"/>
        <w:ind w:firstLine="142" w:left="-426"/>
        <w:jc w:val="right"/>
      </w:pPr>
      <w:r>
        <w:t xml:space="preserve">от « »             2026 г. № </w:t>
      </w:r>
      <w:r>
        <w:t>____</w:t>
      </w:r>
      <w:r>
        <w:t>/26</w:t>
      </w:r>
    </w:p>
    <w:p w14:paraId="F2000000">
      <w:pPr>
        <w:widowControl w:val="1"/>
        <w:ind/>
        <w:jc w:val="center"/>
        <w:rPr>
          <w:b w:val="1"/>
        </w:rPr>
      </w:pPr>
      <w:r>
        <w:rPr>
          <w:b w:val="1"/>
        </w:rPr>
        <w:t>Расчет цены контракта</w:t>
      </w:r>
    </w:p>
    <w:tbl>
      <w:tblPr>
        <w:tblStyle w:val="Style_5"/>
        <w:tblW w:type="auto" w:w="0"/>
        <w:tblInd w:type="dxa" w:w="108"/>
        <w:tblLayout w:type="fixed"/>
      </w:tblPr>
      <w:tblGrid>
        <w:gridCol w:w="610"/>
        <w:gridCol w:w="2822"/>
        <w:gridCol w:w="1988"/>
        <w:gridCol w:w="2270"/>
        <w:gridCol w:w="1276"/>
        <w:gridCol w:w="1275"/>
        <w:gridCol w:w="1701"/>
        <w:gridCol w:w="2133"/>
        <w:gridCol w:w="1627"/>
      </w:tblGrid>
      <w:tr>
        <w:trPr>
          <w:trHeight w:hRule="atLeast" w:val="2438"/>
        </w:trPr>
        <w:tc>
          <w:tcPr>
            <w:tcW w:type="dxa" w:w="610"/>
            <w:tcBorders>
              <w:top w:color="000000" w:sz="4" w:val="single"/>
              <w:left w:color="000000" w:sz="4" w:val="single"/>
              <w:bottom w:color="000000" w:sz="4" w:val="single"/>
              <w:right w:color="000000" w:sz="4" w:val="single"/>
            </w:tcBorders>
          </w:tcPr>
          <w:p w14:paraId="F3000000">
            <w:pPr>
              <w:widowControl w:val="1"/>
              <w:ind/>
              <w:jc w:val="right"/>
              <w:rPr>
                <w:b w:val="1"/>
              </w:rPr>
            </w:pPr>
            <w:r>
              <w:rPr>
                <w:b w:val="1"/>
              </w:rPr>
              <w:t>№ п/п</w:t>
            </w:r>
          </w:p>
        </w:tc>
        <w:tc>
          <w:tcPr>
            <w:tcW w:type="dxa" w:w="2822"/>
            <w:tcBorders>
              <w:top w:color="000000" w:sz="4" w:val="single"/>
              <w:left w:color="000000" w:sz="4" w:val="single"/>
              <w:bottom w:color="000000" w:sz="4" w:val="single"/>
              <w:right w:color="000000" w:sz="4" w:val="single"/>
            </w:tcBorders>
          </w:tcPr>
          <w:p w14:paraId="F4000000">
            <w:pPr>
              <w:rPr>
                <w:b w:val="1"/>
              </w:rPr>
            </w:pPr>
            <w:r>
              <w:rPr>
                <w:b w:val="1"/>
              </w:rPr>
              <w:t>Наименование товара</w:t>
            </w:r>
          </w:p>
        </w:tc>
        <w:tc>
          <w:tcPr>
            <w:tcW w:type="dxa" w:w="1988"/>
            <w:tcBorders>
              <w:top w:color="000000" w:sz="4" w:val="single"/>
              <w:left w:color="000000" w:sz="4" w:val="single"/>
              <w:bottom w:color="000000" w:sz="4" w:val="single"/>
              <w:right w:color="000000" w:sz="4" w:val="single"/>
            </w:tcBorders>
          </w:tcPr>
          <w:p w14:paraId="F5000000">
            <w:pPr>
              <w:rPr>
                <w:b w:val="1"/>
              </w:rPr>
            </w:pPr>
            <w:r>
              <w:rPr>
                <w:b w:val="1"/>
              </w:rPr>
              <w:t>Товарный знак (при наличии)</w:t>
            </w:r>
          </w:p>
        </w:tc>
        <w:tc>
          <w:tcPr>
            <w:tcW w:type="dxa" w:w="2270"/>
            <w:tcBorders>
              <w:top w:color="000000" w:sz="4" w:val="single"/>
              <w:left w:color="000000" w:sz="4" w:val="single"/>
              <w:bottom w:color="000000" w:sz="4" w:val="single"/>
              <w:right w:color="000000" w:sz="4" w:val="single"/>
            </w:tcBorders>
          </w:tcPr>
          <w:p w14:paraId="F6000000">
            <w:pPr>
              <w:rPr>
                <w:b w:val="1"/>
              </w:rPr>
            </w:pPr>
            <w:r>
              <w:rPr>
                <w:b w:val="1"/>
              </w:rPr>
              <w:t>Характеристики и предлагаемого Поставщиком Товара, соответствующие показателям, установленным Заказчиком в описании объекта закупки</w:t>
            </w:r>
            <w:r>
              <w:rPr>
                <w:rStyle w:val="Style_4_ch"/>
                <w:b w:val="1"/>
              </w:rPr>
              <w:footnoteReference w:id="3"/>
            </w:r>
          </w:p>
        </w:tc>
        <w:tc>
          <w:tcPr>
            <w:tcW w:type="dxa" w:w="1276"/>
            <w:tcBorders>
              <w:top w:color="000000" w:sz="4" w:val="single"/>
              <w:left w:color="000000" w:sz="4" w:val="single"/>
              <w:bottom w:color="000000" w:sz="4" w:val="single"/>
              <w:right w:color="000000" w:sz="4" w:val="single"/>
            </w:tcBorders>
          </w:tcPr>
          <w:p w14:paraId="F7000000">
            <w:pPr>
              <w:rPr>
                <w:b w:val="1"/>
              </w:rPr>
            </w:pPr>
            <w:r>
              <w:rPr>
                <w:b w:val="1"/>
              </w:rPr>
              <w:t>Наименование страны происхождения Товара</w:t>
            </w:r>
          </w:p>
        </w:tc>
        <w:tc>
          <w:tcPr>
            <w:tcW w:type="dxa" w:w="1275"/>
            <w:tcBorders>
              <w:top w:color="000000" w:sz="4" w:val="single"/>
              <w:left w:color="000000" w:sz="4" w:val="single"/>
              <w:bottom w:color="000000" w:sz="4" w:val="single"/>
              <w:right w:color="000000" w:sz="4" w:val="single"/>
            </w:tcBorders>
          </w:tcPr>
          <w:p w14:paraId="F8000000">
            <w:pPr>
              <w:rPr>
                <w:b w:val="1"/>
              </w:rPr>
            </w:pPr>
            <w:r>
              <w:rPr>
                <w:b w:val="1"/>
              </w:rPr>
              <w:t>Единицы измерения</w:t>
            </w:r>
            <w:r>
              <w:rPr>
                <w:rStyle w:val="Style_4_ch"/>
                <w:b w:val="1"/>
              </w:rPr>
              <w:footnoteReference w:id="4"/>
            </w:r>
          </w:p>
        </w:tc>
        <w:tc>
          <w:tcPr>
            <w:tcW w:type="dxa" w:w="1701"/>
            <w:tcBorders>
              <w:top w:color="000000" w:sz="4" w:val="single"/>
              <w:left w:color="000000" w:sz="4" w:val="single"/>
              <w:bottom w:color="000000" w:sz="4" w:val="single"/>
              <w:right w:color="000000" w:sz="4" w:val="single"/>
            </w:tcBorders>
          </w:tcPr>
          <w:p w14:paraId="F9000000">
            <w:pPr>
              <w:rPr>
                <w:b w:val="1"/>
              </w:rPr>
            </w:pPr>
            <w:r>
              <w:rPr>
                <w:b w:val="1"/>
              </w:rPr>
              <w:t>Количество в единицах измерения</w:t>
            </w:r>
          </w:p>
        </w:tc>
        <w:tc>
          <w:tcPr>
            <w:tcW w:type="dxa" w:w="2133"/>
            <w:tcBorders>
              <w:top w:color="000000" w:sz="4" w:val="single"/>
              <w:left w:color="000000" w:sz="4" w:val="single"/>
              <w:bottom w:color="000000" w:sz="4" w:val="single"/>
              <w:right w:color="000000" w:sz="4" w:val="single"/>
            </w:tcBorders>
          </w:tcPr>
          <w:p w14:paraId="FA000000">
            <w:pPr>
              <w:rPr>
                <w:b w:val="1"/>
              </w:rPr>
            </w:pPr>
            <w:r>
              <w:rPr>
                <w:b w:val="1"/>
              </w:rPr>
              <w:t>Цена за единицу измерения, руб.</w:t>
            </w:r>
          </w:p>
          <w:p w14:paraId="FB000000">
            <w:pPr>
              <w:rPr>
                <w:b w:val="1"/>
              </w:rPr>
            </w:pPr>
            <w:r>
              <w:rPr>
                <w:b w:val="1"/>
              </w:rPr>
              <w:t>(включая НДС) (если облагается НДС)</w:t>
            </w:r>
          </w:p>
        </w:tc>
        <w:tc>
          <w:tcPr>
            <w:tcW w:type="dxa" w:w="1627"/>
            <w:tcBorders>
              <w:top w:color="000000" w:sz="4" w:val="single"/>
              <w:left w:color="000000" w:sz="4" w:val="single"/>
              <w:bottom w:color="000000" w:sz="4" w:val="single"/>
              <w:right w:color="000000" w:sz="4" w:val="single"/>
            </w:tcBorders>
          </w:tcPr>
          <w:p w14:paraId="FC000000">
            <w:pPr>
              <w:rPr>
                <w:b w:val="1"/>
              </w:rPr>
            </w:pPr>
            <w:r>
              <w:rPr>
                <w:b w:val="1"/>
              </w:rPr>
              <w:t>Стоимость Товара</w:t>
            </w:r>
          </w:p>
          <w:p w14:paraId="FD000000">
            <w:pPr>
              <w:rPr>
                <w:b w:val="1"/>
              </w:rPr>
            </w:pPr>
            <w:r>
              <w:rPr>
                <w:b w:val="1"/>
              </w:rPr>
              <w:t xml:space="preserve"> с учетом НДС 20%</w:t>
            </w:r>
          </w:p>
          <w:p w14:paraId="FE000000">
            <w:pPr>
              <w:rPr>
                <w:b w:val="1"/>
              </w:rPr>
            </w:pPr>
            <w:r>
              <w:rPr>
                <w:b w:val="1"/>
              </w:rPr>
              <w:t>(руб.)</w:t>
            </w:r>
            <w:r>
              <w:rPr>
                <w:rStyle w:val="Style_4_ch"/>
                <w:b w:val="1"/>
              </w:rPr>
              <w:footnoteReference w:id="5"/>
            </w:r>
          </w:p>
        </w:tc>
      </w:tr>
      <w:tr>
        <w:trPr>
          <w:trHeight w:hRule="atLeast" w:val="648"/>
        </w:trPr>
        <w:tc>
          <w:tcPr>
            <w:tcW w:type="dxa" w:w="610"/>
            <w:tcBorders>
              <w:top w:color="000000" w:sz="4" w:val="single"/>
              <w:left w:color="000000" w:sz="4" w:val="single"/>
              <w:bottom w:color="000000" w:sz="4" w:val="single"/>
              <w:right w:color="000000" w:sz="4" w:val="single"/>
            </w:tcBorders>
          </w:tcPr>
          <w:p w14:paraId="FF000000">
            <w:pPr>
              <w:pStyle w:val="Style_3"/>
              <w:numPr>
                <w:ilvl w:val="0"/>
                <w:numId w:val="1"/>
              </w:numPr>
              <w:rPr>
                <w:sz w:val="22"/>
              </w:rPr>
            </w:pPr>
          </w:p>
        </w:tc>
        <w:tc>
          <w:tcPr>
            <w:tcW w:type="dxa" w:w="2822"/>
            <w:tcBorders>
              <w:top w:color="000000" w:sz="4" w:val="single"/>
              <w:left w:color="000000" w:sz="4" w:val="single"/>
              <w:bottom w:color="000000" w:sz="4" w:val="single"/>
              <w:right w:color="000000" w:sz="4" w:val="single"/>
            </w:tcBorders>
          </w:tcPr>
          <w:p/>
        </w:tc>
        <w:tc>
          <w:tcPr>
            <w:tcW w:type="dxa" w:w="1988"/>
            <w:tcBorders>
              <w:top w:color="000000" w:sz="4" w:val="single"/>
              <w:left w:color="000000" w:sz="4" w:val="single"/>
              <w:bottom w:color="000000" w:sz="4" w:val="single"/>
              <w:right w:color="000000" w:sz="4" w:val="single"/>
            </w:tcBorders>
          </w:tcPr>
          <w:p w14:paraId="00010000">
            <w:pPr>
              <w:rPr>
                <w:sz w:val="22"/>
              </w:rPr>
            </w:pPr>
          </w:p>
        </w:tc>
        <w:tc>
          <w:tcPr>
            <w:tcW w:type="dxa" w:w="2270"/>
            <w:tcBorders>
              <w:top w:color="000000" w:sz="4" w:val="single"/>
              <w:left w:color="000000" w:sz="4" w:val="single"/>
              <w:bottom w:color="000000" w:sz="4" w:val="single"/>
              <w:right w:color="000000" w:sz="4" w:val="single"/>
            </w:tcBorders>
          </w:tcPr>
          <w:p w14:paraId="01010000">
            <w:pPr>
              <w:rPr>
                <w:sz w:val="22"/>
              </w:rPr>
            </w:pPr>
          </w:p>
        </w:tc>
        <w:tc>
          <w:tcPr>
            <w:tcW w:type="dxa" w:w="1276"/>
            <w:tcBorders>
              <w:top w:color="000000" w:sz="4" w:val="single"/>
              <w:left w:color="000000" w:sz="4" w:val="single"/>
              <w:bottom w:color="000000" w:sz="4" w:val="single"/>
              <w:right w:color="000000" w:sz="4" w:val="single"/>
            </w:tcBorders>
          </w:tcPr>
          <w:p w14:paraId="02010000">
            <w:pPr>
              <w:rPr>
                <w:sz w:val="22"/>
              </w:rPr>
            </w:pPr>
          </w:p>
        </w:tc>
        <w:tc>
          <w:tcPr>
            <w:tcW w:type="dxa" w:w="1275"/>
            <w:tcBorders>
              <w:top w:color="000000" w:sz="4" w:val="single"/>
              <w:left w:color="000000" w:sz="4" w:val="single"/>
              <w:bottom w:color="000000" w:sz="4" w:val="single"/>
              <w:right w:color="000000" w:sz="4" w:val="single"/>
            </w:tcBorders>
            <w:vAlign w:val="center"/>
          </w:tcPr>
          <w:p/>
        </w:tc>
        <w:tc>
          <w:tcPr>
            <w:tcW w:type="dxa" w:w="1701"/>
            <w:tcBorders>
              <w:top w:color="000000" w:sz="4" w:val="single"/>
              <w:left w:color="000000" w:sz="4" w:val="single"/>
              <w:bottom w:color="000000" w:sz="4" w:val="single"/>
              <w:right w:color="000000" w:sz="4" w:val="single"/>
            </w:tcBorders>
          </w:tcPr>
          <w:p/>
        </w:tc>
        <w:tc>
          <w:tcPr>
            <w:tcW w:type="dxa" w:w="2133"/>
            <w:tcBorders>
              <w:top w:color="000000" w:sz="4" w:val="single"/>
              <w:left w:color="000000" w:sz="4" w:val="single"/>
              <w:bottom w:color="000000" w:sz="4" w:val="single"/>
              <w:right w:color="000000" w:sz="4" w:val="single"/>
            </w:tcBorders>
            <w:vAlign w:val="center"/>
          </w:tcPr>
          <w:p w14:paraId="03010000">
            <w:pPr>
              <w:rPr>
                <w:sz w:val="22"/>
              </w:rPr>
            </w:pPr>
          </w:p>
        </w:tc>
        <w:tc>
          <w:tcPr>
            <w:tcW w:type="dxa" w:w="1627"/>
            <w:tcBorders>
              <w:top w:color="000000" w:sz="4" w:val="single"/>
              <w:left w:color="000000" w:sz="4" w:val="single"/>
              <w:bottom w:color="000000" w:sz="4" w:val="single"/>
              <w:right w:color="000000" w:sz="4" w:val="single"/>
            </w:tcBorders>
            <w:vAlign w:val="center"/>
          </w:tcPr>
          <w:p w14:paraId="04010000">
            <w:pPr>
              <w:rPr>
                <w:sz w:val="22"/>
              </w:rPr>
            </w:pPr>
          </w:p>
        </w:tc>
      </w:tr>
      <w:tr>
        <w:trPr>
          <w:trHeight w:hRule="atLeast" w:val="648"/>
        </w:trPr>
        <w:tc>
          <w:tcPr>
            <w:tcW w:type="dxa" w:w="610"/>
            <w:tcBorders>
              <w:top w:color="000000" w:sz="4" w:val="single"/>
              <w:left w:color="000000" w:sz="4" w:val="single"/>
              <w:bottom w:color="000000" w:sz="4" w:val="single"/>
              <w:right w:color="000000" w:sz="4" w:val="single"/>
            </w:tcBorders>
          </w:tcPr>
          <w:p w14:paraId="05010000">
            <w:pPr>
              <w:pStyle w:val="Style_3"/>
              <w:numPr>
                <w:ilvl w:val="0"/>
                <w:numId w:val="1"/>
              </w:numPr>
              <w:rPr>
                <w:sz w:val="22"/>
              </w:rPr>
            </w:pPr>
          </w:p>
        </w:tc>
        <w:tc>
          <w:tcPr>
            <w:tcW w:type="dxa" w:w="2822"/>
            <w:tcBorders>
              <w:top w:color="000000" w:sz="4" w:val="single"/>
              <w:left w:color="000000" w:sz="4" w:val="single"/>
              <w:bottom w:color="000000" w:sz="4" w:val="single"/>
              <w:right w:color="000000" w:sz="4" w:val="single"/>
            </w:tcBorders>
          </w:tcPr>
          <w:p/>
        </w:tc>
        <w:tc>
          <w:tcPr>
            <w:tcW w:type="dxa" w:w="1988"/>
            <w:tcBorders>
              <w:top w:color="000000" w:sz="4" w:val="single"/>
              <w:left w:color="000000" w:sz="4" w:val="single"/>
              <w:bottom w:color="000000" w:sz="4" w:val="single"/>
              <w:right w:color="000000" w:sz="4" w:val="single"/>
            </w:tcBorders>
          </w:tcPr>
          <w:p w14:paraId="06010000">
            <w:pPr>
              <w:rPr>
                <w:sz w:val="22"/>
              </w:rPr>
            </w:pPr>
          </w:p>
        </w:tc>
        <w:tc>
          <w:tcPr>
            <w:tcW w:type="dxa" w:w="2270"/>
            <w:tcBorders>
              <w:top w:color="000000" w:sz="4" w:val="single"/>
              <w:left w:color="000000" w:sz="4" w:val="single"/>
              <w:bottom w:color="000000" w:sz="4" w:val="single"/>
              <w:right w:color="000000" w:sz="4" w:val="single"/>
            </w:tcBorders>
          </w:tcPr>
          <w:p w14:paraId="07010000">
            <w:pPr>
              <w:rPr>
                <w:sz w:val="22"/>
              </w:rPr>
            </w:pPr>
          </w:p>
        </w:tc>
        <w:tc>
          <w:tcPr>
            <w:tcW w:type="dxa" w:w="1276"/>
            <w:tcBorders>
              <w:top w:color="000000" w:sz="4" w:val="single"/>
              <w:left w:color="000000" w:sz="4" w:val="single"/>
              <w:bottom w:color="000000" w:sz="4" w:val="single"/>
              <w:right w:color="000000" w:sz="4" w:val="single"/>
            </w:tcBorders>
          </w:tcPr>
          <w:p w14:paraId="08010000">
            <w:pPr>
              <w:rPr>
                <w:sz w:val="22"/>
              </w:rPr>
            </w:pPr>
          </w:p>
        </w:tc>
        <w:tc>
          <w:tcPr>
            <w:tcW w:type="dxa" w:w="1275"/>
            <w:tcBorders>
              <w:top w:color="000000" w:sz="4" w:val="single"/>
              <w:left w:color="000000" w:sz="4" w:val="single"/>
              <w:bottom w:color="000000" w:sz="4" w:val="single"/>
              <w:right w:color="000000" w:sz="4" w:val="single"/>
            </w:tcBorders>
          </w:tcPr>
          <w:p/>
        </w:tc>
        <w:tc>
          <w:tcPr>
            <w:tcW w:type="dxa" w:w="1701"/>
            <w:tcBorders>
              <w:top w:color="000000" w:sz="4" w:val="single"/>
              <w:left w:color="000000" w:sz="4" w:val="single"/>
              <w:bottom w:color="000000" w:sz="4" w:val="single"/>
              <w:right w:color="000000" w:sz="4" w:val="single"/>
            </w:tcBorders>
          </w:tcPr>
          <w:p/>
        </w:tc>
        <w:tc>
          <w:tcPr>
            <w:tcW w:type="dxa" w:w="2133"/>
            <w:tcBorders>
              <w:top w:color="000000" w:sz="4" w:val="single"/>
              <w:left w:color="000000" w:sz="4" w:val="single"/>
              <w:bottom w:color="000000" w:sz="4" w:val="single"/>
              <w:right w:color="000000" w:sz="4" w:val="single"/>
            </w:tcBorders>
            <w:vAlign w:val="center"/>
          </w:tcPr>
          <w:p w14:paraId="09010000">
            <w:pPr>
              <w:rPr>
                <w:sz w:val="22"/>
              </w:rPr>
            </w:pPr>
          </w:p>
        </w:tc>
        <w:tc>
          <w:tcPr>
            <w:tcW w:type="dxa" w:w="1627"/>
            <w:tcBorders>
              <w:top w:color="000000" w:sz="4" w:val="single"/>
              <w:left w:color="000000" w:sz="4" w:val="single"/>
              <w:bottom w:color="000000" w:sz="4" w:val="single"/>
              <w:right w:color="000000" w:sz="4" w:val="single"/>
            </w:tcBorders>
            <w:vAlign w:val="center"/>
          </w:tcPr>
          <w:p w14:paraId="0A010000">
            <w:pPr>
              <w:rPr>
                <w:sz w:val="22"/>
              </w:rPr>
            </w:pPr>
          </w:p>
        </w:tc>
      </w:tr>
      <w:tr>
        <w:trPr>
          <w:trHeight w:hRule="atLeast" w:val="648"/>
        </w:trPr>
        <w:tc>
          <w:tcPr>
            <w:tcW w:type="dxa" w:w="610"/>
            <w:tcBorders>
              <w:top w:color="000000" w:sz="4" w:val="single"/>
              <w:left w:color="000000" w:sz="4" w:val="single"/>
              <w:bottom w:color="000000" w:sz="4" w:val="single"/>
              <w:right w:color="000000" w:sz="4" w:val="single"/>
            </w:tcBorders>
          </w:tcPr>
          <w:p w14:paraId="0B010000">
            <w:pPr>
              <w:pStyle w:val="Style_3"/>
              <w:numPr>
                <w:ilvl w:val="0"/>
                <w:numId w:val="1"/>
              </w:numPr>
              <w:rPr>
                <w:sz w:val="22"/>
              </w:rPr>
            </w:pPr>
          </w:p>
        </w:tc>
        <w:tc>
          <w:tcPr>
            <w:tcW w:type="dxa" w:w="2822"/>
            <w:tcBorders>
              <w:top w:color="000000" w:sz="4" w:val="single"/>
              <w:left w:color="000000" w:sz="4" w:val="single"/>
              <w:bottom w:color="000000" w:sz="4" w:val="single"/>
              <w:right w:color="000000" w:sz="4" w:val="single"/>
            </w:tcBorders>
          </w:tcPr>
          <w:p/>
        </w:tc>
        <w:tc>
          <w:tcPr>
            <w:tcW w:type="dxa" w:w="1988"/>
            <w:tcBorders>
              <w:top w:color="000000" w:sz="4" w:val="single"/>
              <w:left w:color="000000" w:sz="4" w:val="single"/>
              <w:bottom w:color="000000" w:sz="4" w:val="single"/>
              <w:right w:color="000000" w:sz="4" w:val="single"/>
            </w:tcBorders>
          </w:tcPr>
          <w:p w14:paraId="0C010000">
            <w:pPr>
              <w:rPr>
                <w:sz w:val="22"/>
              </w:rPr>
            </w:pPr>
          </w:p>
        </w:tc>
        <w:tc>
          <w:tcPr>
            <w:tcW w:type="dxa" w:w="2270"/>
            <w:tcBorders>
              <w:top w:color="000000" w:sz="4" w:val="single"/>
              <w:left w:color="000000" w:sz="4" w:val="single"/>
              <w:bottom w:color="000000" w:sz="4" w:val="single"/>
              <w:right w:color="000000" w:sz="4" w:val="single"/>
            </w:tcBorders>
          </w:tcPr>
          <w:p w14:paraId="0D010000">
            <w:pPr>
              <w:rPr>
                <w:sz w:val="22"/>
              </w:rPr>
            </w:pPr>
          </w:p>
        </w:tc>
        <w:tc>
          <w:tcPr>
            <w:tcW w:type="dxa" w:w="1276"/>
            <w:tcBorders>
              <w:top w:color="000000" w:sz="4" w:val="single"/>
              <w:left w:color="000000" w:sz="4" w:val="single"/>
              <w:bottom w:color="000000" w:sz="4" w:val="single"/>
              <w:right w:color="000000" w:sz="4" w:val="single"/>
            </w:tcBorders>
          </w:tcPr>
          <w:p w14:paraId="0E010000">
            <w:pPr>
              <w:rPr>
                <w:sz w:val="22"/>
              </w:rPr>
            </w:pPr>
          </w:p>
        </w:tc>
        <w:tc>
          <w:tcPr>
            <w:tcW w:type="dxa" w:w="1275"/>
            <w:tcBorders>
              <w:top w:color="000000" w:sz="4" w:val="single"/>
              <w:left w:color="000000" w:sz="4" w:val="single"/>
              <w:bottom w:color="000000" w:sz="4" w:val="single"/>
              <w:right w:color="000000" w:sz="4" w:val="single"/>
            </w:tcBorders>
          </w:tcPr>
          <w:p/>
        </w:tc>
        <w:tc>
          <w:tcPr>
            <w:tcW w:type="dxa" w:w="1701"/>
            <w:tcBorders>
              <w:top w:color="000000" w:sz="4" w:val="single"/>
              <w:left w:color="000000" w:sz="4" w:val="single"/>
              <w:bottom w:color="000000" w:sz="4" w:val="single"/>
              <w:right w:color="000000" w:sz="4" w:val="single"/>
            </w:tcBorders>
          </w:tcPr>
          <w:p/>
        </w:tc>
        <w:tc>
          <w:tcPr>
            <w:tcW w:type="dxa" w:w="2133"/>
            <w:tcBorders>
              <w:top w:color="000000" w:sz="4" w:val="single"/>
              <w:left w:color="000000" w:sz="4" w:val="single"/>
              <w:bottom w:color="000000" w:sz="4" w:val="single"/>
              <w:right w:color="000000" w:sz="4" w:val="single"/>
            </w:tcBorders>
            <w:vAlign w:val="center"/>
          </w:tcPr>
          <w:p w14:paraId="0F010000">
            <w:pPr>
              <w:rPr>
                <w:sz w:val="22"/>
              </w:rPr>
            </w:pPr>
          </w:p>
        </w:tc>
        <w:tc>
          <w:tcPr>
            <w:tcW w:type="dxa" w:w="1627"/>
            <w:tcBorders>
              <w:top w:color="000000" w:sz="4" w:val="single"/>
              <w:left w:color="000000" w:sz="4" w:val="single"/>
              <w:bottom w:color="000000" w:sz="4" w:val="single"/>
              <w:right w:color="000000" w:sz="4" w:val="single"/>
            </w:tcBorders>
            <w:vAlign w:val="center"/>
          </w:tcPr>
          <w:p w14:paraId="10010000">
            <w:pPr>
              <w:rPr>
                <w:sz w:val="22"/>
              </w:rPr>
            </w:pPr>
          </w:p>
        </w:tc>
      </w:tr>
      <w:tr>
        <w:trPr>
          <w:trHeight w:hRule="atLeast" w:val="648"/>
        </w:trPr>
        <w:tc>
          <w:tcPr>
            <w:tcW w:type="dxa" w:w="610"/>
            <w:tcBorders>
              <w:top w:color="000000" w:sz="4" w:val="single"/>
              <w:left w:color="000000" w:sz="4" w:val="single"/>
              <w:bottom w:color="000000" w:sz="4" w:val="single"/>
              <w:right w:color="000000" w:sz="4" w:val="single"/>
            </w:tcBorders>
          </w:tcPr>
          <w:p w14:paraId="11010000">
            <w:pPr>
              <w:pStyle w:val="Style_3"/>
              <w:numPr>
                <w:ilvl w:val="0"/>
                <w:numId w:val="1"/>
              </w:numPr>
              <w:rPr>
                <w:sz w:val="22"/>
              </w:rPr>
            </w:pPr>
          </w:p>
        </w:tc>
        <w:tc>
          <w:tcPr>
            <w:tcW w:type="dxa" w:w="2822"/>
            <w:tcBorders>
              <w:top w:color="000000" w:sz="4" w:val="single"/>
              <w:left w:color="000000" w:sz="4" w:val="single"/>
              <w:bottom w:color="000000" w:sz="4" w:val="single"/>
              <w:right w:color="000000" w:sz="4" w:val="single"/>
            </w:tcBorders>
          </w:tcPr>
          <w:p/>
        </w:tc>
        <w:tc>
          <w:tcPr>
            <w:tcW w:type="dxa" w:w="1988"/>
            <w:tcBorders>
              <w:top w:color="000000" w:sz="4" w:val="single"/>
              <w:left w:color="000000" w:sz="4" w:val="single"/>
              <w:bottom w:color="000000" w:sz="4" w:val="single"/>
              <w:right w:color="000000" w:sz="4" w:val="single"/>
            </w:tcBorders>
          </w:tcPr>
          <w:p w14:paraId="12010000">
            <w:pPr>
              <w:rPr>
                <w:sz w:val="22"/>
              </w:rPr>
            </w:pPr>
          </w:p>
        </w:tc>
        <w:tc>
          <w:tcPr>
            <w:tcW w:type="dxa" w:w="2270"/>
            <w:tcBorders>
              <w:top w:color="000000" w:sz="4" w:val="single"/>
              <w:left w:color="000000" w:sz="4" w:val="single"/>
              <w:bottom w:color="000000" w:sz="4" w:val="single"/>
              <w:right w:color="000000" w:sz="4" w:val="single"/>
            </w:tcBorders>
          </w:tcPr>
          <w:p w14:paraId="13010000">
            <w:pPr>
              <w:rPr>
                <w:sz w:val="22"/>
              </w:rPr>
            </w:pPr>
          </w:p>
        </w:tc>
        <w:tc>
          <w:tcPr>
            <w:tcW w:type="dxa" w:w="1276"/>
            <w:tcBorders>
              <w:top w:color="000000" w:sz="4" w:val="single"/>
              <w:left w:color="000000" w:sz="4" w:val="single"/>
              <w:bottom w:color="000000" w:sz="4" w:val="single"/>
              <w:right w:color="000000" w:sz="4" w:val="single"/>
            </w:tcBorders>
          </w:tcPr>
          <w:p w14:paraId="14010000">
            <w:pPr>
              <w:rPr>
                <w:sz w:val="22"/>
              </w:rPr>
            </w:pPr>
          </w:p>
        </w:tc>
        <w:tc>
          <w:tcPr>
            <w:tcW w:type="dxa" w:w="1275"/>
            <w:tcBorders>
              <w:top w:color="000000" w:sz="4" w:val="single"/>
              <w:left w:color="000000" w:sz="4" w:val="single"/>
              <w:bottom w:color="000000" w:sz="4" w:val="single"/>
              <w:right w:color="000000" w:sz="4" w:val="single"/>
            </w:tcBorders>
          </w:tcPr>
          <w:p/>
        </w:tc>
        <w:tc>
          <w:tcPr>
            <w:tcW w:type="dxa" w:w="1701"/>
            <w:tcBorders>
              <w:top w:color="000000" w:sz="4" w:val="single"/>
              <w:left w:color="000000" w:sz="4" w:val="single"/>
              <w:bottom w:color="000000" w:sz="4" w:val="single"/>
              <w:right w:color="000000" w:sz="4" w:val="single"/>
            </w:tcBorders>
          </w:tcPr>
          <w:p/>
        </w:tc>
        <w:tc>
          <w:tcPr>
            <w:tcW w:type="dxa" w:w="2133"/>
            <w:tcBorders>
              <w:top w:color="000000" w:sz="4" w:val="single"/>
              <w:left w:color="000000" w:sz="4" w:val="single"/>
              <w:bottom w:color="000000" w:sz="4" w:val="single"/>
              <w:right w:color="000000" w:sz="4" w:val="single"/>
            </w:tcBorders>
            <w:vAlign w:val="center"/>
          </w:tcPr>
          <w:p w14:paraId="15010000">
            <w:pPr>
              <w:rPr>
                <w:sz w:val="22"/>
              </w:rPr>
            </w:pPr>
          </w:p>
        </w:tc>
        <w:tc>
          <w:tcPr>
            <w:tcW w:type="dxa" w:w="1627"/>
            <w:tcBorders>
              <w:top w:color="000000" w:sz="4" w:val="single"/>
              <w:left w:color="000000" w:sz="4" w:val="single"/>
              <w:bottom w:color="000000" w:sz="4" w:val="single"/>
              <w:right w:color="000000" w:sz="4" w:val="single"/>
            </w:tcBorders>
            <w:vAlign w:val="center"/>
          </w:tcPr>
          <w:p w14:paraId="16010000">
            <w:pPr>
              <w:rPr>
                <w:sz w:val="22"/>
              </w:rPr>
            </w:pPr>
          </w:p>
        </w:tc>
      </w:tr>
      <w:tr>
        <w:trPr>
          <w:trHeight w:hRule="atLeast" w:val="648"/>
        </w:trPr>
        <w:tc>
          <w:tcPr>
            <w:tcW w:type="dxa" w:w="610"/>
            <w:tcBorders>
              <w:top w:color="000000" w:sz="4" w:val="single"/>
              <w:left w:color="000000" w:sz="4" w:val="single"/>
              <w:bottom w:color="000000" w:sz="4" w:val="single"/>
              <w:right w:color="000000" w:sz="4" w:val="single"/>
            </w:tcBorders>
          </w:tcPr>
          <w:p/>
        </w:tc>
        <w:tc>
          <w:tcPr>
            <w:tcW w:type="dxa" w:w="2822"/>
            <w:tcBorders>
              <w:top w:color="000000" w:sz="4" w:val="single"/>
              <w:left w:color="000000" w:sz="4" w:val="single"/>
              <w:bottom w:color="000000" w:sz="4" w:val="single"/>
              <w:right w:color="000000" w:sz="4" w:val="single"/>
            </w:tcBorders>
          </w:tcPr>
          <w:p w14:paraId="17010000">
            <w:pPr>
              <w:rPr>
                <w:sz w:val="22"/>
              </w:rPr>
            </w:pPr>
          </w:p>
        </w:tc>
        <w:tc>
          <w:tcPr>
            <w:tcW w:type="dxa" w:w="1988"/>
            <w:tcBorders>
              <w:top w:color="000000" w:sz="4" w:val="single"/>
              <w:left w:color="000000" w:sz="4" w:val="single"/>
              <w:bottom w:color="000000" w:sz="4" w:val="single"/>
              <w:right w:color="000000" w:sz="4" w:val="single"/>
            </w:tcBorders>
          </w:tcPr>
          <w:p w14:paraId="18010000">
            <w:pPr>
              <w:rPr>
                <w:sz w:val="22"/>
              </w:rPr>
            </w:pPr>
          </w:p>
        </w:tc>
        <w:tc>
          <w:tcPr>
            <w:tcW w:type="dxa" w:w="2270"/>
            <w:tcBorders>
              <w:top w:color="000000" w:sz="4" w:val="single"/>
              <w:left w:color="000000" w:sz="4" w:val="single"/>
              <w:bottom w:color="000000" w:sz="4" w:val="single"/>
              <w:right w:color="000000" w:sz="4" w:val="single"/>
            </w:tcBorders>
          </w:tcPr>
          <w:p w14:paraId="19010000">
            <w:pPr>
              <w:rPr>
                <w:sz w:val="22"/>
              </w:rPr>
            </w:pPr>
          </w:p>
        </w:tc>
        <w:tc>
          <w:tcPr>
            <w:tcW w:type="dxa" w:w="1276"/>
            <w:tcBorders>
              <w:top w:color="000000" w:sz="4" w:val="single"/>
              <w:left w:color="000000" w:sz="4" w:val="single"/>
              <w:bottom w:color="000000" w:sz="4" w:val="single"/>
              <w:right w:color="000000" w:sz="4" w:val="single"/>
            </w:tcBorders>
          </w:tcPr>
          <w:p w14:paraId="1A010000">
            <w:pPr>
              <w:rPr>
                <w:sz w:val="22"/>
              </w:rPr>
            </w:pPr>
          </w:p>
        </w:tc>
        <w:tc>
          <w:tcPr>
            <w:tcW w:type="dxa" w:w="1275"/>
            <w:tcBorders>
              <w:top w:color="000000" w:sz="4" w:val="single"/>
              <w:left w:color="000000" w:sz="4" w:val="single"/>
              <w:bottom w:color="000000" w:sz="4" w:val="single"/>
              <w:right w:color="000000" w:sz="4" w:val="single"/>
            </w:tcBorders>
          </w:tcPr>
          <w:p w14:paraId="1B010000">
            <w:pPr>
              <w:rPr>
                <w:sz w:val="22"/>
              </w:rPr>
            </w:pPr>
          </w:p>
        </w:tc>
        <w:tc>
          <w:tcPr>
            <w:tcW w:type="dxa" w:w="1701"/>
            <w:tcBorders>
              <w:top w:color="000000" w:sz="4" w:val="single"/>
              <w:left w:color="000000" w:sz="4" w:val="single"/>
              <w:bottom w:color="000000" w:sz="4" w:val="single"/>
              <w:right w:color="000000" w:sz="4" w:val="single"/>
            </w:tcBorders>
          </w:tcPr>
          <w:p w14:paraId="1C010000">
            <w:pPr>
              <w:widowControl w:val="1"/>
              <w:ind/>
              <w:jc w:val="center"/>
              <w:rPr>
                <w:color w:val="000000"/>
                <w:sz w:val="22"/>
              </w:rPr>
            </w:pPr>
          </w:p>
        </w:tc>
        <w:tc>
          <w:tcPr>
            <w:tcW w:type="dxa" w:w="2133"/>
            <w:tcBorders>
              <w:top w:color="000000" w:sz="4" w:val="single"/>
              <w:left w:color="000000" w:sz="4" w:val="single"/>
              <w:bottom w:color="000000" w:sz="4" w:val="single"/>
              <w:right w:color="000000" w:sz="4" w:val="single"/>
            </w:tcBorders>
            <w:vAlign w:val="center"/>
          </w:tcPr>
          <w:p w14:paraId="1D010000">
            <w:pPr>
              <w:rPr>
                <w:sz w:val="22"/>
              </w:rPr>
            </w:pPr>
          </w:p>
        </w:tc>
        <w:tc>
          <w:tcPr>
            <w:tcW w:type="dxa" w:w="1627"/>
            <w:tcBorders>
              <w:top w:color="000000" w:sz="4" w:val="single"/>
              <w:left w:color="000000" w:sz="4" w:val="single"/>
              <w:bottom w:color="000000" w:sz="4" w:val="single"/>
              <w:right w:color="000000" w:sz="4" w:val="single"/>
            </w:tcBorders>
            <w:vAlign w:val="center"/>
          </w:tcPr>
          <w:p w14:paraId="1E010000">
            <w:pPr>
              <w:rPr>
                <w:sz w:val="22"/>
              </w:rPr>
            </w:pPr>
          </w:p>
        </w:tc>
      </w:tr>
      <w:tr>
        <w:trPr>
          <w:trHeight w:hRule="atLeast" w:val="648"/>
        </w:trPr>
        <w:tc>
          <w:tcPr>
            <w:tcW w:type="dxa" w:w="610"/>
            <w:tcBorders>
              <w:top w:color="000000" w:sz="4" w:val="single"/>
              <w:left w:color="000000" w:sz="4" w:val="single"/>
              <w:bottom w:color="000000" w:sz="4" w:val="single"/>
              <w:right w:color="000000" w:sz="4" w:val="single"/>
            </w:tcBorders>
          </w:tcPr>
          <w:p w14:paraId="1F010000">
            <w:pPr>
              <w:pStyle w:val="Style_3"/>
              <w:rPr>
                <w:sz w:val="22"/>
              </w:rPr>
            </w:pPr>
          </w:p>
        </w:tc>
        <w:tc>
          <w:tcPr>
            <w:tcW w:type="dxa" w:w="2822"/>
            <w:tcBorders>
              <w:top w:color="000000" w:sz="4" w:val="single"/>
              <w:left w:color="000000" w:sz="4" w:val="single"/>
              <w:bottom w:color="000000" w:sz="4" w:val="single"/>
              <w:right w:color="000000" w:sz="4" w:val="single"/>
            </w:tcBorders>
          </w:tcPr>
          <w:p w14:paraId="20010000">
            <w:pPr>
              <w:rPr>
                <w:sz w:val="22"/>
              </w:rPr>
            </w:pPr>
          </w:p>
        </w:tc>
        <w:tc>
          <w:tcPr>
            <w:tcW w:type="dxa" w:w="1988"/>
            <w:tcBorders>
              <w:top w:color="000000" w:sz="4" w:val="single"/>
              <w:left w:color="000000" w:sz="4" w:val="single"/>
              <w:bottom w:color="000000" w:sz="4" w:val="single"/>
              <w:right w:color="000000" w:sz="4" w:val="single"/>
            </w:tcBorders>
          </w:tcPr>
          <w:p w14:paraId="21010000">
            <w:pPr>
              <w:rPr>
                <w:sz w:val="22"/>
              </w:rPr>
            </w:pPr>
          </w:p>
        </w:tc>
        <w:tc>
          <w:tcPr>
            <w:tcW w:type="dxa" w:w="2270"/>
            <w:tcBorders>
              <w:top w:color="000000" w:sz="4" w:val="single"/>
              <w:left w:color="000000" w:sz="4" w:val="single"/>
              <w:bottom w:color="000000" w:sz="4" w:val="single"/>
              <w:right w:color="000000" w:sz="4" w:val="single"/>
            </w:tcBorders>
          </w:tcPr>
          <w:p w14:paraId="22010000">
            <w:pPr>
              <w:rPr>
                <w:sz w:val="22"/>
              </w:rPr>
            </w:pPr>
          </w:p>
        </w:tc>
        <w:tc>
          <w:tcPr>
            <w:tcW w:type="dxa" w:w="1276"/>
            <w:tcBorders>
              <w:top w:color="000000" w:sz="4" w:val="single"/>
              <w:left w:color="000000" w:sz="4" w:val="single"/>
              <w:bottom w:color="000000" w:sz="4" w:val="single"/>
              <w:right w:color="000000" w:sz="4" w:val="single"/>
            </w:tcBorders>
          </w:tcPr>
          <w:p w14:paraId="23010000">
            <w:pPr>
              <w:rPr>
                <w:sz w:val="22"/>
              </w:rPr>
            </w:pPr>
          </w:p>
        </w:tc>
        <w:tc>
          <w:tcPr>
            <w:tcW w:type="dxa" w:w="1275"/>
            <w:tcBorders>
              <w:top w:color="000000" w:sz="4" w:val="single"/>
              <w:left w:color="000000" w:sz="4" w:val="single"/>
              <w:bottom w:color="000000" w:sz="4" w:val="single"/>
              <w:right w:color="000000" w:sz="4" w:val="single"/>
            </w:tcBorders>
          </w:tcPr>
          <w:p w14:paraId="24010000">
            <w:pPr>
              <w:rPr>
                <w:sz w:val="22"/>
              </w:rPr>
            </w:pPr>
          </w:p>
        </w:tc>
        <w:tc>
          <w:tcPr>
            <w:tcW w:type="dxa" w:w="1701"/>
            <w:tcBorders>
              <w:top w:color="000000" w:sz="4" w:val="single"/>
              <w:left w:color="000000" w:sz="4" w:val="single"/>
              <w:bottom w:color="000000" w:sz="4" w:val="single"/>
              <w:right w:color="000000" w:sz="4" w:val="single"/>
            </w:tcBorders>
          </w:tcPr>
          <w:p w14:paraId="25010000">
            <w:pPr>
              <w:widowControl w:val="1"/>
              <w:ind/>
              <w:jc w:val="center"/>
              <w:rPr>
                <w:color w:val="000000"/>
                <w:sz w:val="22"/>
              </w:rPr>
            </w:pPr>
          </w:p>
        </w:tc>
        <w:tc>
          <w:tcPr>
            <w:tcW w:type="dxa" w:w="2133"/>
            <w:tcBorders>
              <w:top w:color="000000" w:sz="4" w:val="single"/>
              <w:left w:color="000000" w:sz="4" w:val="single"/>
              <w:bottom w:color="000000" w:sz="4" w:val="single"/>
              <w:right w:color="000000" w:sz="4" w:val="single"/>
            </w:tcBorders>
            <w:vAlign w:val="center"/>
          </w:tcPr>
          <w:p w14:paraId="26010000">
            <w:pPr>
              <w:rPr>
                <w:sz w:val="22"/>
              </w:rPr>
            </w:pPr>
          </w:p>
        </w:tc>
        <w:tc>
          <w:tcPr>
            <w:tcW w:type="dxa" w:w="1627"/>
            <w:tcBorders>
              <w:top w:color="000000" w:sz="4" w:val="single"/>
              <w:left w:color="000000" w:sz="4" w:val="single"/>
              <w:bottom w:color="000000" w:sz="4" w:val="single"/>
              <w:right w:color="000000" w:sz="4" w:val="single"/>
            </w:tcBorders>
            <w:vAlign w:val="center"/>
          </w:tcPr>
          <w:p w14:paraId="27010000">
            <w:pPr>
              <w:rPr>
                <w:sz w:val="22"/>
              </w:rPr>
            </w:pPr>
          </w:p>
        </w:tc>
      </w:tr>
      <w:tr>
        <w:trPr>
          <w:trHeight w:hRule="atLeast" w:val="648"/>
        </w:trPr>
        <w:tc>
          <w:tcPr>
            <w:tcW w:type="dxa" w:w="610"/>
            <w:tcBorders>
              <w:top w:color="000000" w:sz="4" w:val="single"/>
              <w:left w:color="000000" w:sz="4" w:val="single"/>
              <w:bottom w:color="000000" w:sz="4" w:val="single"/>
              <w:right w:color="000000" w:sz="4" w:val="single"/>
            </w:tcBorders>
          </w:tcPr>
          <w:p w14:paraId="28010000">
            <w:pPr>
              <w:pStyle w:val="Style_3"/>
              <w:rPr>
                <w:sz w:val="22"/>
              </w:rPr>
            </w:pPr>
          </w:p>
        </w:tc>
        <w:tc>
          <w:tcPr>
            <w:tcW w:type="dxa" w:w="2822"/>
            <w:tcBorders>
              <w:top w:color="000000" w:sz="4" w:val="single"/>
              <w:left w:color="000000" w:sz="4" w:val="single"/>
              <w:bottom w:color="000000" w:sz="4" w:val="single"/>
              <w:right w:color="000000" w:sz="4" w:val="single"/>
            </w:tcBorders>
          </w:tcPr>
          <w:p w14:paraId="29010000">
            <w:pPr>
              <w:rPr>
                <w:sz w:val="22"/>
              </w:rPr>
            </w:pPr>
          </w:p>
        </w:tc>
        <w:tc>
          <w:tcPr>
            <w:tcW w:type="dxa" w:w="1988"/>
            <w:tcBorders>
              <w:top w:color="000000" w:sz="4" w:val="single"/>
              <w:left w:color="000000" w:sz="4" w:val="single"/>
              <w:bottom w:color="000000" w:sz="4" w:val="single"/>
              <w:right w:color="000000" w:sz="4" w:val="single"/>
            </w:tcBorders>
          </w:tcPr>
          <w:p w14:paraId="2A010000">
            <w:pPr>
              <w:rPr>
                <w:sz w:val="22"/>
              </w:rPr>
            </w:pPr>
          </w:p>
        </w:tc>
        <w:tc>
          <w:tcPr>
            <w:tcW w:type="dxa" w:w="2270"/>
            <w:tcBorders>
              <w:top w:color="000000" w:sz="4" w:val="single"/>
              <w:left w:color="000000" w:sz="4" w:val="single"/>
              <w:bottom w:color="000000" w:sz="4" w:val="single"/>
              <w:right w:color="000000" w:sz="4" w:val="single"/>
            </w:tcBorders>
          </w:tcPr>
          <w:p w14:paraId="2B010000">
            <w:pPr>
              <w:rPr>
                <w:sz w:val="22"/>
              </w:rPr>
            </w:pPr>
          </w:p>
        </w:tc>
        <w:tc>
          <w:tcPr>
            <w:tcW w:type="dxa" w:w="1276"/>
            <w:tcBorders>
              <w:top w:color="000000" w:sz="4" w:val="single"/>
              <w:left w:color="000000" w:sz="4" w:val="single"/>
              <w:bottom w:color="000000" w:sz="4" w:val="single"/>
              <w:right w:color="000000" w:sz="4" w:val="single"/>
            </w:tcBorders>
          </w:tcPr>
          <w:p w14:paraId="2C010000">
            <w:pPr>
              <w:rPr>
                <w:sz w:val="22"/>
              </w:rPr>
            </w:pPr>
          </w:p>
        </w:tc>
        <w:tc>
          <w:tcPr>
            <w:tcW w:type="dxa" w:w="1275"/>
            <w:tcBorders>
              <w:top w:color="000000" w:sz="4" w:val="single"/>
              <w:left w:color="000000" w:sz="4" w:val="single"/>
              <w:bottom w:color="000000" w:sz="4" w:val="single"/>
              <w:right w:color="000000" w:sz="4" w:val="single"/>
            </w:tcBorders>
          </w:tcPr>
          <w:p w14:paraId="2D010000">
            <w:pPr>
              <w:rPr>
                <w:sz w:val="22"/>
              </w:rPr>
            </w:pPr>
          </w:p>
        </w:tc>
        <w:tc>
          <w:tcPr>
            <w:tcW w:type="dxa" w:w="1701"/>
            <w:tcBorders>
              <w:top w:color="000000" w:sz="4" w:val="single"/>
              <w:left w:color="000000" w:sz="4" w:val="single"/>
              <w:bottom w:color="000000" w:sz="4" w:val="single"/>
              <w:right w:color="000000" w:sz="4" w:val="single"/>
            </w:tcBorders>
          </w:tcPr>
          <w:p w14:paraId="2E010000">
            <w:pPr>
              <w:widowControl w:val="1"/>
              <w:ind/>
              <w:jc w:val="center"/>
              <w:rPr>
                <w:color w:val="000000"/>
                <w:sz w:val="22"/>
              </w:rPr>
            </w:pPr>
          </w:p>
        </w:tc>
        <w:tc>
          <w:tcPr>
            <w:tcW w:type="dxa" w:w="2133"/>
            <w:tcBorders>
              <w:top w:color="000000" w:sz="4" w:val="single"/>
              <w:left w:color="000000" w:sz="4" w:val="single"/>
              <w:bottom w:color="000000" w:sz="4" w:val="single"/>
              <w:right w:color="000000" w:sz="4" w:val="single"/>
            </w:tcBorders>
            <w:vAlign w:val="center"/>
          </w:tcPr>
          <w:p w14:paraId="2F010000">
            <w:pPr>
              <w:rPr>
                <w:sz w:val="22"/>
              </w:rPr>
            </w:pPr>
          </w:p>
        </w:tc>
        <w:tc>
          <w:tcPr>
            <w:tcW w:type="dxa" w:w="1627"/>
            <w:tcBorders>
              <w:top w:color="000000" w:sz="4" w:val="single"/>
              <w:left w:color="000000" w:sz="4" w:val="single"/>
              <w:bottom w:color="000000" w:sz="4" w:val="single"/>
              <w:right w:color="000000" w:sz="4" w:val="single"/>
            </w:tcBorders>
            <w:vAlign w:val="center"/>
          </w:tcPr>
          <w:p w14:paraId="30010000">
            <w:pPr>
              <w:rPr>
                <w:sz w:val="22"/>
              </w:rPr>
            </w:pPr>
          </w:p>
        </w:tc>
      </w:tr>
      <w:tr>
        <w:trPr>
          <w:trHeight w:hRule="atLeast" w:val="648"/>
        </w:trPr>
        <w:tc>
          <w:tcPr>
            <w:tcW w:type="dxa" w:w="610"/>
            <w:tcBorders>
              <w:top w:color="000000" w:sz="4" w:val="single"/>
              <w:left w:color="000000" w:sz="4" w:val="single"/>
              <w:bottom w:color="000000" w:sz="4" w:val="single"/>
              <w:right w:color="000000" w:sz="4" w:val="single"/>
            </w:tcBorders>
          </w:tcPr>
          <w:p w14:paraId="31010000">
            <w:pPr>
              <w:pStyle w:val="Style_3"/>
              <w:rPr>
                <w:sz w:val="22"/>
              </w:rPr>
            </w:pPr>
          </w:p>
        </w:tc>
        <w:tc>
          <w:tcPr>
            <w:tcW w:type="dxa" w:w="2822"/>
            <w:tcBorders>
              <w:top w:color="000000" w:sz="4" w:val="single"/>
              <w:left w:color="000000" w:sz="4" w:val="single"/>
              <w:bottom w:color="000000" w:sz="4" w:val="single"/>
              <w:right w:color="000000" w:sz="4" w:val="single"/>
            </w:tcBorders>
          </w:tcPr>
          <w:p w14:paraId="32010000">
            <w:pPr>
              <w:rPr>
                <w:sz w:val="22"/>
              </w:rPr>
            </w:pPr>
          </w:p>
        </w:tc>
        <w:tc>
          <w:tcPr>
            <w:tcW w:type="dxa" w:w="1988"/>
            <w:tcBorders>
              <w:top w:color="000000" w:sz="4" w:val="single"/>
              <w:left w:color="000000" w:sz="4" w:val="single"/>
              <w:bottom w:color="000000" w:sz="4" w:val="single"/>
              <w:right w:color="000000" w:sz="4" w:val="single"/>
            </w:tcBorders>
          </w:tcPr>
          <w:p w14:paraId="33010000">
            <w:pPr>
              <w:rPr>
                <w:sz w:val="22"/>
              </w:rPr>
            </w:pPr>
          </w:p>
        </w:tc>
        <w:tc>
          <w:tcPr>
            <w:tcW w:type="dxa" w:w="2270"/>
            <w:tcBorders>
              <w:top w:color="000000" w:sz="4" w:val="single"/>
              <w:left w:color="000000" w:sz="4" w:val="single"/>
              <w:bottom w:color="000000" w:sz="4" w:val="single"/>
              <w:right w:color="000000" w:sz="4" w:val="single"/>
            </w:tcBorders>
          </w:tcPr>
          <w:p w14:paraId="34010000">
            <w:pPr>
              <w:rPr>
                <w:sz w:val="22"/>
              </w:rPr>
            </w:pPr>
          </w:p>
        </w:tc>
        <w:tc>
          <w:tcPr>
            <w:tcW w:type="dxa" w:w="1276"/>
            <w:tcBorders>
              <w:top w:color="000000" w:sz="4" w:val="single"/>
              <w:left w:color="000000" w:sz="4" w:val="single"/>
              <w:bottom w:color="000000" w:sz="4" w:val="single"/>
              <w:right w:color="000000" w:sz="4" w:val="single"/>
            </w:tcBorders>
          </w:tcPr>
          <w:p w14:paraId="35010000">
            <w:pPr>
              <w:rPr>
                <w:sz w:val="22"/>
              </w:rPr>
            </w:pPr>
          </w:p>
        </w:tc>
        <w:tc>
          <w:tcPr>
            <w:tcW w:type="dxa" w:w="1275"/>
            <w:tcBorders>
              <w:top w:color="000000" w:sz="4" w:val="single"/>
              <w:left w:color="000000" w:sz="4" w:val="single"/>
              <w:bottom w:color="000000" w:sz="4" w:val="single"/>
              <w:right w:color="000000" w:sz="4" w:val="single"/>
            </w:tcBorders>
          </w:tcPr>
          <w:p w14:paraId="36010000">
            <w:pPr>
              <w:rPr>
                <w:sz w:val="22"/>
              </w:rPr>
            </w:pPr>
          </w:p>
        </w:tc>
        <w:tc>
          <w:tcPr>
            <w:tcW w:type="dxa" w:w="1701"/>
            <w:tcBorders>
              <w:top w:color="000000" w:sz="4" w:val="single"/>
              <w:left w:color="000000" w:sz="4" w:val="single"/>
              <w:bottom w:color="000000" w:sz="4" w:val="single"/>
              <w:right w:color="000000" w:sz="4" w:val="single"/>
            </w:tcBorders>
          </w:tcPr>
          <w:p w14:paraId="37010000">
            <w:pPr>
              <w:widowControl w:val="1"/>
              <w:ind/>
              <w:jc w:val="center"/>
              <w:rPr>
                <w:color w:val="000000"/>
                <w:sz w:val="22"/>
              </w:rPr>
            </w:pPr>
          </w:p>
        </w:tc>
        <w:tc>
          <w:tcPr>
            <w:tcW w:type="dxa" w:w="2133"/>
            <w:tcBorders>
              <w:top w:color="000000" w:sz="4" w:val="single"/>
              <w:left w:color="000000" w:sz="4" w:val="single"/>
              <w:bottom w:color="000000" w:sz="4" w:val="single"/>
              <w:right w:color="000000" w:sz="4" w:val="single"/>
            </w:tcBorders>
            <w:vAlign w:val="center"/>
          </w:tcPr>
          <w:p w14:paraId="38010000">
            <w:pPr>
              <w:rPr>
                <w:sz w:val="22"/>
              </w:rPr>
            </w:pPr>
          </w:p>
        </w:tc>
        <w:tc>
          <w:tcPr>
            <w:tcW w:type="dxa" w:w="1627"/>
            <w:tcBorders>
              <w:top w:color="000000" w:sz="4" w:val="single"/>
              <w:left w:color="000000" w:sz="4" w:val="single"/>
              <w:bottom w:color="000000" w:sz="4" w:val="single"/>
              <w:right w:color="000000" w:sz="4" w:val="single"/>
            </w:tcBorders>
            <w:vAlign w:val="center"/>
          </w:tcPr>
          <w:p w14:paraId="39010000">
            <w:pPr>
              <w:rPr>
                <w:sz w:val="22"/>
              </w:rPr>
            </w:pPr>
          </w:p>
        </w:tc>
      </w:tr>
      <w:tr>
        <w:trPr>
          <w:trHeight w:hRule="atLeast" w:val="648"/>
        </w:trPr>
        <w:tc>
          <w:tcPr>
            <w:tcW w:type="dxa" w:w="610"/>
            <w:tcBorders>
              <w:top w:color="000000" w:sz="4" w:val="single"/>
              <w:left w:color="000000" w:sz="4" w:val="single"/>
              <w:bottom w:color="000000" w:sz="4" w:val="single"/>
              <w:right w:color="000000" w:sz="4" w:val="single"/>
            </w:tcBorders>
          </w:tcPr>
          <w:p w14:paraId="3A010000">
            <w:pPr>
              <w:pStyle w:val="Style_3"/>
              <w:rPr>
                <w:sz w:val="22"/>
              </w:rPr>
            </w:pPr>
          </w:p>
        </w:tc>
        <w:tc>
          <w:tcPr>
            <w:tcW w:type="dxa" w:w="2822"/>
            <w:tcBorders>
              <w:top w:color="000000" w:sz="4" w:val="single"/>
              <w:left w:color="000000" w:sz="4" w:val="single"/>
              <w:bottom w:color="000000" w:sz="4" w:val="single"/>
              <w:right w:color="000000" w:sz="4" w:val="single"/>
            </w:tcBorders>
          </w:tcPr>
          <w:p w14:paraId="3B010000">
            <w:pPr>
              <w:rPr>
                <w:sz w:val="22"/>
              </w:rPr>
            </w:pPr>
          </w:p>
        </w:tc>
        <w:tc>
          <w:tcPr>
            <w:tcW w:type="dxa" w:w="1988"/>
            <w:tcBorders>
              <w:top w:color="000000" w:sz="4" w:val="single"/>
              <w:left w:color="000000" w:sz="4" w:val="single"/>
              <w:bottom w:color="000000" w:sz="4" w:val="single"/>
              <w:right w:color="000000" w:sz="4" w:val="single"/>
            </w:tcBorders>
          </w:tcPr>
          <w:p w14:paraId="3C010000">
            <w:pPr>
              <w:rPr>
                <w:sz w:val="22"/>
              </w:rPr>
            </w:pPr>
          </w:p>
        </w:tc>
        <w:tc>
          <w:tcPr>
            <w:tcW w:type="dxa" w:w="2270"/>
            <w:tcBorders>
              <w:top w:color="000000" w:sz="4" w:val="single"/>
              <w:left w:color="000000" w:sz="4" w:val="single"/>
              <w:bottom w:color="000000" w:sz="4" w:val="single"/>
              <w:right w:color="000000" w:sz="4" w:val="single"/>
            </w:tcBorders>
          </w:tcPr>
          <w:p w14:paraId="3D010000">
            <w:pPr>
              <w:rPr>
                <w:sz w:val="22"/>
              </w:rPr>
            </w:pPr>
          </w:p>
        </w:tc>
        <w:tc>
          <w:tcPr>
            <w:tcW w:type="dxa" w:w="1276"/>
            <w:tcBorders>
              <w:top w:color="000000" w:sz="4" w:val="single"/>
              <w:left w:color="000000" w:sz="4" w:val="single"/>
              <w:bottom w:color="000000" w:sz="4" w:val="single"/>
              <w:right w:color="000000" w:sz="4" w:val="single"/>
            </w:tcBorders>
          </w:tcPr>
          <w:p w14:paraId="3E010000">
            <w:pPr>
              <w:rPr>
                <w:sz w:val="22"/>
              </w:rPr>
            </w:pPr>
          </w:p>
        </w:tc>
        <w:tc>
          <w:tcPr>
            <w:tcW w:type="dxa" w:w="1275"/>
            <w:tcBorders>
              <w:top w:color="000000" w:sz="4" w:val="single"/>
              <w:left w:color="000000" w:sz="4" w:val="single"/>
              <w:bottom w:color="000000" w:sz="4" w:val="single"/>
              <w:right w:color="000000" w:sz="4" w:val="single"/>
            </w:tcBorders>
          </w:tcPr>
          <w:p w14:paraId="3F010000">
            <w:pPr>
              <w:rPr>
                <w:sz w:val="22"/>
              </w:rPr>
            </w:pPr>
          </w:p>
        </w:tc>
        <w:tc>
          <w:tcPr>
            <w:tcW w:type="dxa" w:w="1701"/>
            <w:tcBorders>
              <w:top w:color="000000" w:sz="4" w:val="single"/>
              <w:left w:color="000000" w:sz="4" w:val="single"/>
              <w:bottom w:color="000000" w:sz="4" w:val="single"/>
              <w:right w:color="000000" w:sz="4" w:val="single"/>
            </w:tcBorders>
          </w:tcPr>
          <w:p w14:paraId="40010000">
            <w:pPr>
              <w:widowControl w:val="1"/>
              <w:ind/>
              <w:jc w:val="center"/>
              <w:rPr>
                <w:color w:val="000000"/>
                <w:sz w:val="22"/>
              </w:rPr>
            </w:pPr>
          </w:p>
        </w:tc>
        <w:tc>
          <w:tcPr>
            <w:tcW w:type="dxa" w:w="2133"/>
            <w:tcBorders>
              <w:top w:color="000000" w:sz="4" w:val="single"/>
              <w:left w:color="000000" w:sz="4" w:val="single"/>
              <w:bottom w:color="000000" w:sz="4" w:val="single"/>
              <w:right w:color="000000" w:sz="4" w:val="single"/>
            </w:tcBorders>
            <w:vAlign w:val="center"/>
          </w:tcPr>
          <w:p w14:paraId="41010000">
            <w:pPr>
              <w:rPr>
                <w:sz w:val="22"/>
              </w:rPr>
            </w:pPr>
          </w:p>
        </w:tc>
        <w:tc>
          <w:tcPr>
            <w:tcW w:type="dxa" w:w="1627"/>
            <w:tcBorders>
              <w:top w:color="000000" w:sz="4" w:val="single"/>
              <w:left w:color="000000" w:sz="4" w:val="single"/>
              <w:bottom w:color="000000" w:sz="4" w:val="single"/>
              <w:right w:color="000000" w:sz="4" w:val="single"/>
            </w:tcBorders>
            <w:vAlign w:val="center"/>
          </w:tcPr>
          <w:p w14:paraId="42010000">
            <w:pPr>
              <w:rPr>
                <w:sz w:val="22"/>
              </w:rPr>
            </w:pPr>
          </w:p>
        </w:tc>
      </w:tr>
      <w:tr>
        <w:trPr>
          <w:trHeight w:hRule="atLeast" w:val="648"/>
        </w:trPr>
        <w:tc>
          <w:tcPr>
            <w:tcW w:type="dxa" w:w="610"/>
            <w:tcBorders>
              <w:top w:color="000000" w:sz="4" w:val="single"/>
              <w:left w:color="000000" w:sz="4" w:val="single"/>
              <w:bottom w:color="000000" w:sz="4" w:val="single"/>
              <w:right w:color="000000" w:sz="4" w:val="single"/>
            </w:tcBorders>
          </w:tcPr>
          <w:p w14:paraId="43010000">
            <w:pPr>
              <w:pStyle w:val="Style_3"/>
              <w:rPr>
                <w:sz w:val="22"/>
              </w:rPr>
            </w:pPr>
          </w:p>
        </w:tc>
        <w:tc>
          <w:tcPr>
            <w:tcW w:type="dxa" w:w="2822"/>
            <w:tcBorders>
              <w:top w:color="000000" w:sz="4" w:val="single"/>
              <w:left w:color="000000" w:sz="4" w:val="single"/>
              <w:bottom w:color="000000" w:sz="4" w:val="single"/>
              <w:right w:color="000000" w:sz="4" w:val="single"/>
            </w:tcBorders>
          </w:tcPr>
          <w:p w14:paraId="44010000">
            <w:pPr>
              <w:rPr>
                <w:sz w:val="22"/>
              </w:rPr>
            </w:pPr>
          </w:p>
        </w:tc>
        <w:tc>
          <w:tcPr>
            <w:tcW w:type="dxa" w:w="1988"/>
            <w:tcBorders>
              <w:top w:color="000000" w:sz="4" w:val="single"/>
              <w:left w:color="000000" w:sz="4" w:val="single"/>
              <w:bottom w:color="000000" w:sz="4" w:val="single"/>
              <w:right w:color="000000" w:sz="4" w:val="single"/>
            </w:tcBorders>
          </w:tcPr>
          <w:p w14:paraId="45010000">
            <w:pPr>
              <w:rPr>
                <w:sz w:val="22"/>
              </w:rPr>
            </w:pPr>
          </w:p>
        </w:tc>
        <w:tc>
          <w:tcPr>
            <w:tcW w:type="dxa" w:w="2270"/>
            <w:tcBorders>
              <w:top w:color="000000" w:sz="4" w:val="single"/>
              <w:left w:color="000000" w:sz="4" w:val="single"/>
              <w:bottom w:color="000000" w:sz="4" w:val="single"/>
              <w:right w:color="000000" w:sz="4" w:val="single"/>
            </w:tcBorders>
          </w:tcPr>
          <w:p w14:paraId="46010000">
            <w:pPr>
              <w:rPr>
                <w:sz w:val="22"/>
              </w:rPr>
            </w:pPr>
          </w:p>
        </w:tc>
        <w:tc>
          <w:tcPr>
            <w:tcW w:type="dxa" w:w="1276"/>
            <w:tcBorders>
              <w:top w:color="000000" w:sz="4" w:val="single"/>
              <w:left w:color="000000" w:sz="4" w:val="single"/>
              <w:bottom w:color="000000" w:sz="4" w:val="single"/>
              <w:right w:color="000000" w:sz="4" w:val="single"/>
            </w:tcBorders>
          </w:tcPr>
          <w:p w14:paraId="47010000">
            <w:pPr>
              <w:rPr>
                <w:sz w:val="22"/>
              </w:rPr>
            </w:pPr>
          </w:p>
        </w:tc>
        <w:tc>
          <w:tcPr>
            <w:tcW w:type="dxa" w:w="1275"/>
            <w:tcBorders>
              <w:top w:color="000000" w:sz="4" w:val="single"/>
              <w:left w:color="000000" w:sz="4" w:val="single"/>
              <w:bottom w:color="000000" w:sz="4" w:val="single"/>
              <w:right w:color="000000" w:sz="4" w:val="single"/>
            </w:tcBorders>
          </w:tcPr>
          <w:p w14:paraId="48010000">
            <w:pPr>
              <w:rPr>
                <w:sz w:val="22"/>
              </w:rPr>
            </w:pPr>
          </w:p>
        </w:tc>
        <w:tc>
          <w:tcPr>
            <w:tcW w:type="dxa" w:w="1701"/>
            <w:tcBorders>
              <w:top w:color="000000" w:sz="4" w:val="single"/>
              <w:left w:color="000000" w:sz="4" w:val="single"/>
              <w:bottom w:color="000000" w:sz="4" w:val="single"/>
              <w:right w:color="000000" w:sz="4" w:val="single"/>
            </w:tcBorders>
          </w:tcPr>
          <w:p w14:paraId="49010000">
            <w:pPr>
              <w:widowControl w:val="1"/>
              <w:ind/>
              <w:jc w:val="center"/>
              <w:rPr>
                <w:color w:val="000000"/>
                <w:sz w:val="22"/>
              </w:rPr>
            </w:pPr>
          </w:p>
        </w:tc>
        <w:tc>
          <w:tcPr>
            <w:tcW w:type="dxa" w:w="2133"/>
            <w:tcBorders>
              <w:top w:color="000000" w:sz="4" w:val="single"/>
              <w:left w:color="000000" w:sz="4" w:val="single"/>
              <w:bottom w:color="000000" w:sz="4" w:val="single"/>
              <w:right w:color="000000" w:sz="4" w:val="single"/>
            </w:tcBorders>
            <w:vAlign w:val="center"/>
          </w:tcPr>
          <w:p w14:paraId="4A010000">
            <w:pPr>
              <w:rPr>
                <w:sz w:val="22"/>
              </w:rPr>
            </w:pPr>
          </w:p>
        </w:tc>
        <w:tc>
          <w:tcPr>
            <w:tcW w:type="dxa" w:w="1627"/>
            <w:tcBorders>
              <w:top w:color="000000" w:sz="4" w:val="single"/>
              <w:left w:color="000000" w:sz="4" w:val="single"/>
              <w:bottom w:color="000000" w:sz="4" w:val="single"/>
              <w:right w:color="000000" w:sz="4" w:val="single"/>
            </w:tcBorders>
            <w:vAlign w:val="center"/>
          </w:tcPr>
          <w:p w14:paraId="4B010000">
            <w:pPr>
              <w:rPr>
                <w:sz w:val="22"/>
              </w:rPr>
            </w:pPr>
          </w:p>
        </w:tc>
      </w:tr>
      <w:tr>
        <w:trPr>
          <w:trHeight w:hRule="atLeast" w:val="256"/>
        </w:trPr>
        <w:tc>
          <w:tcPr>
            <w:tcW w:type="dxa" w:w="5420"/>
            <w:gridSpan w:val="3"/>
            <w:tcBorders>
              <w:top w:color="000000" w:sz="4" w:val="single"/>
              <w:left w:color="000000" w:sz="4" w:val="single"/>
              <w:bottom w:color="000000" w:sz="4" w:val="single"/>
              <w:right w:color="000000" w:sz="4" w:val="single"/>
            </w:tcBorders>
          </w:tcPr>
          <w:p w14:paraId="4C010000">
            <w:pPr>
              <w:widowControl w:val="1"/>
              <w:ind/>
              <w:jc w:val="both"/>
            </w:pPr>
            <w:r>
              <w:t>Итого</w:t>
            </w:r>
          </w:p>
        </w:tc>
        <w:tc>
          <w:tcPr>
            <w:tcW w:type="dxa" w:w="2270"/>
            <w:tcBorders>
              <w:top w:color="000000" w:sz="4" w:val="single"/>
              <w:left w:color="000000" w:sz="4" w:val="single"/>
              <w:bottom w:color="000000" w:sz="4" w:val="single"/>
              <w:right w:color="000000" w:sz="4" w:val="single"/>
            </w:tcBorders>
          </w:tcPr>
          <w:p w14:paraId="4D010000">
            <w:pPr>
              <w:widowControl w:val="1"/>
              <w:ind/>
              <w:jc w:val="right"/>
              <w:rPr>
                <w:b w:val="1"/>
              </w:rPr>
            </w:pPr>
          </w:p>
        </w:tc>
        <w:tc>
          <w:tcPr>
            <w:tcW w:type="dxa" w:w="1276"/>
            <w:tcBorders>
              <w:top w:color="000000" w:sz="4" w:val="single"/>
              <w:left w:color="000000" w:sz="4" w:val="single"/>
              <w:bottom w:color="000000" w:sz="4" w:val="single"/>
              <w:right w:color="000000" w:sz="4" w:val="single"/>
            </w:tcBorders>
          </w:tcPr>
          <w:p w14:paraId="4E010000">
            <w:pPr>
              <w:widowControl w:val="1"/>
              <w:ind/>
              <w:jc w:val="right"/>
              <w:rPr>
                <w:b w:val="1"/>
              </w:rPr>
            </w:pPr>
          </w:p>
        </w:tc>
        <w:tc>
          <w:tcPr>
            <w:tcW w:type="dxa" w:w="1275"/>
            <w:tcBorders>
              <w:top w:color="000000" w:sz="4" w:val="single"/>
              <w:left w:color="000000" w:sz="4" w:val="single"/>
              <w:bottom w:color="000000" w:sz="4" w:val="single"/>
              <w:right w:color="000000" w:sz="4" w:val="single"/>
            </w:tcBorders>
          </w:tcPr>
          <w:p w14:paraId="4F010000">
            <w:pPr>
              <w:widowControl w:val="1"/>
              <w:ind/>
              <w:jc w:val="right"/>
              <w:rPr>
                <w:b w:val="1"/>
              </w:rPr>
            </w:pPr>
          </w:p>
        </w:tc>
        <w:tc>
          <w:tcPr>
            <w:tcW w:type="dxa" w:w="1701"/>
            <w:tcBorders>
              <w:top w:color="000000" w:sz="4" w:val="single"/>
              <w:left w:color="000000" w:sz="4" w:val="single"/>
              <w:bottom w:color="000000" w:sz="4" w:val="single"/>
              <w:right w:color="000000" w:sz="4" w:val="single"/>
            </w:tcBorders>
          </w:tcPr>
          <w:p w14:paraId="50010000">
            <w:pPr>
              <w:widowControl w:val="1"/>
              <w:ind/>
              <w:jc w:val="right"/>
              <w:rPr>
                <w:b w:val="1"/>
              </w:rPr>
            </w:pPr>
          </w:p>
        </w:tc>
        <w:tc>
          <w:tcPr>
            <w:tcW w:type="dxa" w:w="2133"/>
            <w:tcBorders>
              <w:top w:color="000000" w:sz="4" w:val="single"/>
              <w:left w:color="000000" w:sz="4" w:val="single"/>
              <w:bottom w:color="000000" w:sz="4" w:val="single"/>
              <w:right w:color="000000" w:sz="4" w:val="single"/>
            </w:tcBorders>
          </w:tcPr>
          <w:p w14:paraId="51010000">
            <w:pPr>
              <w:widowControl w:val="1"/>
              <w:ind/>
              <w:jc w:val="right"/>
              <w:rPr>
                <w:b w:val="1"/>
              </w:rPr>
            </w:pPr>
          </w:p>
        </w:tc>
        <w:tc>
          <w:tcPr>
            <w:tcW w:type="dxa" w:w="1627"/>
            <w:tcBorders>
              <w:top w:color="000000" w:sz="4" w:val="single"/>
              <w:left w:color="000000" w:sz="4" w:val="single"/>
              <w:bottom w:color="000000" w:sz="4" w:val="single"/>
              <w:right w:color="000000" w:sz="4" w:val="single"/>
            </w:tcBorders>
          </w:tcPr>
          <w:p w14:paraId="52010000">
            <w:pPr>
              <w:widowControl w:val="1"/>
              <w:ind/>
              <w:jc w:val="right"/>
              <w:rPr>
                <w:b w:val="1"/>
              </w:rPr>
            </w:pPr>
          </w:p>
        </w:tc>
      </w:tr>
    </w:tbl>
    <w:tbl>
      <w:tblPr>
        <w:tblStyle w:val="Style_7"/>
        <w:tblW w:type="auto" w:w="0"/>
        <w:jc w:val="center"/>
        <w:tblLayout w:type="fixed"/>
      </w:tblPr>
      <w:tblGrid>
        <w:gridCol w:w="5116"/>
        <w:gridCol w:w="4454"/>
      </w:tblGrid>
      <w:tr>
        <w:tc>
          <w:tcPr>
            <w:tcW w:type="dxa" w:w="5116"/>
            <w:tcBorders>
              <w:top w:color="FFFFFF" w:sz="4" w:val="single"/>
              <w:left w:color="FFFFFF" w:sz="4" w:val="single"/>
              <w:bottom w:color="FFFFFF" w:sz="4" w:val="single"/>
              <w:right w:color="FFFFFF" w:sz="4" w:val="single"/>
            </w:tcBorders>
          </w:tcPr>
          <w:p w14:paraId="53010000">
            <w:pPr>
              <w:rPr>
                <w:rFonts w:ascii="Calibri" w:hAnsi="Calibri"/>
              </w:rPr>
            </w:pPr>
          </w:p>
          <w:p w14:paraId="54010000">
            <w:pPr>
              <w:rPr>
                <w:rFonts w:ascii="Calibri" w:hAnsi="Calibri"/>
              </w:rPr>
            </w:pPr>
            <w:r>
              <w:rPr>
                <w:rFonts w:ascii="Tinos" w:hAnsi="Tinos"/>
                <w:color w:val="000000"/>
              </w:rPr>
              <w:t>Заказчик:</w:t>
            </w:r>
          </w:p>
        </w:tc>
        <w:tc>
          <w:tcPr>
            <w:tcW w:type="dxa" w:w="4454"/>
            <w:tcBorders>
              <w:top w:color="FFFFFF" w:sz="4" w:val="single"/>
              <w:left w:color="FFFFFF" w:sz="4" w:val="single"/>
              <w:bottom w:color="FFFFFF" w:sz="4" w:val="single"/>
              <w:right w:color="FFFFFF" w:sz="4" w:val="single"/>
            </w:tcBorders>
          </w:tcPr>
          <w:p w14:paraId="55010000">
            <w:pPr>
              <w:rPr>
                <w:rFonts w:ascii="Calibri" w:hAnsi="Calibri"/>
              </w:rPr>
            </w:pPr>
          </w:p>
          <w:p w14:paraId="56010000">
            <w:pPr>
              <w:rPr>
                <w:rFonts w:ascii="Calibri" w:hAnsi="Calibri"/>
              </w:rPr>
            </w:pPr>
            <w:r>
              <w:rPr>
                <w:rFonts w:ascii="Tinos" w:hAnsi="Tinos"/>
                <w:color w:val="000000"/>
              </w:rPr>
              <w:t>Поставщик:</w:t>
            </w:r>
          </w:p>
        </w:tc>
      </w:tr>
      <w:tr>
        <w:tc>
          <w:tcPr>
            <w:tcW w:type="dxa" w:w="5116"/>
            <w:tcBorders>
              <w:top w:color="FFFFFF" w:sz="4" w:val="single"/>
              <w:left w:color="FFFFFF" w:sz="4" w:val="single"/>
              <w:bottom w:sz="4" w:val="nil"/>
              <w:right w:color="FFFFFF" w:sz="4" w:val="single"/>
            </w:tcBorders>
          </w:tcPr>
          <w:p w14:paraId="57010000">
            <w:pPr>
              <w:rPr>
                <w:rFonts w:ascii="Calibri" w:hAnsi="Calibri"/>
              </w:rPr>
            </w:pPr>
            <w:r>
              <w:rPr>
                <w:rFonts w:ascii="Tinos" w:hAnsi="Tinos"/>
                <w:color w:val="000000"/>
              </w:rPr>
              <w:t>Государственное бюджетное</w:t>
            </w:r>
          </w:p>
          <w:p w14:paraId="58010000">
            <w:pPr>
              <w:rPr>
                <w:rFonts w:ascii="Calibri" w:hAnsi="Calibri"/>
              </w:rPr>
            </w:pPr>
            <w:r>
              <w:rPr>
                <w:rFonts w:ascii="Tinos" w:hAnsi="Tinos"/>
                <w:color w:val="000000"/>
              </w:rPr>
              <w:t>общеобразовательное учреждение</w:t>
            </w:r>
          </w:p>
          <w:p w14:paraId="59010000">
            <w:pPr>
              <w:rPr>
                <w:rFonts w:ascii="Calibri" w:hAnsi="Calibri"/>
              </w:rPr>
            </w:pPr>
            <w:r>
              <w:rPr>
                <w:rFonts w:ascii="Tinos" w:hAnsi="Tinos"/>
                <w:color w:val="000000"/>
              </w:rPr>
              <w:t>Петергофская гимназия</w:t>
            </w:r>
          </w:p>
          <w:p w14:paraId="5A010000">
            <w:pPr>
              <w:rPr>
                <w:rFonts w:ascii="Calibri" w:hAnsi="Calibri"/>
              </w:rPr>
            </w:pPr>
            <w:r>
              <w:rPr>
                <w:rFonts w:ascii="Tinos" w:hAnsi="Tinos"/>
                <w:color w:val="000000"/>
              </w:rPr>
              <w:t>императора Александра II</w:t>
            </w:r>
          </w:p>
          <w:p w14:paraId="5B010000">
            <w:pPr>
              <w:rPr>
                <w:rFonts w:ascii="Tinos" w:hAnsi="Tinos"/>
                <w:color w:val="000000"/>
              </w:rPr>
            </w:pPr>
          </w:p>
        </w:tc>
        <w:tc>
          <w:tcPr>
            <w:tcW w:type="dxa" w:w="4454"/>
            <w:tcBorders>
              <w:top w:color="FFFFFF" w:sz="4" w:val="single"/>
              <w:left w:color="FFFFFF" w:sz="4" w:val="single"/>
              <w:bottom w:sz="4" w:val="nil"/>
              <w:right w:color="FFFFFF" w:sz="4" w:val="single"/>
            </w:tcBorders>
          </w:tcPr>
          <w:p w14:paraId="5C010000">
            <w:pPr>
              <w:rPr>
                <w:rFonts w:ascii="Tinos" w:hAnsi="Tinos"/>
                <w:color w:val="000000"/>
              </w:rPr>
            </w:pPr>
          </w:p>
        </w:tc>
      </w:tr>
      <w:tr>
        <w:tc>
          <w:tcPr>
            <w:tcW w:type="dxa" w:w="5116"/>
            <w:tcBorders>
              <w:top w:sz="4" w:val="nil"/>
              <w:left w:sz="4" w:val="nil"/>
              <w:bottom w:sz="4" w:val="nil"/>
              <w:right w:sz="4" w:val="nil"/>
            </w:tcBorders>
          </w:tcPr>
          <w:p w14:paraId="5D010000">
            <w:pPr>
              <w:rPr>
                <w:rFonts w:ascii="Calibri" w:hAnsi="Calibri"/>
              </w:rPr>
            </w:pPr>
            <w:r>
              <w:rPr>
                <w:rFonts w:ascii="Tinos" w:hAnsi="Tinos"/>
                <w:color w:val="000000"/>
              </w:rPr>
              <w:t xml:space="preserve">Директор           </w:t>
            </w:r>
            <w:r>
              <w:rPr>
                <w:rFonts w:ascii="Tinos" w:hAnsi="Tinos"/>
                <w:color w:val="000000"/>
              </w:rPr>
              <w:tab/>
            </w:r>
            <w:r>
              <w:rPr>
                <w:rFonts w:ascii="Tinos" w:hAnsi="Tinos"/>
                <w:color w:val="000000"/>
              </w:rPr>
              <w:t>И. П. Моисеенко</w:t>
            </w:r>
          </w:p>
          <w:p w14:paraId="5E010000">
            <w:pPr>
              <w:rPr>
                <w:rFonts w:ascii="Calibri" w:hAnsi="Calibri"/>
              </w:rPr>
            </w:pPr>
            <w:r>
              <w:rPr>
                <w:rFonts w:ascii="Tinos" w:hAnsi="Tinos"/>
                <w:color w:val="000000"/>
              </w:rPr>
              <w:t>(подписано ЭЦП)</w:t>
            </w:r>
          </w:p>
        </w:tc>
        <w:tc>
          <w:tcPr>
            <w:tcW w:type="dxa" w:w="4454"/>
            <w:tcBorders>
              <w:top w:sz="4" w:val="nil"/>
              <w:left w:sz="4" w:val="nil"/>
              <w:bottom w:sz="4" w:val="nil"/>
              <w:right w:sz="4" w:val="nil"/>
            </w:tcBorders>
          </w:tcPr>
          <w:p w14:paraId="5F010000">
            <w:pPr>
              <w:rPr>
                <w:rFonts w:ascii="Tinos" w:hAnsi="Tinos"/>
                <w:color w:val="000000"/>
              </w:rPr>
            </w:pPr>
          </w:p>
          <w:p w14:paraId="60010000">
            <w:pPr>
              <w:rPr>
                <w:rFonts w:ascii="Calibri" w:hAnsi="Calibri"/>
              </w:rPr>
            </w:pPr>
            <w:r>
              <w:rPr>
                <w:rFonts w:ascii="Tinos" w:hAnsi="Tinos"/>
                <w:color w:val="000000"/>
              </w:rPr>
              <w:t>(подписано ЭЦП)</w:t>
            </w:r>
          </w:p>
        </w:tc>
      </w:tr>
    </w:tbl>
    <w:p w14:paraId="61010000">
      <w:pPr>
        <w:widowControl w:val="1"/>
        <w:ind/>
        <w:jc w:val="right"/>
        <w:rPr>
          <w:sz w:val="22"/>
        </w:rPr>
      </w:pPr>
    </w:p>
    <w:p w14:paraId="62010000">
      <w:pPr>
        <w:rPr>
          <w:sz w:val="22"/>
        </w:rPr>
      </w:pPr>
    </w:p>
    <w:sectPr>
      <w:footerReference r:id="rId3" w:type="default"/>
      <w:footerReference r:id="rId4" w:type="first"/>
      <w:footerReference r:id="rId5" w:type="even"/>
      <w:pgSz w:h="11906" w:orient="landscape" w:w="16838"/>
      <w:pgMar w:bottom="454" w:footer="0" w:gutter="0" w:header="0" w:left="567" w:right="567" w:top="426"/>
    </w:sectPr>
  </w:body>
</w:document>
</file>

<file path=word/endnotes.xml><?xml version="1.0" encoding="utf-8"?>
<w:endnote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w:endnote w:id="-1" w:type="separator">
    <w:p w14:paraId="6B010000">
      <w:r>
        <w:separator/>
      </w:r>
    </w:p>
  </w:endnote>
  <w:endnote w:id="0" w:type="continuationSeparator">
    <w:p w14:paraId="6C010000">
      <w:r>
        <w:continuationSeparator/>
      </w:r>
    </w:p>
  </w:endnote>
</w:endnotes>
</file>

<file path=word/fontTable.xml><?xml version="1.0" encoding="utf-8"?>
<w:fonts xmlns:w="http://schemas.openxmlformats.org/wordprocessingml/2006/main">
  <w:font w:name="Cambria">
    <w:panose1 w:val="02040503050406030204"/>
    <w:charset w:val="00"/>
    <w:family w:val="auto"/>
    <w:pitch w:val="variable"/>
    <w:sig w:csb0="0000019F" w:csb1="00000000" w:usb0="E00002FF" w:usb1="400004FF" w:usb2="00000000" w:usb3="00000000"/>
  </w:font>
  <w:font w:name="ＭＳ 明朝">
    <w:panose1 w:val="00000000000000000000"/>
    <w:charset w:val="80"/>
    <w:family w:val="roman"/>
    <w:notTrueType/>
    <w:pitch w:val="fixed"/>
    <w:sig w:csb0="00020000" w:csb1="00000000" w:usb0="00000001" w:usb1="08070000" w:usb2="00000010" w:usb3="00000000"/>
  </w:font>
  <w:font w:name="Times New Roman">
    <w:panose1 w:val="02020603050405020304"/>
    <w:charset w:val="00"/>
    <w:family w:val="auto"/>
    <w:pitch w:val="variable"/>
    <w:sig w:csb0="00000001" w:csb1="00000000" w:usb0="00000003" w:usb1="00000000" w:usb2="00000000" w:usb3="00000000"/>
  </w:font>
  <w:font w:name="Calibri">
    <w:panose1 w:val="020F0502020204030204"/>
    <w:charset w:val="00"/>
    <w:family w:val="auto"/>
    <w:pitch w:val="variable"/>
    <w:sig w:csb0="0000019F" w:csb1="00000000" w:usb0="E10002FF" w:usb1="4000ACFF" w:usb2="00000009" w:usb3="00000000"/>
  </w:font>
  <w:font w:name="ＭＳ ゴシック">
    <w:panose1 w:val="00000000000000000000"/>
    <w:charset w:val="80"/>
    <w:family w:val="modern"/>
    <w:notTrueType/>
    <w:pitch w:val="fixed"/>
    <w:sig w:csb0="00020000" w:csb1="00000000" w:usb0="00000001" w:usb1="08070000" w:usb2="00000010" w:usb3="00000000"/>
  </w:font>
  <w:font w:name="Consolas">
    <w:panose1 w:val="020B0609020204030204"/>
    <w:charset w:val="00"/>
    <w:family w:val="auto"/>
    <w:pitch w:val="variable"/>
    <w:sig w:csb0="0000019F" w:csb1="00000000" w:usb0="E10002FF" w:usb1="4000FCFF" w:usb2="00000009" w:usb3="00000000"/>
  </w:font>
  <w:font w:name="Arial">
    <w:panose1 w:val="020B0604020202020204"/>
    <w:charset w:val="00"/>
    <w:family w:val="auto"/>
    <w:pitch w:val="variable"/>
    <w:sig w:csb0="00000001" w:csb1="00000000" w:usb0="00000003" w:usb1="00000000" w:usb2="00000000" w:usb3="00000000"/>
  </w:font>
</w:fonts>
</file>

<file path=word/footer1.xml><?xml version="1.0" encoding="utf-8"?>
<w:ftr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p w14:paraId="01000000">
    <w:pPr>
      <w:pStyle w:val="Style_1"/>
      <w:widowControl w:val="1"/>
      <w:ind w:right="360"/>
    </w:pPr>
    <w:r>
      <mc:AlternateContent>
        <mc:Choice Requires="wps">
          <w:drawing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wp:anchor allowOverlap="true" behindDoc="false" distB="0" distL="0" distR="0" distT="0" layoutInCell="true" locked="false" relativeHeight="251658240" simplePos="false">
              <wp:simplePos x="0" y="0"/>
              <wp:positionH relativeFrom="margin">
                <wp:align>right</wp:align>
              </wp:positionH>
              <wp:positionV relativeFrom="paragraph">
                <wp:posOffset>635</wp:posOffset>
              </wp:positionV>
              <wp:extent cx="57785" cy="130175"/>
              <wp:wrapSquare distB="0" distL="0" distR="0" distT="0" wrapText="bothSides"/>
              <wp:docPr hidden="false" id="1" name="Picture 1"/>
              <a:graphic>
                <a:graphicData uri="http://schemas.microsoft.com/office/word/2010/wordprocessingShape">
                  <wps:wsp>
                    <wps:cNvSpPr txBox="false"/>
                    <wps:spPr>
                      <a:xfrm flipH="false" flipV="false" rot="0">
                        <a:off x="0" y="0"/>
                        <a:ext cx="57785" cy="130175"/>
                      </a:xfrm>
                      <a:prstGeom prst="rect">
                        <a:avLst/>
                      </a:prstGeom>
                      <a:noFill/>
                      <a:ln>
                        <a:noFill/>
                      </a:ln>
                    </wps:spPr>
                    <wps:txbx>
                      <w:txbxContent>
                        <w:p w14:paraId="02000000">
                          <w:pPr>
                            <w:pStyle w:val="Style_1"/>
                            <w:rPr>
                              <w:rStyle w:val="Style_2_ch"/>
                              <w:rFonts w:ascii="Times New Roman" w:hAnsi="Times New Roman"/>
                              <w:color w:val="000000"/>
                              <w:spacing w:val="0"/>
                              <w:sz w:val="18"/>
                            </w:rPr>
                          </w:pPr>
                          <w:r>
                            <w:rPr>
                              <w:rStyle w:val="Style_2_ch"/>
                              <w:rFonts w:ascii="Times New Roman" w:hAnsi="Times New Roman"/>
                              <w:color w:val="000000"/>
                              <w:spacing w:val="0"/>
                              <w:sz w:val="18"/>
                            </w:rPr>
                            <w:fldChar w:fldCharType="begin"/>
                          </w:r>
                          <w:r>
                            <w:rPr>
                              <w:rStyle w:val="Style_2_ch"/>
                              <w:rFonts w:ascii="Times New Roman" w:hAnsi="Times New Roman"/>
                              <w:color w:val="000000"/>
                              <w:spacing w:val="0"/>
                              <w:sz w:val="18"/>
                            </w:rPr>
                            <w:instrText xml:space="preserve">PAGE </w:instrText>
                          </w:r>
                          <w:r>
                            <w:rPr>
                              <w:rStyle w:val="Style_2_ch"/>
                              <w:rFonts w:ascii="Times New Roman" w:hAnsi="Times New Roman"/>
                              <w:color w:val="000000"/>
                              <w:spacing w:val="0"/>
                              <w:sz w:val="18"/>
                            </w:rPr>
                            <w:fldChar w:fldCharType="separate"/>
                          </w:r>
                          <w:r>
                            <w:rPr>
                              <w:rStyle w:val="Style_2_ch"/>
                              <w:rFonts w:ascii="Times New Roman" w:hAnsi="Times New Roman"/>
                              <w:color w:val="000000"/>
                              <w:spacing w:val="0"/>
                              <w:sz w:val="18"/>
                            </w:rPr>
                            <w:t xml:space="preserve"> </w:t>
                          </w:r>
                          <w:r>
                            <w:rPr>
                              <w:rStyle w:val="Style_2_ch"/>
                              <w:rFonts w:ascii="Times New Roman" w:hAnsi="Times New Roman"/>
                              <w:color w:val="000000"/>
                              <w:spacing w:val="0"/>
                              <w:sz w:val="18"/>
                            </w:rPr>
                            <w:fldChar w:fldCharType="end"/>
                          </w:r>
                        </w:p>
                      </w:txbxContent>
                    </wps:txbx>
                    <wps:bodyPr anchor="t" bIns="0" lIns="0" rIns="0" tIns="0" wrap="square">
                      <a:spAutoFit/>
                    </wps:bodyPr>
                  </wps:wsp>
                </a:graphicData>
              </a:graphic>
            </wp:anchor>
          </w:drawing>
        </mc:Choice>
        <mc:Fallback>
          <w:pict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Fallback>
      </mc:AlternateContent>
    </w:r>
  </w:p>
</w:ftr>
</file>

<file path=word/footer2.xml><?xml version="1.0" encoding="utf-8"?>
<w:ftr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p w14:paraId="03000000">
    <w:pPr>
      <w:pStyle w:val="Style_1"/>
      <w:widowControl w:val="1"/>
      <w:ind w:right="360"/>
    </w:pPr>
    <w:r>
      <mc:AlternateContent>
        <mc:Choice Requires="wps">
          <w:drawing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wp:anchor allowOverlap="true" behindDoc="false" distB="0" distL="0" distR="0" distT="0" layoutInCell="true" locked="false" relativeHeight="251658240" simplePos="false">
              <wp:simplePos x="0" y="0"/>
              <wp:positionH relativeFrom="margin">
                <wp:align>right</wp:align>
              </wp:positionH>
              <wp:positionV relativeFrom="paragraph">
                <wp:posOffset>635</wp:posOffset>
              </wp:positionV>
              <wp:extent cx="57785" cy="130175"/>
              <wp:wrapSquare distB="0" distL="0" distR="0" distT="0" wrapText="bothSides"/>
              <wp:docPr hidden="false" id="2" name="Picture 2"/>
              <a:graphic>
                <a:graphicData uri="http://schemas.microsoft.com/office/word/2010/wordprocessingShape">
                  <wps:wsp>
                    <wps:cNvSpPr txBox="false"/>
                    <wps:spPr>
                      <a:xfrm flipH="false" flipV="false" rot="0">
                        <a:off x="0" y="0"/>
                        <a:ext cx="57785" cy="130175"/>
                      </a:xfrm>
                      <a:prstGeom prst="rect">
                        <a:avLst/>
                      </a:prstGeom>
                      <a:noFill/>
                      <a:ln>
                        <a:noFill/>
                      </a:ln>
                    </wps:spPr>
                    <wps:txbx>
                      <w:txbxContent>
                        <w:p w14:paraId="04000000">
                          <w:pPr>
                            <w:pStyle w:val="Style_1"/>
                            <w:rPr>
                              <w:rStyle w:val="Style_2_ch"/>
                              <w:rFonts w:ascii="Times New Roman" w:hAnsi="Times New Roman"/>
                              <w:color w:val="000000"/>
                              <w:spacing w:val="0"/>
                              <w:sz w:val="18"/>
                            </w:rPr>
                          </w:pPr>
                          <w:r>
                            <w:rPr>
                              <w:rStyle w:val="Style_2_ch"/>
                              <w:rFonts w:ascii="Times New Roman" w:hAnsi="Times New Roman"/>
                              <w:color w:val="000000"/>
                              <w:spacing w:val="0"/>
                              <w:sz w:val="18"/>
                            </w:rPr>
                            <w:fldChar w:fldCharType="begin"/>
                          </w:r>
                          <w:r>
                            <w:rPr>
                              <w:rStyle w:val="Style_2_ch"/>
                              <w:rFonts w:ascii="Times New Roman" w:hAnsi="Times New Roman"/>
                              <w:color w:val="000000"/>
                              <w:spacing w:val="0"/>
                              <w:sz w:val="18"/>
                            </w:rPr>
                            <w:instrText xml:space="preserve">PAGE </w:instrText>
                          </w:r>
                          <w:r>
                            <w:rPr>
                              <w:rStyle w:val="Style_2_ch"/>
                              <w:rFonts w:ascii="Times New Roman" w:hAnsi="Times New Roman"/>
                              <w:color w:val="000000"/>
                              <w:spacing w:val="0"/>
                              <w:sz w:val="18"/>
                            </w:rPr>
                            <w:fldChar w:fldCharType="separate"/>
                          </w:r>
                          <w:r>
                            <w:rPr>
                              <w:rStyle w:val="Style_2_ch"/>
                              <w:rFonts w:ascii="Times New Roman" w:hAnsi="Times New Roman"/>
                              <w:color w:val="000000"/>
                              <w:spacing w:val="0"/>
                              <w:sz w:val="18"/>
                            </w:rPr>
                            <w:t xml:space="preserve"> </w:t>
                          </w:r>
                          <w:r>
                            <w:rPr>
                              <w:rStyle w:val="Style_2_ch"/>
                              <w:rFonts w:ascii="Times New Roman" w:hAnsi="Times New Roman"/>
                              <w:color w:val="000000"/>
                              <w:spacing w:val="0"/>
                              <w:sz w:val="18"/>
                            </w:rPr>
                            <w:fldChar w:fldCharType="end"/>
                          </w:r>
                        </w:p>
                      </w:txbxContent>
                    </wps:txbx>
                    <wps:bodyPr anchor="t" bIns="0" lIns="0" rIns="0" tIns="0" wrap="square">
                      <a:spAutoFit/>
                    </wps:bodyPr>
                  </wps:wsp>
                </a:graphicData>
              </a:graphic>
            </wp:anchor>
          </w:drawing>
        </mc:Choice>
        <mc:Fallback>
          <w:pict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Fallback>
      </mc:AlternateContent>
    </w:r>
  </w:p>
</w:ftr>
</file>

<file path=word/footer3.xml><?xml version="1.0" encoding="utf-8"?>
<w:ftr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p w14:paraId="05000000">
    <w:pPr>
      <w:pStyle w:val="Style_1"/>
      <w:widowControl w:val="1"/>
      <w:ind w:right="360"/>
    </w:pPr>
    <w:r>
      <mc:AlternateContent>
        <mc:Choice Requires="wps">
          <w:drawing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wp:anchor allowOverlap="true" behindDoc="false" distB="0" distL="0" distR="0" distT="0" layoutInCell="true" locked="false" relativeHeight="251658240" simplePos="false">
              <wp:simplePos x="0" y="0"/>
              <wp:positionH relativeFrom="margin">
                <wp:align>right</wp:align>
              </wp:positionH>
              <wp:positionV relativeFrom="paragraph">
                <wp:posOffset>635</wp:posOffset>
              </wp:positionV>
              <wp:extent cx="114935" cy="130175"/>
              <wp:wrapSquare distB="0" distL="0" distR="0" distT="0" wrapText="bothSides"/>
              <wp:docPr hidden="false" id="3" name="Picture 3"/>
              <a:graphic>
                <a:graphicData uri="http://schemas.microsoft.com/office/word/2010/wordprocessingShape">
                  <wps:wsp>
                    <wps:cNvSpPr txBox="false"/>
                    <wps:spPr>
                      <a:xfrm flipH="false" flipV="false" rot="0">
                        <a:off x="0" y="0"/>
                        <a:ext cx="114935" cy="130175"/>
                      </a:xfrm>
                      <a:prstGeom prst="rect">
                        <a:avLst/>
                      </a:prstGeom>
                      <a:noFill/>
                      <a:ln>
                        <a:noFill/>
                      </a:ln>
                    </wps:spPr>
                    <wps:txbx>
                      <w:txbxContent>
                        <w:p w14:paraId="06000000">
                          <w:pPr>
                            <w:pStyle w:val="Style_1"/>
                            <w:rPr>
                              <w:rStyle w:val="Style_2_ch"/>
                              <w:rFonts w:ascii="Times New Roman" w:hAnsi="Times New Roman"/>
                              <w:color w:val="000000"/>
                              <w:spacing w:val="0"/>
                              <w:sz w:val="18"/>
                            </w:rPr>
                          </w:pPr>
                          <w:r>
                            <w:rPr>
                              <w:rStyle w:val="Style_2_ch"/>
                              <w:rFonts w:ascii="Times New Roman" w:hAnsi="Times New Roman"/>
                              <w:color w:val="000000"/>
                              <w:spacing w:val="0"/>
                              <w:sz w:val="18"/>
                            </w:rPr>
                            <w:fldChar w:fldCharType="begin"/>
                          </w:r>
                          <w:r>
                            <w:rPr>
                              <w:rStyle w:val="Style_2_ch"/>
                              <w:rFonts w:ascii="Times New Roman" w:hAnsi="Times New Roman"/>
                              <w:color w:val="000000"/>
                              <w:spacing w:val="0"/>
                              <w:sz w:val="18"/>
                            </w:rPr>
                            <w:instrText xml:space="preserve">PAGE </w:instrText>
                          </w:r>
                          <w:r>
                            <w:rPr>
                              <w:rStyle w:val="Style_2_ch"/>
                              <w:rFonts w:ascii="Times New Roman" w:hAnsi="Times New Roman"/>
                              <w:color w:val="000000"/>
                              <w:spacing w:val="0"/>
                              <w:sz w:val="18"/>
                            </w:rPr>
                            <w:fldChar w:fldCharType="separate"/>
                          </w:r>
                          <w:r>
                            <w:rPr>
                              <w:rStyle w:val="Style_2_ch"/>
                              <w:rFonts w:ascii="Times New Roman" w:hAnsi="Times New Roman"/>
                              <w:color w:val="000000"/>
                              <w:spacing w:val="0"/>
                              <w:sz w:val="18"/>
                            </w:rPr>
                            <w:t xml:space="preserve"> </w:t>
                          </w:r>
                          <w:r>
                            <w:rPr>
                              <w:rStyle w:val="Style_2_ch"/>
                              <w:rFonts w:ascii="Times New Roman" w:hAnsi="Times New Roman"/>
                              <w:color w:val="000000"/>
                              <w:spacing w:val="0"/>
                              <w:sz w:val="18"/>
                            </w:rPr>
                            <w:fldChar w:fldCharType="end"/>
                          </w:r>
                        </w:p>
                      </w:txbxContent>
                    </wps:txbx>
                    <wps:bodyPr anchor="t" bIns="0" lIns="0" rIns="0" tIns="0" wrap="square">
                      <a:spAutoFit/>
                    </wps:bodyPr>
                  </wps:wsp>
                </a:graphicData>
              </a:graphic>
            </wp:anchor>
          </w:drawing>
        </mc:Choice>
        <mc:Fallback>
          <w:pict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Fallback>
      </mc:AlternateContent>
    </w:r>
  </w:p>
</w:ftr>
</file>

<file path=word/footer4.xml><?xml version="1.0" encoding="utf-8"?>
<w:ftr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p w14:paraId="07000000"/>
</w:ftr>
</file>

<file path=word/footer5.xml><?xml version="1.0" encoding="utf-8"?>
<w:ftr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p w14:paraId="08000000">
    <w:pPr>
      <w:pStyle w:val="Style_1"/>
    </w:pPr>
  </w:p>
</w:ftr>
</file>

<file path=word/footer6.xml><?xml version="1.0" encoding="utf-8"?>
<w:ftr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p w14:paraId="09000000">
    <w:pPr>
      <w:pStyle w:val="Style_1"/>
      <w:widowControl w:val="1"/>
      <w:ind w:right="360"/>
    </w:pPr>
    <w:r>
      <mc:AlternateContent>
        <mc:Choice Requires="wps">
          <w:drawing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wp:anchor allowOverlap="true" behindDoc="false" distB="0" distL="0" distR="0" distT="0" layoutInCell="true" locked="false" relativeHeight="251658240" simplePos="false">
              <wp:simplePos x="0" y="0"/>
              <wp:positionH relativeFrom="margin">
                <wp:align>right</wp:align>
              </wp:positionH>
              <wp:positionV relativeFrom="paragraph">
                <wp:posOffset>635</wp:posOffset>
              </wp:positionV>
              <wp:extent cx="14605" cy="14605"/>
              <wp:wrapSquare distB="0" distL="0" distR="0" distT="0" wrapText="bothSides"/>
              <wp:docPr hidden="false" id="4" name="Picture 4"/>
              <a:graphic>
                <a:graphicData uri="http://schemas.microsoft.com/office/word/2010/wordprocessingShape">
                  <wps:wsp>
                    <wps:cNvSpPr txBox="false"/>
                    <wps:spPr>
                      <a:xfrm flipH="false" flipV="false" rot="0">
                        <a:off x="0" y="0"/>
                        <a:ext cx="14605" cy="14605"/>
                      </a:xfrm>
                      <a:prstGeom prst="rect">
                        <a:avLst/>
                      </a:prstGeom>
                      <a:noFill/>
                      <a:ln>
                        <a:noFill/>
                      </a:ln>
                    </wps:spPr>
                    <wps:txbx>
                      <w:txbxContent>
                        <w:p w14:paraId="0A000000">
                          <w:pPr>
                            <w:pStyle w:val="Style_1"/>
                            <w:rPr>
                              <w:rStyle w:val="Style_2_ch"/>
                              <w:rFonts w:ascii="Times New Roman" w:hAnsi="Times New Roman"/>
                              <w:color w:val="000000"/>
                              <w:spacing w:val="0"/>
                              <w:sz w:val="24"/>
                            </w:rPr>
                          </w:pPr>
                          <w:r>
                            <w:rPr>
                              <w:rStyle w:val="Style_2_ch"/>
                              <w:rFonts w:ascii="Times New Roman" w:hAnsi="Times New Roman"/>
                              <w:color w:val="000000"/>
                              <w:spacing w:val="0"/>
                              <w:sz w:val="24"/>
                            </w:rPr>
                            <w:fldChar w:fldCharType="begin"/>
                          </w:r>
                          <w:r>
                            <w:rPr>
                              <w:rStyle w:val="Style_2_ch"/>
                              <w:rFonts w:ascii="Times New Roman" w:hAnsi="Times New Roman"/>
                              <w:color w:val="000000"/>
                              <w:spacing w:val="0"/>
                              <w:sz w:val="24"/>
                            </w:rPr>
                            <w:instrText xml:space="preserve">PAGE </w:instrText>
                          </w:r>
                          <w:r>
                            <w:rPr>
                              <w:rStyle w:val="Style_2_ch"/>
                              <w:rFonts w:ascii="Times New Roman" w:hAnsi="Times New Roman"/>
                              <w:color w:val="000000"/>
                              <w:spacing w:val="0"/>
                              <w:sz w:val="24"/>
                            </w:rPr>
                            <w:fldChar w:fldCharType="separate"/>
                          </w:r>
                          <w:r>
                            <w:rPr>
                              <w:rStyle w:val="Style_2_ch"/>
                              <w:rFonts w:ascii="Times New Roman" w:hAnsi="Times New Roman"/>
                              <w:color w:val="000000"/>
                              <w:spacing w:val="0"/>
                              <w:sz w:val="24"/>
                            </w:rPr>
                            <w:t xml:space="preserve"> </w:t>
                          </w:r>
                          <w:r>
                            <w:rPr>
                              <w:rStyle w:val="Style_2_ch"/>
                              <w:rFonts w:ascii="Times New Roman" w:hAnsi="Times New Roman"/>
                              <w:color w:val="000000"/>
                              <w:spacing w:val="0"/>
                              <w:sz w:val="24"/>
                            </w:rPr>
                            <w:fldChar w:fldCharType="end"/>
                          </w:r>
                        </w:p>
                      </w:txbxContent>
                    </wps:txbx>
                    <wps:bodyPr anchor="t" bIns="0" lIns="0" rIns="0" tIns="0" wrap="square">
                      <a:spAutoFit/>
                    </wps:bodyPr>
                  </wps:wsp>
                </a:graphicData>
              </a:graphic>
            </wp:anchor>
          </w:drawing>
        </mc:Choice>
        <mc:Fallback>
          <w:pict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Fallback>
      </mc:AlternateContent>
    </w:r>
  </w:p>
</w:ftr>
</file>

<file path=word/footnotes.xml><?xml version="1.0" encoding="utf-8"?>
<w:footnote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footnote w:id="-1" w:type="separator">
    <w:p w14:paraId="63010000">
      <w:r>
        <w:separator/>
      </w:r>
    </w:p>
  </w:footnote>
  <w:footnote w:id="0" w:type="continuationSeparator">
    <w:p w14:paraId="64010000">
      <w:r>
        <w:continuationSeparator/>
      </w:r>
    </w:p>
  </w:footnote>
  <w:footnote w:id="1">
    <w:p w14:paraId="65010000">
      <w:pPr>
        <w:pStyle w:val="Style_43"/>
      </w:pPr>
      <w:r>
        <w:rPr>
          <w:vertAlign w:val="superscript"/>
        </w:rPr>
        <w:footnoteRef/>
      </w:r>
      <w:r>
        <w:t xml:space="preserve"> В случае если Поставщик не является плательщиком НДС, указать "НДС не облагается". В случае если в соответствии с законодательством Российской Федерации о налогах и сборах налоги, сборы и иные обязательные платежи в бюджеты бюджетной системы Российской Федерации, связанные с оплатой государственного (муниципального) контракта (договора), подлежат уплате в бюджеты бюджетной системы Российской Федерации заказчиком, указать условие об уменьшении суммы, подлежащей уплате заказчиком юридическому лицу или физическому лицу, в том числе зарегистрированному в качестве индивидуального предпринимателя, на размер таких налогов, сборов и иных обязательных платежей в бюджеты бюджетной системы Российской Федерации.</w:t>
      </w:r>
    </w:p>
  </w:footnote>
  <w:footnote w:id="2">
    <w:p w14:paraId="66010000">
      <w:pPr>
        <w:pStyle w:val="Style_43"/>
      </w:pPr>
      <w:r>
        <w:rPr>
          <w:vertAlign w:val="superscript"/>
        </w:rPr>
        <w:footnoteRef/>
      </w:r>
      <w:r>
        <w:rPr>
          <w:i w:val="1"/>
        </w:rPr>
        <w:t xml:space="preserve"> </w:t>
      </w:r>
      <w:r>
        <w:rPr>
          <w:i w:val="1"/>
          <w:sz w:val="18"/>
        </w:rPr>
        <w:t>Не требуется в случае применения упрощенной системы налогообложения</w:t>
      </w:r>
    </w:p>
  </w:footnote>
  <w:footnote w:id="3">
    <w:p w14:paraId="67010000">
      <w:pPr>
        <w:pStyle w:val="Style_43"/>
      </w:pPr>
      <w:r>
        <w:rPr>
          <w:vertAlign w:val="superscript"/>
        </w:rPr>
        <w:footnoteRef/>
      </w:r>
      <w:r>
        <w:t xml:space="preserve"> Заполняется в соответствии с заявкой Поставщика с учетом положений пункта 1 части 2 статьи 43 Федерального закона</w:t>
      </w:r>
    </w:p>
  </w:footnote>
  <w:footnote w:id="4">
    <w:p w14:paraId="68010000">
      <w:pPr>
        <w:pStyle w:val="Style_43"/>
      </w:pPr>
      <w:r>
        <w:rPr>
          <w:vertAlign w:val="superscript"/>
        </w:rPr>
        <w:footnoteRef/>
      </w:r>
      <w:r>
        <w:t xml:space="preserve"> </w:t>
      </w:r>
      <w:r>
        <w:rPr>
          <w:i w:val="1"/>
        </w:rPr>
        <w:t>Указывается в строгом соответствии с Общероссийским классификатором единиц измерения</w:t>
      </w:r>
    </w:p>
  </w:footnote>
  <w:footnote w:id="5">
    <w:p w14:paraId="69010000">
      <w:pPr>
        <w:pStyle w:val="Style_43"/>
        <w:rPr>
          <w:i w:val="1"/>
          <w:sz w:val="18"/>
        </w:rPr>
      </w:pPr>
      <w:r>
        <w:rPr>
          <w:i w:val="1"/>
          <w:sz w:val="18"/>
          <w:vertAlign w:val="superscript"/>
        </w:rPr>
        <w:footnoteRef/>
      </w:r>
      <w:r>
        <w:rPr>
          <w:i w:val="1"/>
          <w:sz w:val="18"/>
        </w:rPr>
        <w:t xml:space="preserve"> В случае, если НДС не облагается, наименование графы изложить в следующей редакции: «Стоимость Товара (руб.) </w:t>
      </w:r>
      <w:r>
        <w:rPr>
          <w:i w:val="1"/>
          <w:sz w:val="18"/>
        </w:rPr>
        <w:t>(НДС не облагается)»</w:t>
      </w:r>
      <w:r>
        <w:t xml:space="preserve"> </w:t>
      </w:r>
    </w:p>
    <w:p w14:paraId="6A010000">
      <w:pPr>
        <w:pStyle w:val="Style_43"/>
      </w:pPr>
    </w:p>
  </w:footnote>
</w:footnotes>
</file>

<file path=word/numbering.xml><?xml version="1.0" encoding="utf-8"?>
<w:numbering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abstractNum w:abstractNumId="0">
    <w:lvl w:ilvl="0">
      <w:start w:val="1"/>
      <w:numFmt w:val="decimal"/>
      <w:lvlText w:val="%1."/>
      <w:lvlJc w:val="left"/>
      <w:pPr>
        <w:widowControl w:val="1"/>
        <w:tabs>
          <w:tab w:leader="none" w:pos="0" w:val="left"/>
        </w:tabs>
        <w:ind w:hanging="360" w:left="720"/>
      </w:pPr>
    </w:lvl>
    <w:lvl w:ilvl="1">
      <w:start w:val="1"/>
      <w:numFmt w:val="lowerLetter"/>
      <w:lvlText w:val="%2."/>
      <w:lvlJc w:val="left"/>
      <w:pPr>
        <w:widowControl w:val="1"/>
        <w:tabs>
          <w:tab w:leader="none" w:pos="0" w:val="left"/>
        </w:tabs>
        <w:ind w:hanging="360" w:left="1440"/>
      </w:pPr>
    </w:lvl>
    <w:lvl w:ilvl="2">
      <w:start w:val="1"/>
      <w:numFmt w:val="lowerRoman"/>
      <w:lvlText w:val="%3."/>
      <w:lvlJc w:val="right"/>
      <w:pPr>
        <w:widowControl w:val="1"/>
        <w:tabs>
          <w:tab w:leader="none" w:pos="0" w:val="left"/>
        </w:tabs>
        <w:ind w:hanging="180" w:left="2160"/>
      </w:pPr>
    </w:lvl>
    <w:lvl w:ilvl="3">
      <w:start w:val="1"/>
      <w:numFmt w:val="decimal"/>
      <w:lvlText w:val="%4."/>
      <w:lvlJc w:val="left"/>
      <w:pPr>
        <w:widowControl w:val="1"/>
        <w:tabs>
          <w:tab w:leader="none" w:pos="0" w:val="left"/>
        </w:tabs>
        <w:ind w:hanging="360" w:left="2880"/>
      </w:pPr>
    </w:lvl>
    <w:lvl w:ilvl="4">
      <w:start w:val="1"/>
      <w:numFmt w:val="lowerLetter"/>
      <w:lvlText w:val="%5."/>
      <w:lvlJc w:val="left"/>
      <w:pPr>
        <w:widowControl w:val="1"/>
        <w:tabs>
          <w:tab w:leader="none" w:pos="0" w:val="left"/>
        </w:tabs>
        <w:ind w:hanging="360" w:left="3600"/>
      </w:pPr>
    </w:lvl>
    <w:lvl w:ilvl="5">
      <w:start w:val="1"/>
      <w:numFmt w:val="lowerRoman"/>
      <w:lvlText w:val="%6."/>
      <w:lvlJc w:val="right"/>
      <w:pPr>
        <w:widowControl w:val="1"/>
        <w:tabs>
          <w:tab w:leader="none" w:pos="0" w:val="left"/>
        </w:tabs>
        <w:ind w:hanging="180" w:left="4320"/>
      </w:pPr>
    </w:lvl>
    <w:lvl w:ilvl="6">
      <w:start w:val="1"/>
      <w:numFmt w:val="decimal"/>
      <w:lvlText w:val="%7."/>
      <w:lvlJc w:val="left"/>
      <w:pPr>
        <w:widowControl w:val="1"/>
        <w:tabs>
          <w:tab w:leader="none" w:pos="0" w:val="left"/>
        </w:tabs>
        <w:ind w:hanging="360" w:left="5040"/>
      </w:pPr>
    </w:lvl>
    <w:lvl w:ilvl="7">
      <w:start w:val="1"/>
      <w:numFmt w:val="lowerLetter"/>
      <w:lvlText w:val="%8."/>
      <w:lvlJc w:val="left"/>
      <w:pPr>
        <w:widowControl w:val="1"/>
        <w:tabs>
          <w:tab w:leader="none" w:pos="0" w:val="left"/>
        </w:tabs>
        <w:ind w:hanging="360" w:left="5760"/>
      </w:pPr>
    </w:lvl>
    <w:lvl w:ilvl="8">
      <w:start w:val="1"/>
      <w:numFmt w:val="lowerRoman"/>
      <w:lvlText w:val="%9."/>
      <w:lvlJc w:val="right"/>
      <w:pPr>
        <w:widowControl w:val="1"/>
        <w:tabs>
          <w:tab w:leader="none" w:pos="0" w:val="left"/>
        </w:tabs>
        <w:ind w:hanging="180" w:left="6480"/>
      </w:pPr>
    </w:lvl>
  </w:abstractNum>
  <w:num w:numId="1">
    <w:abstractNumId w:val="0"/>
  </w:num>
</w:numbering>
</file>

<file path=word/settings.xml><?xml version="1.0" encoding="utf-8"?>
<w:setting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defaultTabStop w:val="720"/>
  <w:compat>
    <w:compatSetting w:name="compatibilityMode" w:uri="http://schemas.microsoft.com/office/word" w:val="15"/>
  </w:compat>
  <w:clrSchemeMapping w:accent1="accent1" w:accent2="accent2" w:accent3="accent3" w:accent4="accent4" w:accent5="accent5" w:accent6="accent6" w:bg1="light1" w:bg2="light2" w:followedHyperlink="followedHyperlink" w:hyperlink="hyperlink" w:t1="dark1" w:t2="dark2"/>
</w:settings>
</file>

<file path=word/styles.xml><?xml version="1.0" encoding="utf-8"?>
<w:style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docDefaults>
    <w:rPrDefault>
      <w:rPr>
        <w:rFonts w:ascii="Times New Roman" w:hAnsi="Times New Roman"/>
        <w:color w:val="000000"/>
        <w:spacing w:val="0"/>
        <w:sz w:val="24"/>
      </w:rPr>
    </w:rPrDefault>
    <w:pPrDefault>
      <w:pPr>
        <w:widowControl w:val="1"/>
        <w:spacing w:after="0" w:before="0" w:line="240" w:lineRule="auto"/>
        <w:ind w:firstLine="0" w:left="0" w:right="0"/>
        <w:jc w:val="left"/>
      </w:pPr>
    </w:pPrDefault>
  </w:docDefaults>
  <w:latentStyles w:count="25"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semiHidden="0" w:uiPriority="9" w:unhideWhenUsed="0"/>
    <w:lsdException w:name="heading 3" w:qFormat="1" w:semiHidden="0" w:uiPriority="9" w:unhideWhenUsed="0"/>
    <w:lsdException w:name="heading 4" w:qFormat="1" w:semiHidden="0" w:uiPriority="9" w:unhideWhenUsed="0"/>
    <w:lsdException w:name="heading 5" w:qFormat="1" w:semiHidden="0" w:uiPriority="9" w:unhideWhenUsed="0"/>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Title" w:qFormat="1" w:semiHidden="0" w:uiPriority="10" w:unhideWhenUsed="0"/>
    <w:lsdException w:name="Subtitle" w:qFormat="1" w:semiHidden="0" w:uiPriority="11" w:unhideWhenUsed="0"/>
    <w:lsdException w:name="Header and Footer" w:qFormat="0" w:semiHidden="0" w:unhideWhenUsed="0"/>
    <w:lsdException w:name="Footnote" w:qFormat="0" w:semiHidden="0" w:unhideWhenUsed="0"/>
    <w:lsdException w:name="Endnote" w:qFormat="0" w:semiHidden="0" w:unhideWhenUsed="0"/>
    <w:lsdException w:name="toc 1" w:qFormat="0" w:semiHidden="0" w:uiPriority="39" w:unhideWhenUsed="0"/>
    <w:lsdException w:name="toc 2" w:qFormat="0" w:semiHidden="0" w:uiPriority="39" w:unhideWhenUsed="0"/>
    <w:lsdException w:name="toc 3" w:qFormat="0" w:semiHidden="0" w:uiPriority="39" w:unhideWhenUsed="0"/>
    <w:lsdException w:name="toc 4" w:qFormat="0" w:semiHidden="0" w:uiPriority="39" w:unhideWhenUsed="0"/>
    <w:lsdException w:name="toc 5" w:qFormat="0" w:semiHidden="0" w:uiPriority="39" w:unhideWhenUsed="0"/>
    <w:lsdException w:name="toc 6" w:qFormat="0" w:semiHidden="0" w:uiPriority="39" w:unhideWhenUsed="0"/>
    <w:lsdException w:name="toc 7" w:qFormat="0" w:semiHidden="0" w:uiPriority="39" w:unhideWhenUsed="0"/>
    <w:lsdException w:name="toc 8" w:qFormat="0" w:semiHidden="0" w:uiPriority="39" w:unhideWhenUsed="0"/>
    <w:lsdException w:name="toc 9" w:qFormat="0" w:semiHidden="0" w:uiPriority="39" w:unhideWhenUsed="0"/>
    <w:lsdException w:name="Hyperlink" w:qFormat="0" w:semiHidden="0" w:unhideWhenUsed="0"/>
  </w:latentStyles>
  <w:style w:default="1" w:styleId="Style_8" w:type="paragraph">
    <w:name w:val="Normal"/>
    <w:link w:val="Style_8_ch"/>
    <w:uiPriority w:val="0"/>
    <w:qFormat/>
    <w:pPr>
      <w:widowControl w:val="0"/>
      <w:ind/>
    </w:pPr>
  </w:style>
  <w:style w:default="1" w:styleId="Style_8_ch" w:type="character">
    <w:name w:val="Normal"/>
    <w:link w:val="Style_8"/>
  </w:style>
  <w:style w:styleId="Style_9" w:type="paragraph">
    <w:name w:val="toc 2"/>
    <w:next w:val="Style_8"/>
    <w:link w:val="Style_9_ch"/>
    <w:uiPriority w:val="39"/>
    <w:pPr>
      <w:widowControl w:val="1"/>
      <w:ind w:firstLine="0" w:left="200"/>
      <w:jc w:val="left"/>
    </w:pPr>
    <w:rPr>
      <w:rFonts w:ascii="XO Thames" w:hAnsi="XO Thames"/>
      <w:sz w:val="28"/>
    </w:rPr>
  </w:style>
  <w:style w:styleId="Style_9_ch" w:type="character">
    <w:name w:val="toc 2"/>
    <w:link w:val="Style_9"/>
    <w:rPr>
      <w:rFonts w:ascii="XO Thames" w:hAnsi="XO Thames"/>
      <w:sz w:val="28"/>
    </w:rPr>
  </w:style>
  <w:style w:styleId="Style_2" w:type="paragraph">
    <w:name w:val="page number"/>
    <w:basedOn w:val="Style_10"/>
    <w:link w:val="Style_2_ch"/>
  </w:style>
  <w:style w:styleId="Style_2_ch" w:type="character">
    <w:name w:val="page number"/>
    <w:basedOn w:val="Style_10_ch"/>
    <w:link w:val="Style_2"/>
  </w:style>
  <w:style w:styleId="Style_11" w:type="paragraph">
    <w:name w:val="index heading"/>
    <w:basedOn w:val="Style_8"/>
    <w:link w:val="Style_11_ch"/>
    <w:rPr>
      <w:rFonts w:ascii="PT Astra Serif" w:hAnsi="PT Astra Serif"/>
    </w:rPr>
  </w:style>
  <w:style w:styleId="Style_11_ch" w:type="character">
    <w:name w:val="index heading"/>
    <w:basedOn w:val="Style_8_ch"/>
    <w:link w:val="Style_11"/>
    <w:rPr>
      <w:rFonts w:ascii="PT Astra Serif" w:hAnsi="PT Astra Serif"/>
    </w:rPr>
  </w:style>
  <w:style w:styleId="Style_12" w:type="paragraph">
    <w:name w:val="toc 4"/>
    <w:next w:val="Style_8"/>
    <w:link w:val="Style_12_ch"/>
    <w:uiPriority w:val="39"/>
    <w:pPr>
      <w:widowControl w:val="1"/>
      <w:ind w:firstLine="0" w:left="600"/>
      <w:jc w:val="left"/>
    </w:pPr>
    <w:rPr>
      <w:rFonts w:ascii="XO Thames" w:hAnsi="XO Thames"/>
      <w:sz w:val="28"/>
    </w:rPr>
  </w:style>
  <w:style w:styleId="Style_12_ch" w:type="character">
    <w:name w:val="toc 4"/>
    <w:link w:val="Style_12"/>
    <w:rPr>
      <w:rFonts w:ascii="XO Thames" w:hAnsi="XO Thames"/>
      <w:sz w:val="28"/>
    </w:rPr>
  </w:style>
  <w:style w:styleId="Style_6" w:type="paragraph">
    <w:name w:val="ConsNormal"/>
    <w:link w:val="Style_6_ch"/>
    <w:pPr>
      <w:widowControl w:val="0"/>
      <w:ind w:firstLine="720" w:left="709" w:right="19772"/>
      <w:jc w:val="both"/>
    </w:pPr>
    <w:rPr>
      <w:rFonts w:ascii="Arial" w:hAnsi="Arial"/>
      <w:sz w:val="22"/>
    </w:rPr>
  </w:style>
  <w:style w:styleId="Style_6_ch" w:type="character">
    <w:name w:val="ConsNormal"/>
    <w:link w:val="Style_6"/>
    <w:rPr>
      <w:rFonts w:ascii="Arial" w:hAnsi="Arial"/>
      <w:sz w:val="22"/>
    </w:rPr>
  </w:style>
  <w:style w:styleId="Style_13" w:type="paragraph">
    <w:name w:val="toc 6"/>
    <w:next w:val="Style_8"/>
    <w:link w:val="Style_13_ch"/>
    <w:uiPriority w:val="39"/>
    <w:pPr>
      <w:widowControl w:val="1"/>
      <w:ind w:firstLine="0" w:left="1000"/>
      <w:jc w:val="left"/>
    </w:pPr>
    <w:rPr>
      <w:rFonts w:ascii="XO Thames" w:hAnsi="XO Thames"/>
      <w:sz w:val="28"/>
    </w:rPr>
  </w:style>
  <w:style w:styleId="Style_13_ch" w:type="character">
    <w:name w:val="toc 6"/>
    <w:link w:val="Style_13"/>
    <w:rPr>
      <w:rFonts w:ascii="XO Thames" w:hAnsi="XO Thames"/>
      <w:sz w:val="28"/>
    </w:rPr>
  </w:style>
  <w:style w:styleId="Style_14" w:type="paragraph">
    <w:name w:val="toc 7"/>
    <w:next w:val="Style_8"/>
    <w:link w:val="Style_14_ch"/>
    <w:uiPriority w:val="39"/>
    <w:pPr>
      <w:widowControl w:val="1"/>
      <w:ind w:firstLine="0" w:left="1200"/>
      <w:jc w:val="left"/>
    </w:pPr>
    <w:rPr>
      <w:rFonts w:ascii="XO Thames" w:hAnsi="XO Thames"/>
      <w:sz w:val="28"/>
    </w:rPr>
  </w:style>
  <w:style w:styleId="Style_14_ch" w:type="character">
    <w:name w:val="toc 7"/>
    <w:link w:val="Style_14"/>
    <w:rPr>
      <w:rFonts w:ascii="XO Thames" w:hAnsi="XO Thames"/>
      <w:sz w:val="28"/>
    </w:rPr>
  </w:style>
  <w:style w:styleId="Style_15" w:type="paragraph">
    <w:name w:val="Заголовок таблицы"/>
    <w:basedOn w:val="Style_16"/>
    <w:link w:val="Style_15_ch"/>
    <w:pPr>
      <w:widowControl w:val="1"/>
      <w:ind/>
      <w:jc w:val="center"/>
    </w:pPr>
    <w:rPr>
      <w:b w:val="1"/>
    </w:rPr>
  </w:style>
  <w:style w:styleId="Style_15_ch" w:type="character">
    <w:name w:val="Заголовок таблицы"/>
    <w:basedOn w:val="Style_16_ch"/>
    <w:link w:val="Style_15"/>
    <w:rPr>
      <w:b w:val="1"/>
    </w:rPr>
  </w:style>
  <w:style w:styleId="Style_17" w:type="paragraph">
    <w:name w:val="Body Text Indent"/>
    <w:basedOn w:val="Style_8"/>
    <w:link w:val="Style_17_ch"/>
    <w:pPr>
      <w:widowControl w:val="1"/>
      <w:spacing w:after="120"/>
      <w:ind w:left="283"/>
    </w:pPr>
    <w:rPr>
      <w:rFonts w:ascii="Arial" w:hAnsi="Arial"/>
      <w:sz w:val="18"/>
    </w:rPr>
  </w:style>
  <w:style w:styleId="Style_17_ch" w:type="character">
    <w:name w:val="Body Text Indent"/>
    <w:basedOn w:val="Style_8_ch"/>
    <w:link w:val="Style_17"/>
    <w:rPr>
      <w:rFonts w:ascii="Arial" w:hAnsi="Arial"/>
      <w:sz w:val="18"/>
    </w:rPr>
  </w:style>
  <w:style w:styleId="Style_18" w:type="paragraph">
    <w:name w:val="List"/>
    <w:basedOn w:val="Style_19"/>
    <w:link w:val="Style_18_ch"/>
  </w:style>
  <w:style w:styleId="Style_18_ch" w:type="character">
    <w:name w:val="List"/>
    <w:basedOn w:val="Style_19_ch"/>
    <w:link w:val="Style_18"/>
  </w:style>
  <w:style w:styleId="Style_20" w:type="paragraph">
    <w:name w:val="Endnote"/>
    <w:link w:val="Style_20_ch"/>
    <w:pPr>
      <w:widowControl w:val="1"/>
      <w:ind w:firstLine="851" w:left="0"/>
      <w:jc w:val="both"/>
    </w:pPr>
    <w:rPr>
      <w:rFonts w:ascii="XO Thames" w:hAnsi="XO Thames"/>
      <w:sz w:val="22"/>
    </w:rPr>
  </w:style>
  <w:style w:styleId="Style_20_ch" w:type="character">
    <w:name w:val="Endnote"/>
    <w:link w:val="Style_20"/>
    <w:rPr>
      <w:rFonts w:ascii="XO Thames" w:hAnsi="XO Thames"/>
      <w:sz w:val="22"/>
    </w:rPr>
  </w:style>
  <w:style w:styleId="Style_21" w:type="paragraph">
    <w:name w:val="heading 3"/>
    <w:next w:val="Style_8"/>
    <w:link w:val="Style_21_ch"/>
    <w:uiPriority w:val="9"/>
    <w:qFormat/>
    <w:pPr>
      <w:widowControl w:val="1"/>
      <w:spacing w:after="120" w:before="120"/>
      <w:ind/>
      <w:jc w:val="both"/>
      <w:outlineLvl w:val="2"/>
    </w:pPr>
    <w:rPr>
      <w:rFonts w:ascii="XO Thames" w:hAnsi="XO Thames"/>
      <w:b w:val="1"/>
      <w:sz w:val="26"/>
    </w:rPr>
  </w:style>
  <w:style w:styleId="Style_21_ch" w:type="character">
    <w:name w:val="heading 3"/>
    <w:link w:val="Style_21"/>
    <w:rPr>
      <w:rFonts w:ascii="XO Thames" w:hAnsi="XO Thames"/>
      <w:b w:val="1"/>
      <w:sz w:val="26"/>
    </w:rPr>
  </w:style>
  <w:style w:styleId="Style_22" w:type="paragraph">
    <w:name w:val="annotation text"/>
    <w:basedOn w:val="Style_8"/>
    <w:link w:val="Style_22_ch"/>
    <w:rPr>
      <w:sz w:val="20"/>
    </w:rPr>
  </w:style>
  <w:style w:styleId="Style_22_ch" w:type="character">
    <w:name w:val="annotation text"/>
    <w:basedOn w:val="Style_8_ch"/>
    <w:link w:val="Style_22"/>
    <w:rPr>
      <w:sz w:val="20"/>
    </w:rPr>
  </w:style>
  <w:style w:styleId="Style_23" w:type="paragraph">
    <w:name w:val="annotation reference"/>
    <w:basedOn w:val="Style_10"/>
    <w:link w:val="Style_23_ch"/>
    <w:rPr>
      <w:sz w:val="16"/>
    </w:rPr>
  </w:style>
  <w:style w:styleId="Style_23_ch" w:type="character">
    <w:name w:val="annotation reference"/>
    <w:basedOn w:val="Style_10_ch"/>
    <w:link w:val="Style_23"/>
    <w:rPr>
      <w:sz w:val="16"/>
    </w:rPr>
  </w:style>
  <w:style w:styleId="Style_24" w:type="paragraph">
    <w:name w:val="Колонтитул"/>
    <w:basedOn w:val="Style_8"/>
    <w:link w:val="Style_24_ch"/>
  </w:style>
  <w:style w:styleId="Style_24_ch" w:type="character">
    <w:name w:val="Колонтитул"/>
    <w:basedOn w:val="Style_8_ch"/>
    <w:link w:val="Style_24"/>
  </w:style>
  <w:style w:styleId="Style_25" w:type="paragraph">
    <w:name w:val="WW8Num1z0"/>
    <w:link w:val="Style_25_ch"/>
  </w:style>
  <w:style w:styleId="Style_25_ch" w:type="character">
    <w:name w:val="WW8Num1z0"/>
    <w:link w:val="Style_25"/>
  </w:style>
  <w:style w:styleId="Style_26" w:type="paragraph">
    <w:name w:val="Заголовок1"/>
    <w:basedOn w:val="Style_27"/>
    <w:next w:val="Style_19"/>
    <w:link w:val="Style_26_ch"/>
    <w:pPr>
      <w:keepNext w:val="1"/>
      <w:widowControl w:val="1"/>
      <w:spacing w:after="120" w:before="240"/>
      <w:ind/>
    </w:pPr>
    <w:rPr>
      <w:rFonts w:ascii="Arial" w:hAnsi="Arial"/>
      <w:sz w:val="28"/>
    </w:rPr>
  </w:style>
  <w:style w:styleId="Style_26_ch" w:type="character">
    <w:name w:val="Заголовок1"/>
    <w:basedOn w:val="Style_27_ch"/>
    <w:link w:val="Style_26"/>
    <w:rPr>
      <w:rFonts w:ascii="Arial" w:hAnsi="Arial"/>
      <w:sz w:val="28"/>
    </w:rPr>
  </w:style>
  <w:style w:styleId="Style_28" w:type="paragraph">
    <w:name w:val="Указатель1"/>
    <w:basedOn w:val="Style_27"/>
    <w:link w:val="Style_28_ch"/>
  </w:style>
  <w:style w:styleId="Style_28_ch" w:type="character">
    <w:name w:val="Указатель1"/>
    <w:basedOn w:val="Style_27_ch"/>
    <w:link w:val="Style_28"/>
  </w:style>
  <w:style w:styleId="Style_29" w:type="paragraph">
    <w:name w:val="Internet link"/>
    <w:link w:val="Style_29_ch"/>
    <w:rPr>
      <w:color w:val="000080"/>
      <w:u w:val="single"/>
    </w:rPr>
  </w:style>
  <w:style w:styleId="Style_29_ch" w:type="character">
    <w:name w:val="Internet link"/>
    <w:link w:val="Style_29"/>
    <w:rPr>
      <w:color w:val="000080"/>
      <w:u w:val="single"/>
    </w:rPr>
  </w:style>
  <w:style w:styleId="Style_30" w:type="paragraph">
    <w:name w:val="Balloon Text"/>
    <w:basedOn w:val="Style_8"/>
    <w:link w:val="Style_30_ch"/>
    <w:rPr>
      <w:rFonts w:ascii="Tahoma" w:hAnsi="Tahoma"/>
      <w:sz w:val="16"/>
    </w:rPr>
  </w:style>
  <w:style w:styleId="Style_30_ch" w:type="character">
    <w:name w:val="Balloon Text"/>
    <w:basedOn w:val="Style_8_ch"/>
    <w:link w:val="Style_30"/>
    <w:rPr>
      <w:rFonts w:ascii="Tahoma" w:hAnsi="Tahoma"/>
      <w:sz w:val="16"/>
    </w:rPr>
  </w:style>
  <w:style w:styleId="Style_19" w:type="paragraph">
    <w:name w:val="Text body"/>
    <w:basedOn w:val="Style_27"/>
    <w:link w:val="Style_19_ch"/>
    <w:pPr>
      <w:widowControl w:val="1"/>
      <w:spacing w:after="120"/>
      <w:ind/>
    </w:pPr>
  </w:style>
  <w:style w:styleId="Style_19_ch" w:type="character">
    <w:name w:val="Text body"/>
    <w:basedOn w:val="Style_27_ch"/>
    <w:link w:val="Style_19"/>
  </w:style>
  <w:style w:styleId="Style_31" w:type="paragraph">
    <w:name w:val="toc 3"/>
    <w:next w:val="Style_8"/>
    <w:link w:val="Style_31_ch"/>
    <w:uiPriority w:val="39"/>
    <w:pPr>
      <w:widowControl w:val="1"/>
      <w:ind w:firstLine="0" w:left="400"/>
      <w:jc w:val="left"/>
    </w:pPr>
    <w:rPr>
      <w:rFonts w:ascii="XO Thames" w:hAnsi="XO Thames"/>
      <w:sz w:val="28"/>
    </w:rPr>
  </w:style>
  <w:style w:styleId="Style_31_ch" w:type="character">
    <w:name w:val="toc 3"/>
    <w:link w:val="Style_31"/>
    <w:rPr>
      <w:rFonts w:ascii="XO Thames" w:hAnsi="XO Thames"/>
      <w:sz w:val="28"/>
    </w:rPr>
  </w:style>
  <w:style w:styleId="Style_32" w:type="paragraph">
    <w:name w:val="Маркеры"/>
    <w:link w:val="Style_32_ch"/>
    <w:rPr>
      <w:rFonts w:ascii="OpenSymbol" w:hAnsi="OpenSymbol"/>
    </w:rPr>
  </w:style>
  <w:style w:styleId="Style_32_ch" w:type="character">
    <w:name w:val="Маркеры"/>
    <w:link w:val="Style_32"/>
    <w:rPr>
      <w:rFonts w:ascii="OpenSymbol" w:hAnsi="OpenSymbol"/>
    </w:rPr>
  </w:style>
  <w:style w:styleId="Style_33" w:type="paragraph">
    <w:name w:val="Обычный1"/>
    <w:link w:val="Style_33_ch"/>
  </w:style>
  <w:style w:styleId="Style_33_ch" w:type="character">
    <w:name w:val="Обычный1"/>
    <w:link w:val="Style_33"/>
  </w:style>
  <w:style w:styleId="Style_3" w:type="paragraph">
    <w:name w:val="List Paragraph"/>
    <w:basedOn w:val="Style_8"/>
    <w:link w:val="Style_3_ch"/>
    <w:pPr>
      <w:widowControl w:val="1"/>
      <w:ind w:left="720"/>
      <w:contextualSpacing w:val="1"/>
    </w:pPr>
  </w:style>
  <w:style w:styleId="Style_3_ch" w:type="character">
    <w:name w:val="List Paragraph"/>
    <w:basedOn w:val="Style_8_ch"/>
    <w:link w:val="Style_3"/>
  </w:style>
  <w:style w:styleId="Style_34" w:type="paragraph">
    <w:name w:val="ConsPlusNormal"/>
    <w:link w:val="Style_34_ch"/>
    <w:pPr>
      <w:widowControl w:val="0"/>
      <w:ind w:firstLine="720"/>
    </w:pPr>
    <w:rPr>
      <w:rFonts w:ascii="Arial" w:hAnsi="Arial"/>
      <w:sz w:val="20"/>
    </w:rPr>
  </w:style>
  <w:style w:styleId="Style_34_ch" w:type="character">
    <w:name w:val="ConsPlusNormal"/>
    <w:link w:val="Style_34"/>
    <w:rPr>
      <w:rFonts w:ascii="Arial" w:hAnsi="Arial"/>
      <w:sz w:val="20"/>
    </w:rPr>
  </w:style>
  <w:style w:styleId="Style_35" w:type="paragraph">
    <w:name w:val="Символ сноски"/>
    <w:link w:val="Style_35_ch"/>
    <w:rPr>
      <w:vertAlign w:val="superscript"/>
    </w:rPr>
  </w:style>
  <w:style w:styleId="Style_35_ch" w:type="character">
    <w:name w:val="Символ сноски"/>
    <w:link w:val="Style_35"/>
    <w:rPr>
      <w:vertAlign w:val="superscript"/>
    </w:rPr>
  </w:style>
  <w:style w:styleId="Style_36" w:type="paragraph">
    <w:name w:val="heading 5"/>
    <w:next w:val="Style_8"/>
    <w:link w:val="Style_36_ch"/>
    <w:uiPriority w:val="9"/>
    <w:qFormat/>
    <w:pPr>
      <w:widowControl w:val="1"/>
      <w:spacing w:after="120" w:before="120"/>
      <w:ind/>
      <w:jc w:val="both"/>
      <w:outlineLvl w:val="4"/>
    </w:pPr>
    <w:rPr>
      <w:rFonts w:ascii="XO Thames" w:hAnsi="XO Thames"/>
      <w:b w:val="1"/>
      <w:sz w:val="22"/>
    </w:rPr>
  </w:style>
  <w:style w:styleId="Style_36_ch" w:type="character">
    <w:name w:val="heading 5"/>
    <w:link w:val="Style_36"/>
    <w:rPr>
      <w:rFonts w:ascii="XO Thames" w:hAnsi="XO Thames"/>
      <w:b w:val="1"/>
      <w:sz w:val="22"/>
    </w:rPr>
  </w:style>
  <w:style w:styleId="Style_37" w:type="paragraph">
    <w:name w:val="heading 1"/>
    <w:basedOn w:val="Style_8"/>
    <w:next w:val="Style_8"/>
    <w:link w:val="Style_37_ch"/>
    <w:uiPriority w:val="9"/>
    <w:qFormat/>
    <w:pPr>
      <w:keepNext w:val="1"/>
      <w:keepLines w:val="1"/>
      <w:widowControl w:val="1"/>
      <w:spacing w:before="240"/>
      <w:ind/>
      <w:outlineLvl w:val="0"/>
    </w:pPr>
    <w:rPr>
      <w:rFonts w:asciiTheme="majorAscii" w:hAnsiTheme="majorHAnsi"/>
      <w:color w:themeColor="accent1" w:themeShade="BF" w:val="2E75B5"/>
      <w:sz w:val="32"/>
    </w:rPr>
  </w:style>
  <w:style w:styleId="Style_37_ch" w:type="character">
    <w:name w:val="heading 1"/>
    <w:basedOn w:val="Style_8_ch"/>
    <w:link w:val="Style_37"/>
    <w:rPr>
      <w:rFonts w:asciiTheme="majorAscii" w:hAnsiTheme="majorHAnsi"/>
      <w:color w:themeColor="accent1" w:themeShade="BF" w:val="2E75B5"/>
      <w:sz w:val="32"/>
    </w:rPr>
  </w:style>
  <w:style w:styleId="Style_38" w:type="paragraph">
    <w:name w:val="Emphasis"/>
    <w:basedOn w:val="Style_10"/>
    <w:link w:val="Style_38_ch"/>
    <w:rPr>
      <w:i w:val="1"/>
    </w:rPr>
  </w:style>
  <w:style w:styleId="Style_38_ch" w:type="character">
    <w:name w:val="Emphasis"/>
    <w:basedOn w:val="Style_10_ch"/>
    <w:link w:val="Style_38"/>
    <w:rPr>
      <w:i w:val="1"/>
    </w:rPr>
  </w:style>
  <w:style w:styleId="Style_39" w:type="paragraph">
    <w:name w:val="Body Text"/>
    <w:basedOn w:val="Style_8"/>
    <w:link w:val="Style_39_ch"/>
    <w:pPr>
      <w:widowControl w:val="1"/>
      <w:spacing w:after="140" w:line="276" w:lineRule="auto"/>
      <w:ind/>
    </w:pPr>
  </w:style>
  <w:style w:styleId="Style_39_ch" w:type="character">
    <w:name w:val="Body Text"/>
    <w:basedOn w:val="Style_8_ch"/>
    <w:link w:val="Style_39"/>
  </w:style>
  <w:style w:styleId="Style_40" w:type="paragraph">
    <w:name w:val="Hyperlink"/>
    <w:basedOn w:val="Style_10"/>
    <w:link w:val="Style_40_ch"/>
    <w:rPr>
      <w:color w:themeColor="hyperlink" w:val="0563C1"/>
      <w:u w:val="single"/>
    </w:rPr>
  </w:style>
  <w:style w:styleId="Style_40_ch" w:type="character">
    <w:name w:val="Hyperlink"/>
    <w:basedOn w:val="Style_10_ch"/>
    <w:link w:val="Style_40"/>
    <w:rPr>
      <w:color w:themeColor="hyperlink" w:val="0563C1"/>
      <w:u w:val="single"/>
    </w:rPr>
  </w:style>
  <w:style w:styleId="Style_41" w:type="paragraph">
    <w:name w:val="Footnote"/>
    <w:basedOn w:val="Style_27"/>
    <w:link w:val="Style_41_ch"/>
    <w:pPr>
      <w:widowControl w:val="1"/>
      <w:ind w:hanging="339" w:left="339"/>
    </w:pPr>
  </w:style>
  <w:style w:styleId="Style_41_ch" w:type="character">
    <w:name w:val="Footnote"/>
    <w:basedOn w:val="Style_27_ch"/>
    <w:link w:val="Style_41"/>
  </w:style>
  <w:style w:styleId="Style_42" w:type="paragraph">
    <w:name w:val="toc 1"/>
    <w:next w:val="Style_8"/>
    <w:link w:val="Style_42_ch"/>
    <w:uiPriority w:val="39"/>
    <w:pPr>
      <w:widowControl w:val="1"/>
      <w:ind w:firstLine="0" w:left="0"/>
      <w:jc w:val="left"/>
    </w:pPr>
    <w:rPr>
      <w:rFonts w:ascii="XO Thames" w:hAnsi="XO Thames"/>
      <w:b w:val="1"/>
      <w:sz w:val="28"/>
    </w:rPr>
  </w:style>
  <w:style w:styleId="Style_42_ch" w:type="character">
    <w:name w:val="toc 1"/>
    <w:link w:val="Style_42"/>
    <w:rPr>
      <w:rFonts w:ascii="XO Thames" w:hAnsi="XO Thames"/>
      <w:b w:val="1"/>
      <w:sz w:val="28"/>
    </w:rPr>
  </w:style>
  <w:style w:styleId="Style_43" w:type="paragraph">
    <w:name w:val="Footnote"/>
    <w:basedOn w:val="Style_8"/>
    <w:link w:val="Style_43_ch"/>
    <w:rPr>
      <w:sz w:val="20"/>
    </w:rPr>
  </w:style>
  <w:style w:styleId="Style_43_ch" w:type="character">
    <w:name w:val="Footnote"/>
    <w:basedOn w:val="Style_8_ch"/>
    <w:link w:val="Style_43"/>
    <w:rPr>
      <w:sz w:val="20"/>
    </w:rPr>
  </w:style>
  <w:style w:styleId="Style_44" w:type="paragraph">
    <w:name w:val="caption"/>
    <w:basedOn w:val="Style_27"/>
    <w:link w:val="Style_44_ch"/>
    <w:pPr>
      <w:widowControl w:val="1"/>
      <w:spacing w:after="120" w:before="120"/>
      <w:ind/>
    </w:pPr>
    <w:rPr>
      <w:i w:val="1"/>
    </w:rPr>
  </w:style>
  <w:style w:styleId="Style_44_ch" w:type="character">
    <w:name w:val="caption"/>
    <w:basedOn w:val="Style_27_ch"/>
    <w:link w:val="Style_44"/>
    <w:rPr>
      <w:i w:val="1"/>
    </w:rPr>
  </w:style>
  <w:style w:styleId="Style_45" w:type="paragraph">
    <w:name w:val="Header and Footer"/>
    <w:basedOn w:val="Style_8"/>
    <w:link w:val="Style_45_ch"/>
  </w:style>
  <w:style w:styleId="Style_45_ch" w:type="character">
    <w:name w:val="Header and Footer"/>
    <w:basedOn w:val="Style_8_ch"/>
    <w:link w:val="Style_45"/>
  </w:style>
  <w:style w:styleId="Style_4" w:type="paragraph">
    <w:name w:val="footnote reference"/>
    <w:link w:val="Style_4_ch"/>
    <w:rPr>
      <w:vertAlign w:val="superscript"/>
    </w:rPr>
  </w:style>
  <w:style w:styleId="Style_4_ch" w:type="character">
    <w:name w:val="footnote reference"/>
    <w:link w:val="Style_4"/>
    <w:rPr>
      <w:vertAlign w:val="superscript"/>
    </w:rPr>
  </w:style>
  <w:style w:styleId="Style_46" w:type="paragraph">
    <w:name w:val="Footnote Symbol"/>
    <w:link w:val="Style_46_ch"/>
  </w:style>
  <w:style w:styleId="Style_46_ch" w:type="character">
    <w:name w:val="Footnote Symbol"/>
    <w:link w:val="Style_46"/>
  </w:style>
  <w:style w:styleId="Style_47" w:type="paragraph">
    <w:name w:val="toc 9"/>
    <w:next w:val="Style_8"/>
    <w:link w:val="Style_47_ch"/>
    <w:uiPriority w:val="39"/>
    <w:pPr>
      <w:widowControl w:val="1"/>
      <w:ind w:firstLine="0" w:left="1600"/>
      <w:jc w:val="left"/>
    </w:pPr>
    <w:rPr>
      <w:rFonts w:ascii="XO Thames" w:hAnsi="XO Thames"/>
      <w:sz w:val="28"/>
    </w:rPr>
  </w:style>
  <w:style w:styleId="Style_47_ch" w:type="character">
    <w:name w:val="toc 9"/>
    <w:link w:val="Style_47"/>
    <w:rPr>
      <w:rFonts w:ascii="XO Thames" w:hAnsi="XO Thames"/>
      <w:sz w:val="28"/>
    </w:rPr>
  </w:style>
  <w:style w:styleId="Style_48" w:type="paragraph">
    <w:name w:val="Содержимое врезки"/>
    <w:basedOn w:val="Style_8"/>
    <w:link w:val="Style_48_ch"/>
  </w:style>
  <w:style w:styleId="Style_48_ch" w:type="character">
    <w:name w:val="Содержимое врезки"/>
    <w:basedOn w:val="Style_8_ch"/>
    <w:link w:val="Style_48"/>
  </w:style>
  <w:style w:styleId="Style_49" w:type="paragraph">
    <w:name w:val="toc 8"/>
    <w:next w:val="Style_8"/>
    <w:link w:val="Style_49_ch"/>
    <w:uiPriority w:val="39"/>
    <w:pPr>
      <w:widowControl w:val="1"/>
      <w:ind w:firstLine="0" w:left="1400"/>
      <w:jc w:val="left"/>
    </w:pPr>
    <w:rPr>
      <w:rFonts w:ascii="XO Thames" w:hAnsi="XO Thames"/>
      <w:sz w:val="28"/>
    </w:rPr>
  </w:style>
  <w:style w:styleId="Style_49_ch" w:type="character">
    <w:name w:val="toc 8"/>
    <w:link w:val="Style_49"/>
    <w:rPr>
      <w:rFonts w:ascii="XO Thames" w:hAnsi="XO Thames"/>
      <w:sz w:val="28"/>
    </w:rPr>
  </w:style>
  <w:style w:styleId="Style_10" w:type="paragraph">
    <w:name w:val="Default Paragraph Font"/>
    <w:link w:val="Style_10_ch"/>
  </w:style>
  <w:style w:styleId="Style_10_ch" w:type="character">
    <w:name w:val="Default Paragraph Font"/>
    <w:link w:val="Style_10"/>
  </w:style>
  <w:style w:styleId="Style_50" w:type="paragraph">
    <w:name w:val="header"/>
    <w:basedOn w:val="Style_27"/>
    <w:link w:val="Style_50_ch"/>
    <w:pPr>
      <w:widowControl w:val="1"/>
      <w:tabs>
        <w:tab w:leader="none" w:pos="4819" w:val="center"/>
        <w:tab w:leader="none" w:pos="9638" w:val="right"/>
      </w:tabs>
      <w:ind/>
    </w:pPr>
  </w:style>
  <w:style w:styleId="Style_50_ch" w:type="character">
    <w:name w:val="header"/>
    <w:basedOn w:val="Style_27_ch"/>
    <w:link w:val="Style_50"/>
  </w:style>
  <w:style w:styleId="Style_16" w:type="paragraph">
    <w:name w:val="Содержимое таблицы"/>
    <w:basedOn w:val="Style_27"/>
    <w:link w:val="Style_16_ch"/>
  </w:style>
  <w:style w:styleId="Style_16_ch" w:type="character">
    <w:name w:val="Содержимое таблицы"/>
    <w:basedOn w:val="Style_27_ch"/>
    <w:link w:val="Style_16"/>
  </w:style>
  <w:style w:styleId="Style_27" w:type="paragraph">
    <w:name w:val="Standard"/>
    <w:link w:val="Style_27_ch"/>
    <w:rPr>
      <w:color w:val="00000A"/>
      <w:sz w:val="20"/>
    </w:rPr>
  </w:style>
  <w:style w:styleId="Style_27_ch" w:type="character">
    <w:name w:val="Standard"/>
    <w:link w:val="Style_27"/>
    <w:rPr>
      <w:color w:val="00000A"/>
      <w:sz w:val="20"/>
    </w:rPr>
  </w:style>
  <w:style w:styleId="Style_51" w:type="paragraph">
    <w:name w:val="toc 5"/>
    <w:next w:val="Style_8"/>
    <w:link w:val="Style_51_ch"/>
    <w:uiPriority w:val="39"/>
    <w:pPr>
      <w:widowControl w:val="1"/>
      <w:ind w:firstLine="0" w:left="800"/>
      <w:jc w:val="left"/>
    </w:pPr>
    <w:rPr>
      <w:rFonts w:ascii="XO Thames" w:hAnsi="XO Thames"/>
      <w:sz w:val="28"/>
    </w:rPr>
  </w:style>
  <w:style w:styleId="Style_51_ch" w:type="character">
    <w:name w:val="toc 5"/>
    <w:link w:val="Style_51"/>
    <w:rPr>
      <w:rFonts w:ascii="XO Thames" w:hAnsi="XO Thames"/>
      <w:sz w:val="28"/>
    </w:rPr>
  </w:style>
  <w:style w:styleId="Style_52" w:type="paragraph">
    <w:name w:val="WW8Num2z0"/>
    <w:link w:val="Style_52_ch"/>
    <w:rPr>
      <w:sz w:val="24"/>
    </w:rPr>
  </w:style>
  <w:style w:styleId="Style_52_ch" w:type="character">
    <w:name w:val="WW8Num2z0"/>
    <w:link w:val="Style_52"/>
    <w:rPr>
      <w:sz w:val="24"/>
    </w:rPr>
  </w:style>
  <w:style w:styleId="Style_53" w:type="paragraph">
    <w:name w:val="endnote reference"/>
    <w:link w:val="Style_53_ch"/>
    <w:rPr>
      <w:vertAlign w:val="superscript"/>
    </w:rPr>
  </w:style>
  <w:style w:styleId="Style_53_ch" w:type="character">
    <w:name w:val="endnote reference"/>
    <w:link w:val="Style_53"/>
    <w:rPr>
      <w:vertAlign w:val="superscript"/>
    </w:rPr>
  </w:style>
  <w:style w:styleId="Style_54" w:type="paragraph">
    <w:name w:val="annotation subject"/>
    <w:basedOn w:val="Style_22"/>
    <w:next w:val="Style_22"/>
    <w:link w:val="Style_54_ch"/>
    <w:rPr>
      <w:b w:val="1"/>
    </w:rPr>
  </w:style>
  <w:style w:styleId="Style_54_ch" w:type="character">
    <w:name w:val="annotation subject"/>
    <w:basedOn w:val="Style_22_ch"/>
    <w:link w:val="Style_54"/>
    <w:rPr>
      <w:b w:val="1"/>
    </w:rPr>
  </w:style>
  <w:style w:styleId="Style_55" w:type="paragraph">
    <w:name w:val="Subtitle"/>
    <w:next w:val="Style_8"/>
    <w:link w:val="Style_55_ch"/>
    <w:uiPriority w:val="11"/>
    <w:qFormat/>
    <w:pPr>
      <w:widowControl w:val="1"/>
      <w:ind/>
      <w:jc w:val="both"/>
    </w:pPr>
    <w:rPr>
      <w:rFonts w:ascii="XO Thames" w:hAnsi="XO Thames"/>
      <w:i w:val="1"/>
      <w:sz w:val="24"/>
    </w:rPr>
  </w:style>
  <w:style w:styleId="Style_55_ch" w:type="character">
    <w:name w:val="Subtitle"/>
    <w:link w:val="Style_55"/>
    <w:rPr>
      <w:rFonts w:ascii="XO Thames" w:hAnsi="XO Thames"/>
      <w:i w:val="1"/>
      <w:sz w:val="24"/>
    </w:rPr>
  </w:style>
  <w:style w:styleId="Style_56" w:type="paragraph">
    <w:name w:val="Символ концевой сноски"/>
    <w:link w:val="Style_56_ch"/>
    <w:rPr>
      <w:vertAlign w:val="superscript"/>
    </w:rPr>
  </w:style>
  <w:style w:styleId="Style_56_ch" w:type="character">
    <w:name w:val="Символ концевой сноски"/>
    <w:link w:val="Style_56"/>
    <w:rPr>
      <w:vertAlign w:val="superscript"/>
    </w:rPr>
  </w:style>
  <w:style w:styleId="Style_57" w:type="paragraph">
    <w:name w:val="Title"/>
    <w:basedOn w:val="Style_8"/>
    <w:next w:val="Style_39"/>
    <w:link w:val="Style_57_ch"/>
    <w:uiPriority w:val="10"/>
    <w:qFormat/>
    <w:pPr>
      <w:keepNext w:val="1"/>
      <w:widowControl w:val="1"/>
      <w:spacing w:after="120" w:before="240"/>
      <w:ind/>
    </w:pPr>
    <w:rPr>
      <w:rFonts w:ascii="PT Astra Serif" w:hAnsi="PT Astra Serif"/>
      <w:sz w:val="28"/>
    </w:rPr>
  </w:style>
  <w:style w:styleId="Style_57_ch" w:type="character">
    <w:name w:val="Title"/>
    <w:basedOn w:val="Style_8_ch"/>
    <w:link w:val="Style_57"/>
    <w:rPr>
      <w:rFonts w:ascii="PT Astra Serif" w:hAnsi="PT Astra Serif"/>
      <w:sz w:val="28"/>
    </w:rPr>
  </w:style>
  <w:style w:styleId="Style_58" w:type="paragraph">
    <w:name w:val="heading 4"/>
    <w:next w:val="Style_8"/>
    <w:link w:val="Style_58_ch"/>
    <w:uiPriority w:val="9"/>
    <w:qFormat/>
    <w:pPr>
      <w:widowControl w:val="1"/>
      <w:spacing w:after="120" w:before="120"/>
      <w:ind/>
      <w:jc w:val="both"/>
      <w:outlineLvl w:val="3"/>
    </w:pPr>
    <w:rPr>
      <w:rFonts w:ascii="XO Thames" w:hAnsi="XO Thames"/>
      <w:b w:val="1"/>
      <w:sz w:val="24"/>
    </w:rPr>
  </w:style>
  <w:style w:styleId="Style_58_ch" w:type="character">
    <w:name w:val="heading 4"/>
    <w:link w:val="Style_58"/>
    <w:rPr>
      <w:rFonts w:ascii="XO Thames" w:hAnsi="XO Thames"/>
      <w:b w:val="1"/>
      <w:sz w:val="24"/>
    </w:rPr>
  </w:style>
  <w:style w:styleId="Style_59" w:type="paragraph">
    <w:name w:val="heading 2"/>
    <w:next w:val="Style_8"/>
    <w:link w:val="Style_59_ch"/>
    <w:uiPriority w:val="9"/>
    <w:qFormat/>
    <w:pPr>
      <w:widowControl w:val="1"/>
      <w:spacing w:after="120" w:before="120"/>
      <w:ind/>
      <w:jc w:val="both"/>
      <w:outlineLvl w:val="1"/>
    </w:pPr>
    <w:rPr>
      <w:rFonts w:ascii="XO Thames" w:hAnsi="XO Thames"/>
      <w:b w:val="1"/>
      <w:sz w:val="28"/>
    </w:rPr>
  </w:style>
  <w:style w:styleId="Style_59_ch" w:type="character">
    <w:name w:val="heading 2"/>
    <w:link w:val="Style_59"/>
    <w:rPr>
      <w:rFonts w:ascii="XO Thames" w:hAnsi="XO Thames"/>
      <w:b w:val="1"/>
      <w:sz w:val="28"/>
    </w:rPr>
  </w:style>
  <w:style w:styleId="Style_1" w:type="paragraph">
    <w:name w:val="footer"/>
    <w:basedOn w:val="Style_8"/>
    <w:link w:val="Style_1_ch"/>
    <w:pPr>
      <w:widowControl w:val="1"/>
      <w:tabs>
        <w:tab w:leader="none" w:pos="4677" w:val="center"/>
        <w:tab w:leader="none" w:pos="9355" w:val="right"/>
      </w:tabs>
      <w:ind/>
    </w:pPr>
  </w:style>
  <w:style w:styleId="Style_1_ch" w:type="character">
    <w:name w:val="footer"/>
    <w:basedOn w:val="Style_8_ch"/>
    <w:link w:val="Style_1"/>
  </w:style>
  <w:style w:default="1" w:styleId="Style_5" w:type="table">
    <w:name w:val="Normal Table"/>
    <w:tblPr>
      <w:tblInd w:type="dxa" w:w="0"/>
      <w:tblCellMar>
        <w:top w:type="dxa" w:w="0"/>
        <w:left w:type="dxa" w:w="108"/>
        <w:bottom w:type="dxa" w:w="0"/>
        <w:right w:type="dxa" w:w="108"/>
      </w:tblCellMar>
    </w:tblPr>
  </w:style>
  <w:style w:styleId="Style_7" w:type="table">
    <w:name w:val="Table Grid"/>
    <w:basedOn w:val="Style_5"/>
    <w:rPr>
      <w:rFonts w:asciiTheme="minorAscii" w:hAnsiTheme="minorHAnsi"/>
      <w:sz w:val="22"/>
    </w:rPr>
    <w:tblPr>
      <w:tblBorders>
        <w:top w:color="000000" w:sz="4" w:val="single"/>
        <w:left w:color="000000" w:sz="4" w:val="single"/>
        <w:bottom w:color="000000" w:sz="4" w:val="single"/>
        <w:right w:color="000000" w:sz="4" w:val="single"/>
        <w:insideH w:color="000000" w:sz="4" w:val="single"/>
        <w:insideV w:color="000000" w:sz="4" w:val="single"/>
      </w:tblBorders>
    </w:tblPr>
  </w:style>
</w:styles>
</file>

<file path=word/stylesWithEffects.xml><?xml version="1.0" encoding="utf-8"?>
<w:styles xmlns:w="http://schemas.openxmlformats.org/wordprocessingml/2006/main">
  <w:docDefaults>
    <w:rPrDefault>
      <w:rPr>
        <w:rFonts w:asciiTheme="minorHAnsi" w:cstheme="minorBidi" w:eastAsiaTheme="minorEastAsia" w:hAnsiTheme="minorHAnsi"/>
        <w:sz w:val="24"/>
        <w:szCs w:val="24"/>
        <w:lang w:bidi="ar-SA" w:eastAsia="en-US" w:val="en-US"/>
      </w:rPr>
    </w:rPrDefault>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styleId="Heading1" w:type="paragraph">
    <w:name w:val="heading 1"/>
    <w:basedOn w:val="Normal"/>
    <w:next w:val="Normal"/>
    <w:link w:val="Heading1Char"/>
    <w:uiPriority w:val="9"/>
    <w:qFormat/>
    <w:rsid w:val="00111FAE"/>
    <w:pPr>
      <w:keepNext/>
      <w:keepLines/>
      <w:spacing w:before="480"/>
      <w:outlineLvl w:val="0"/>
    </w:pPr>
    <w:rPr>
      <w:rFonts w:asciiTheme="majorHAnsi" w:cstheme="majorBidi" w:eastAsiaTheme="majorEastAsia" w:hAnsiTheme="majorHAnsi"/>
      <w:b/>
      <w:bCs/>
      <w:color w:themeColor="accent1" w:themeShade="B5" w:val="345A8A"/>
      <w:sz w:val="32"/>
      <w:szCs w:val="32"/>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customStyle="1" w:styleId="Heading1Char" w:type="character">
    <w:name w:val="Heading 1 Char"/>
    <w:basedOn w:val="DefaultParagraphFont"/>
    <w:link w:val="Heading1"/>
    <w:uiPriority w:val="9"/>
    <w:rsid w:val="00111FAE"/>
    <w:rPr>
      <w:rFonts w:asciiTheme="majorHAnsi" w:cstheme="majorBidi" w:eastAsiaTheme="majorEastAsia" w:hAnsiTheme="majorHAnsi"/>
      <w:b/>
      <w:bCs/>
      <w:color w:themeColor="accent1" w:themeShade="B5" w:val="345A8A"/>
      <w:sz w:val="32"/>
      <w:szCs w:val="32"/>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no" ?>
<Relationships xmlns="http://schemas.openxmlformats.org/package/2006/relationships">
  <Relationship Id="rId7" Target="media/1.emf" Type="http://schemas.openxmlformats.org/officeDocument/2006/relationships/image"/>
  <Relationship Id="rId6" Target="footer6.xml" Type="http://schemas.openxmlformats.org/officeDocument/2006/relationships/footer"/>
  <Relationship Id="rId14" Target="footnotes.xml" Type="http://schemas.openxmlformats.org/officeDocument/2006/relationships/footnotes"/>
  <Relationship Id="rId13" Target="theme/theme1.xml" Type="http://schemas.openxmlformats.org/officeDocument/2006/relationships/theme"/>
  <Relationship Id="rId4" Target="footer4.xml" Type="http://schemas.openxmlformats.org/officeDocument/2006/relationships/footer"/>
  <Relationship Id="rId3" Target="footer3.xml" Type="http://schemas.openxmlformats.org/officeDocument/2006/relationships/footer"/>
  <Relationship Id="rId12" Target="webSettings.xml" Type="http://schemas.openxmlformats.org/officeDocument/2006/relationships/webSettings"/>
  <Relationship Id="rId10" Target="styles.xml" Type="http://schemas.openxmlformats.org/officeDocument/2006/relationships/styles"/>
  <Relationship Id="rId5" Target="footer5.xml" Type="http://schemas.openxmlformats.org/officeDocument/2006/relationships/footer"/>
  <Relationship Id="rId11" Target="stylesWithEffects.xml" Type="http://schemas.microsoft.com/office/2007/relationships/stylesWithEffects"/>
  <Relationship Id="rId8" Target="fontTable.xml" Type="http://schemas.openxmlformats.org/officeDocument/2006/relationships/fontTable"/>
  <Relationship Id="rId16" Target="numbering.xml" Type="http://schemas.openxmlformats.org/officeDocument/2006/relationships/numbering"/>
  <Relationship Id="rId2" Target="footer2.xml" Type="http://schemas.openxmlformats.org/officeDocument/2006/relationships/footer"/>
  <Relationship Id="rId9" Target="settings.xml" Type="http://schemas.openxmlformats.org/officeDocument/2006/relationships/settings"/>
  <Relationship Id="rId15" Target="endnotes.xml" Type="http://schemas.openxmlformats.org/officeDocument/2006/relationships/endnotes"/>
  <Relationship Id="rId1" Target="footer1.xml" Type="http://schemas.openxmlformats.org/officeDocument/2006/relationships/footer"/>
</Relationships>

</file>

<file path=word/theme/theme1.xml><?xml version="1.0" encoding="utf-8"?>
<a:theme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majorFont>
      <a:minorFont>
        <a:latin typeface="Calibri"/>
        <a:ea typeface=""/>
        <a:cs typeface=""/>
      </a:minorFont>
    </a:fontScheme>
    <a:fmtScheme na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gradFill>
        <a:gradFill>
          <a:gsLst>
            <a:gs pos="0">
              <a:schemeClr val="phClr">
                <a:lumMod val="102000"/>
                <a:tint val="94000"/>
              </a:schemeClr>
            </a:gs>
            <a:gs pos="50000">
              <a:schemeClr val="phClr">
                <a:lumMod val="100000"/>
                <a:shade val="100000"/>
              </a:schemeClr>
            </a:gs>
            <a:gs pos="100000">
              <a:schemeClr val="phClr">
                <a:lumMod val="99000"/>
                <a:shade val="78000"/>
              </a:schemeClr>
            </a:gs>
          </a:gsLst>
        </a:gradFill>
      </a:fillStyleLst>
      <a:lnStyleLst>
        <a:ln w="6350">
          <a:prstDash val="solid"/>
        </a:ln>
        <a:ln w="12700">
          <a:prstDash val="solid"/>
        </a:ln>
        <a:ln w="19050">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gradFill>
      </a:bgFillStyleLst>
    </a:fmtScheme>
  </a:themeElements>
</a:theme>
</file>

<file path=docProps/app.xml><?xml version="1.0" encoding="utf-8"?>
<Properties xmlns="http://schemas.openxmlformats.org/officeDocument/2006/extended-properties">
  <Template>Normal.dotm</Template>
  <TotalTime>0</TotalTime>
  <DocSecurity>0</DocSecurity>
  <ScaleCrop>false</ScaleCrop>
  <Application>MyOffice-CoreFramework-Windows/38-1384.1107.10199.1019.1@2600cfe5f4b542ca5f3c0e142379f873658cd812</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2026-04-28T09:01:52Z</dcterms:created>
  <dcterms:modified xsi:type="dcterms:W3CDTF">2026-04-28T09:15:32Z</dcterms:modified>
</cp:coreProperties>
</file>