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1C15D">
      <w:pPr>
        <w:jc w:val="center"/>
        <w:rPr>
          <w:rFonts w:hint="default"/>
          <w:b/>
          <w:lang w:val="ru-RU"/>
        </w:rPr>
      </w:pPr>
      <w:r>
        <w:rPr>
          <w:b/>
        </w:rPr>
        <w:t xml:space="preserve"> КОНТРАКТ №</w:t>
      </w:r>
      <w:r>
        <w:rPr>
          <w:rFonts w:hint="default"/>
          <w:b/>
          <w:lang w:val="ru-RU"/>
        </w:rPr>
        <w:t xml:space="preserve"> ___</w:t>
      </w:r>
    </w:p>
    <w:p w14:paraId="2B296FDB">
      <w:pPr>
        <w:jc w:val="center"/>
        <w:rPr>
          <w:b/>
        </w:rPr>
      </w:pPr>
    </w:p>
    <w:p w14:paraId="1AA2BA1F">
      <w:pPr>
        <w:jc w:val="center"/>
        <w:rPr>
          <w:b/>
        </w:rPr>
      </w:pPr>
    </w:p>
    <w:p w14:paraId="6C71122A">
      <w:pPr>
        <w:jc w:val="both"/>
        <w:rPr>
          <w:color w:val="000000"/>
          <w:sz w:val="22"/>
          <w:szCs w:val="22"/>
          <w:lang w:eastAsia="ar-SA" w:bidi="ru-RU"/>
        </w:rPr>
      </w:pPr>
      <w:r>
        <w:rPr>
          <w:color w:val="000000"/>
          <w:sz w:val="22"/>
          <w:szCs w:val="22"/>
          <w:lang w:eastAsia="ar-SA" w:bidi="ru-RU"/>
        </w:rPr>
        <w:t xml:space="preserve">г. Санкт-Петербург                                                                                </w:t>
      </w:r>
      <w:r>
        <w:rPr>
          <w:rFonts w:hint="default"/>
          <w:color w:val="000000"/>
          <w:sz w:val="22"/>
          <w:szCs w:val="22"/>
          <w:lang w:val="en-US" w:eastAsia="ar-SA" w:bidi="ru-RU"/>
        </w:rPr>
        <w:t xml:space="preserve">                  </w:t>
      </w:r>
      <w:r>
        <w:rPr>
          <w:color w:val="000000"/>
          <w:sz w:val="22"/>
          <w:szCs w:val="22"/>
          <w:lang w:eastAsia="ar-SA" w:bidi="ru-RU"/>
        </w:rPr>
        <w:t xml:space="preserve">    «</w:t>
      </w:r>
      <w:r>
        <w:rPr>
          <w:rFonts w:hint="default"/>
          <w:color w:val="000000"/>
          <w:sz w:val="22"/>
          <w:szCs w:val="22"/>
          <w:lang w:val="en-US" w:eastAsia="ar-SA" w:bidi="ru-RU"/>
        </w:rPr>
        <w:t>__</w:t>
      </w:r>
      <w:r>
        <w:rPr>
          <w:color w:val="000000"/>
          <w:sz w:val="22"/>
          <w:szCs w:val="22"/>
          <w:lang w:eastAsia="ar-SA" w:bidi="ru-RU"/>
        </w:rPr>
        <w:t xml:space="preserve">» </w:t>
      </w:r>
      <w:r>
        <w:rPr>
          <w:rFonts w:hint="default"/>
          <w:color w:val="000000"/>
          <w:sz w:val="22"/>
          <w:szCs w:val="22"/>
          <w:lang w:val="en-US" w:eastAsia="ar-SA" w:bidi="ru-RU"/>
        </w:rPr>
        <w:t xml:space="preserve">___ </w:t>
      </w:r>
      <w:r>
        <w:rPr>
          <w:color w:val="000000"/>
          <w:sz w:val="22"/>
          <w:szCs w:val="22"/>
          <w:lang w:eastAsia="ar-SA" w:bidi="ru-RU"/>
        </w:rPr>
        <w:t>202</w:t>
      </w:r>
      <w:r>
        <w:rPr>
          <w:rFonts w:hint="default"/>
          <w:color w:val="000000"/>
          <w:sz w:val="22"/>
          <w:szCs w:val="22"/>
          <w:lang w:val="en-US" w:eastAsia="ar-SA" w:bidi="ru-RU"/>
        </w:rPr>
        <w:t xml:space="preserve">6 </w:t>
      </w:r>
      <w:r>
        <w:rPr>
          <w:color w:val="000000"/>
          <w:sz w:val="22"/>
          <w:szCs w:val="22"/>
          <w:lang w:eastAsia="ar-SA" w:bidi="ru-RU"/>
        </w:rPr>
        <w:t>г.</w:t>
      </w:r>
    </w:p>
    <w:p w14:paraId="6BB0AA96">
      <w:pPr>
        <w:jc w:val="both"/>
        <w:rPr>
          <w:color w:val="000000"/>
          <w:sz w:val="22"/>
          <w:szCs w:val="22"/>
          <w:lang w:eastAsia="ar-SA" w:bidi="ru-RU"/>
        </w:rPr>
      </w:pPr>
    </w:p>
    <w:p w14:paraId="7BCC9B30">
      <w:pPr>
        <w:jc w:val="both"/>
        <w:rPr>
          <w:color w:val="000000"/>
          <w:sz w:val="22"/>
          <w:szCs w:val="22"/>
          <w:lang w:eastAsia="ar-SA" w:bidi="ru-RU"/>
        </w:rPr>
      </w:pPr>
      <w:r>
        <w:rPr>
          <w:color w:val="000000"/>
        </w:rPr>
        <w:t>Государственное бюджетное общеобразовательное учреждение гимназия № 92 Выборгского района Санкт-Петербурга, именуемая в дальнейшем «Заказчик», в лице директора Сочилина Сергея Борисовича</w:t>
      </w:r>
      <w:r>
        <w:t xml:space="preserve">, действующего на основании Устава с одной стороны, и </w:t>
      </w:r>
      <w:r>
        <w:rPr>
          <w:rFonts w:hint="default"/>
          <w:lang w:val="ru-RU"/>
        </w:rPr>
        <w:t>______</w:t>
      </w:r>
      <w:r>
        <w:t>, действующего на основании</w:t>
      </w:r>
      <w:r>
        <w:rPr>
          <w:rFonts w:hint="default"/>
          <w:lang w:val="ru-RU"/>
        </w:rPr>
        <w:t xml:space="preserve"> Устава</w:t>
      </w:r>
      <w:r>
        <w:t>, именуемое в дальнейшем «Поставщик», с другой стороны, вместе именуемые «Стороны», заключили настоящий  контракт (далее – контракт) о нижеследующем</w:t>
      </w:r>
      <w:r>
        <w:rPr>
          <w:color w:val="000000"/>
          <w:sz w:val="22"/>
          <w:szCs w:val="22"/>
          <w:lang w:eastAsia="ar-SA" w:bidi="ru-RU"/>
        </w:rPr>
        <w:t>:</w:t>
      </w:r>
    </w:p>
    <w:p w14:paraId="61E0ACBA">
      <w:pPr>
        <w:jc w:val="both"/>
      </w:pPr>
    </w:p>
    <w:p w14:paraId="193D87A3">
      <w:pPr>
        <w:pStyle w:val="16"/>
        <w:numPr>
          <w:ilvl w:val="0"/>
          <w:numId w:val="1"/>
        </w:numPr>
        <w:spacing w:after="0"/>
        <w:jc w:val="center"/>
      </w:pPr>
      <w:r>
        <w:rPr>
          <w:rFonts w:ascii="Times New Roman" w:hAnsi="Times New Roman" w:cs="Times New Roman"/>
          <w:b/>
        </w:rPr>
        <w:t>Предмет контракта</w:t>
      </w:r>
    </w:p>
    <w:p w14:paraId="4168B16A">
      <w:pPr>
        <w:keepNext w:val="0"/>
        <w:keepLines w:val="0"/>
        <w:widowControl/>
        <w:suppressLineNumbers w:val="0"/>
        <w:jc w:val="left"/>
      </w:pPr>
      <w:r>
        <w:rPr>
          <w:color w:val="000000"/>
          <w:sz w:val="22"/>
          <w:szCs w:val="22"/>
          <w:lang w:eastAsia="ar-SA" w:bidi="ru-RU"/>
        </w:rPr>
        <w:t>1.1. Предметом настоящего Контракта является поставка</w:t>
      </w:r>
      <w:r>
        <w:rPr>
          <w:rFonts w:hint="default"/>
          <w:color w:val="000000"/>
          <w:sz w:val="22"/>
          <w:szCs w:val="22"/>
          <w:lang w:val="en-US" w:eastAsia="ar-SA" w:bidi="ru-RU"/>
        </w:rPr>
        <w:t xml:space="preserve"> входных </w:t>
      </w:r>
      <w:r>
        <w:rPr>
          <w:rFonts w:cs="Times New Roman"/>
          <w:color w:val="000000"/>
          <w:sz w:val="22"/>
          <w:szCs w:val="22"/>
          <w:lang w:val="en-US" w:eastAsia="zh-CN" w:bidi="ru-RU"/>
        </w:rPr>
        <w:t>дверей</w:t>
      </w:r>
      <w:r>
        <w:rPr>
          <w:rFonts w:hint="default" w:ascii="Times New Roman" w:hAnsi="Times New Roman" w:eastAsia="Times New Roman" w:cs="Times New Roman"/>
          <w:color w:val="000000"/>
          <w:sz w:val="22"/>
          <w:szCs w:val="22"/>
          <w:lang w:val="ru-RU" w:eastAsia="zh-CN" w:bidi="ru-RU"/>
        </w:rPr>
        <w:t xml:space="preserve"> </w:t>
      </w:r>
      <w:r>
        <w:rPr>
          <w:rFonts w:ascii="Times New Roman" w:hAnsi="Times New Roman" w:eastAsia="Times New Roman" w:cs="Times New Roman"/>
          <w:color w:val="000000"/>
          <w:sz w:val="22"/>
          <w:szCs w:val="22"/>
          <w:lang w:val="ru-RU" w:eastAsia="ar-SA" w:bidi="ru-RU"/>
        </w:rPr>
        <w:t>дл</w:t>
      </w:r>
      <w:r>
        <w:rPr>
          <w:color w:val="000000"/>
          <w:sz w:val="22"/>
          <w:szCs w:val="22"/>
          <w:lang w:eastAsia="ar-SA" w:bidi="ru-RU"/>
        </w:rPr>
        <w:t>я нужд ГБОУ гимназия №</w:t>
      </w:r>
      <w:r>
        <w:rPr>
          <w:rFonts w:hint="default"/>
          <w:color w:val="000000"/>
          <w:sz w:val="22"/>
          <w:szCs w:val="22"/>
          <w:lang w:val="en-US" w:eastAsia="ar-SA" w:bidi="ru-RU"/>
        </w:rPr>
        <w:t xml:space="preserve"> </w:t>
      </w:r>
      <w:r>
        <w:rPr>
          <w:color w:val="000000"/>
          <w:sz w:val="22"/>
          <w:szCs w:val="22"/>
          <w:lang w:eastAsia="ar-SA" w:bidi="ru-RU"/>
        </w:rPr>
        <w:t>92 Выборгского района по адресу: г</w:t>
      </w:r>
      <w:r>
        <w:rPr>
          <w:rFonts w:hint="default"/>
          <w:color w:val="000000"/>
          <w:sz w:val="22"/>
          <w:szCs w:val="22"/>
          <w:lang w:val="en-US" w:eastAsia="ar-SA" w:bidi="ru-RU"/>
        </w:rPr>
        <w:t xml:space="preserve">. </w:t>
      </w:r>
      <w:r>
        <w:rPr>
          <w:color w:val="000000"/>
          <w:sz w:val="22"/>
          <w:szCs w:val="22"/>
          <w:lang w:eastAsia="ar-SA" w:bidi="ru-RU"/>
        </w:rPr>
        <w:t xml:space="preserve">Санкт-Петербург </w:t>
      </w:r>
      <w:r>
        <w:rPr>
          <w:sz w:val="22"/>
          <w:szCs w:val="22"/>
          <w:lang w:eastAsia="ar-SA" w:bidi="ru-RU"/>
        </w:rPr>
        <w:t>пр. Тореза, д.94, к.1, лит. А</w:t>
      </w:r>
      <w:r>
        <w:rPr>
          <w:color w:val="000000"/>
          <w:sz w:val="22"/>
          <w:szCs w:val="22"/>
          <w:lang w:eastAsia="ar-SA" w:bidi="ru-RU"/>
        </w:rPr>
        <w:t xml:space="preserve"> в 202</w:t>
      </w:r>
      <w:r>
        <w:rPr>
          <w:rFonts w:hint="default"/>
          <w:color w:val="000000"/>
          <w:sz w:val="22"/>
          <w:szCs w:val="22"/>
          <w:lang w:val="en-US" w:eastAsia="ar-SA" w:bidi="ru-RU"/>
        </w:rPr>
        <w:t xml:space="preserve">6 </w:t>
      </w:r>
      <w:r>
        <w:rPr>
          <w:color w:val="000000"/>
          <w:sz w:val="22"/>
          <w:szCs w:val="22"/>
          <w:lang w:eastAsia="ar-SA" w:bidi="ru-RU"/>
        </w:rPr>
        <w:t xml:space="preserve">г. </w:t>
      </w:r>
    </w:p>
    <w:p w14:paraId="2A20AC91">
      <w:pPr>
        <w:widowControl w:val="0"/>
        <w:ind w:firstLine="539"/>
        <w:contextualSpacing/>
        <w:jc w:val="both"/>
        <w:rPr>
          <w:color w:val="000000"/>
          <w:sz w:val="22"/>
          <w:szCs w:val="22"/>
          <w:lang w:eastAsia="ar-SA" w:bidi="ru-RU"/>
        </w:rPr>
      </w:pPr>
      <w:r>
        <w:rPr>
          <w:color w:val="000000"/>
          <w:sz w:val="22"/>
          <w:szCs w:val="22"/>
          <w:lang w:eastAsia="ar-SA" w:bidi="ru-RU"/>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74F3CC91">
      <w:pPr>
        <w:widowControl w:val="0"/>
        <w:ind w:firstLine="539"/>
        <w:contextualSpacing/>
        <w:jc w:val="both"/>
        <w:rPr>
          <w:color w:val="000000"/>
          <w:sz w:val="22"/>
          <w:szCs w:val="22"/>
          <w:lang w:eastAsia="ar-SA" w:bidi="ru-RU"/>
        </w:rPr>
      </w:pPr>
      <w:r>
        <w:rPr>
          <w:color w:val="000000"/>
          <w:sz w:val="22"/>
          <w:szCs w:val="22"/>
          <w:lang w:eastAsia="ar-SA" w:bidi="ru-RU"/>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350338">
      <w:pPr>
        <w:ind w:firstLine="539"/>
        <w:jc w:val="both"/>
        <w:rPr>
          <w:color w:val="000000"/>
          <w:sz w:val="22"/>
          <w:szCs w:val="22"/>
          <w:lang w:eastAsia="ar-SA" w:bidi="ru-RU"/>
        </w:rPr>
      </w:pPr>
      <w:r>
        <w:rPr>
          <w:color w:val="000000"/>
          <w:sz w:val="22"/>
          <w:szCs w:val="22"/>
          <w:lang w:eastAsia="ar-SA" w:bidi="ru-RU"/>
        </w:rPr>
        <w:t xml:space="preserve">1.4.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Pr>
          <w:color w:val="000000"/>
          <w:sz w:val="22"/>
          <w:szCs w:val="22"/>
          <w:lang w:eastAsia="ar-SA" w:bidi="ru-RU"/>
        </w:rPr>
        <w:br w:type="textWrapping"/>
      </w:r>
      <w:r>
        <w:rPr>
          <w:color w:val="000000"/>
          <w:sz w:val="22"/>
          <w:szCs w:val="22"/>
          <w:lang w:eastAsia="ar-SA" w:bidi="ru-RU"/>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C66D1DD">
      <w:pPr>
        <w:jc w:val="both"/>
        <w:rPr>
          <w:rFonts w:hint="default"/>
          <w:color w:val="000000"/>
          <w:sz w:val="22"/>
          <w:szCs w:val="22"/>
          <w:lang w:val="en-US" w:eastAsia="ar-SA" w:bidi="ru-RU"/>
        </w:rPr>
      </w:pPr>
      <w:r>
        <w:rPr>
          <w:color w:val="000000"/>
          <w:sz w:val="22"/>
          <w:szCs w:val="22"/>
          <w:lang w:eastAsia="ar-SA" w:bidi="ru-RU"/>
        </w:rPr>
        <w:t xml:space="preserve">Идентификационный код закупки </w:t>
      </w:r>
      <w:r>
        <w:rPr>
          <w:rFonts w:hint="default"/>
          <w:color w:val="000000"/>
          <w:sz w:val="22"/>
          <w:szCs w:val="22"/>
          <w:lang w:val="en-US" w:eastAsia="ar-SA" w:bidi="ru-RU"/>
        </w:rPr>
        <w:t>__________________________________.</w:t>
      </w:r>
    </w:p>
    <w:p w14:paraId="29FCA762">
      <w:pPr>
        <w:jc w:val="center"/>
        <w:rPr>
          <w:b/>
        </w:rPr>
      </w:pPr>
      <w:r>
        <w:rPr>
          <w:b/>
          <w:color w:val="000000"/>
          <w:sz w:val="22"/>
          <w:szCs w:val="22"/>
          <w:lang w:eastAsia="ar-SA" w:bidi="ru-RU"/>
        </w:rPr>
        <w:t>2. Цена Контракта и порядок расчетов</w:t>
      </w:r>
    </w:p>
    <w:p w14:paraId="7DBA1EFE">
      <w:pPr>
        <w:numPr>
          <w:ilvl w:val="0"/>
          <w:numId w:val="2"/>
        </w:numPr>
        <w:jc w:val="both"/>
        <w:rPr>
          <w:color w:val="000000"/>
          <w:sz w:val="22"/>
          <w:szCs w:val="22"/>
          <w:lang w:eastAsia="ar-SA" w:bidi="ru-RU"/>
        </w:rPr>
      </w:pPr>
      <w:r>
        <w:rPr>
          <w:color w:val="000000"/>
          <w:sz w:val="22"/>
          <w:szCs w:val="22"/>
          <w:lang w:eastAsia="ar-SA" w:bidi="ru-RU"/>
        </w:rPr>
        <w:t xml:space="preserve">2.1. Цена контракта составляет </w:t>
      </w:r>
      <w:r>
        <w:rPr>
          <w:rFonts w:hint="default"/>
          <w:color w:val="000000"/>
          <w:sz w:val="22"/>
          <w:szCs w:val="22"/>
          <w:lang w:val="en-US" w:eastAsia="ar-SA" w:bidi="ru-RU"/>
        </w:rPr>
        <w:t>_____</w:t>
      </w:r>
      <w:r>
        <w:rPr>
          <w:color w:val="000000"/>
          <w:sz w:val="22"/>
          <w:szCs w:val="22"/>
          <w:lang w:eastAsia="ar-SA" w:bidi="ru-RU"/>
        </w:rPr>
        <w:t xml:space="preserve"> рублей</w:t>
      </w:r>
      <w:r>
        <w:rPr>
          <w:rFonts w:hint="default"/>
          <w:color w:val="000000"/>
          <w:sz w:val="22"/>
          <w:szCs w:val="22"/>
          <w:lang w:val="en-US" w:eastAsia="ar-SA" w:bidi="ru-RU"/>
        </w:rPr>
        <w:t xml:space="preserve"> 00 копеек</w:t>
      </w:r>
      <w:r>
        <w:rPr>
          <w:color w:val="000000"/>
          <w:sz w:val="22"/>
          <w:szCs w:val="22"/>
          <w:lang w:eastAsia="ar-SA" w:bidi="ru-RU"/>
        </w:rPr>
        <w:t xml:space="preserve"> ( </w:t>
      </w:r>
      <w:r>
        <w:rPr>
          <w:rFonts w:hint="default"/>
          <w:color w:val="000000"/>
          <w:sz w:val="22"/>
          <w:szCs w:val="22"/>
          <w:lang w:val="en-US" w:eastAsia="ar-SA" w:bidi="ru-RU"/>
        </w:rPr>
        <w:t>_____</w:t>
      </w:r>
      <w:r>
        <w:rPr>
          <w:color w:val="000000"/>
          <w:sz w:val="22"/>
          <w:szCs w:val="22"/>
          <w:lang w:eastAsia="ar-SA" w:bidi="ru-RU"/>
        </w:rPr>
        <w:t>) руб.</w:t>
      </w:r>
      <w:r>
        <w:rPr>
          <w:rFonts w:hint="default"/>
          <w:color w:val="000000"/>
          <w:sz w:val="22"/>
          <w:szCs w:val="22"/>
          <w:lang w:val="en-US" w:eastAsia="ar-SA" w:bidi="ru-RU"/>
        </w:rPr>
        <w:t>00</w:t>
      </w:r>
      <w:r>
        <w:rPr>
          <w:color w:val="000000"/>
          <w:sz w:val="22"/>
          <w:szCs w:val="22"/>
          <w:lang w:eastAsia="ar-SA" w:bidi="ru-RU"/>
        </w:rPr>
        <w:t xml:space="preserve"> коп.</w:t>
      </w:r>
      <w:r>
        <w:rPr>
          <w:rFonts w:hint="default"/>
          <w:color w:val="000000"/>
          <w:sz w:val="22"/>
          <w:szCs w:val="22"/>
          <w:lang w:val="en-US" w:eastAsia="ar-SA" w:bidi="ru-RU"/>
        </w:rPr>
        <w:t>, НДС _____</w:t>
      </w:r>
      <w:r>
        <w:rPr>
          <w:rFonts w:hint="default"/>
          <w:color w:val="000000"/>
          <w:sz w:val="22"/>
          <w:szCs w:val="22"/>
          <w:lang w:val="ru-RU" w:eastAsia="ar-SA"/>
        </w:rPr>
        <w:t xml:space="preserve"> руб</w:t>
      </w:r>
      <w:r>
        <w:rPr>
          <w:rFonts w:hint="default"/>
          <w:color w:val="000000"/>
          <w:sz w:val="22"/>
          <w:szCs w:val="22"/>
          <w:lang w:val="ru-RU" w:eastAsia="ar-SA" w:bidi="ru-RU"/>
        </w:rPr>
        <w:t xml:space="preserve">. </w:t>
      </w:r>
      <w:r>
        <w:rPr>
          <w:rFonts w:hint="default"/>
          <w:color w:val="000000"/>
          <w:sz w:val="22"/>
          <w:szCs w:val="22"/>
          <w:lang w:val="en-US" w:eastAsia="ar-SA" w:bidi="ru-RU"/>
        </w:rPr>
        <w:t>__</w:t>
      </w:r>
      <w:r>
        <w:rPr>
          <w:rFonts w:hint="default"/>
          <w:color w:val="000000"/>
          <w:sz w:val="22"/>
          <w:szCs w:val="22"/>
          <w:lang w:val="ru-RU" w:eastAsia="ar-SA" w:bidi="ru-RU"/>
        </w:rPr>
        <w:t xml:space="preserve"> ко</w:t>
      </w:r>
      <w:r>
        <w:rPr>
          <w:rFonts w:hint="default"/>
          <w:color w:val="000000"/>
          <w:sz w:val="22"/>
          <w:szCs w:val="22"/>
          <w:lang w:val="ru-RU" w:eastAsia="ar-SA"/>
        </w:rPr>
        <w:t>п</w:t>
      </w:r>
      <w:r>
        <w:rPr>
          <w:rFonts w:hint="default"/>
          <w:color w:val="000000"/>
          <w:sz w:val="22"/>
          <w:szCs w:val="22"/>
          <w:lang w:val="en-US" w:eastAsia="ar-SA" w:bidi="ru-RU"/>
        </w:rPr>
        <w:t>.</w:t>
      </w:r>
    </w:p>
    <w:p w14:paraId="7A78D975">
      <w:pPr>
        <w:jc w:val="both"/>
        <w:rPr>
          <w:color w:val="000000"/>
          <w:sz w:val="22"/>
          <w:szCs w:val="22"/>
          <w:lang w:eastAsia="ar-SA" w:bidi="ru-RU"/>
        </w:rPr>
      </w:pPr>
      <w:r>
        <w:rPr>
          <w:color w:val="000000"/>
          <w:sz w:val="22"/>
          <w:szCs w:val="22"/>
          <w:lang w:eastAsia="ar-SA" w:bidi="ru-RU"/>
        </w:rPr>
        <w:t>Источник финансирования: Внебюджетные средства.</w:t>
      </w:r>
    </w:p>
    <w:p w14:paraId="245FAE2C">
      <w:pPr>
        <w:ind w:firstLine="708"/>
        <w:jc w:val="both"/>
        <w:rPr>
          <w:color w:val="000000"/>
          <w:sz w:val="22"/>
          <w:szCs w:val="22"/>
          <w:lang w:eastAsia="ar-SA" w:bidi="ru-RU"/>
        </w:rPr>
      </w:pPr>
      <w:r>
        <w:rPr>
          <w:color w:val="000000"/>
          <w:sz w:val="22"/>
          <w:szCs w:val="22"/>
          <w:lang w:eastAsia="ar-SA" w:bidi="ru-RU"/>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778E9C4">
      <w:pPr>
        <w:ind w:firstLine="708"/>
        <w:jc w:val="both"/>
        <w:rPr>
          <w:color w:val="000000"/>
          <w:sz w:val="22"/>
          <w:szCs w:val="22"/>
          <w:lang w:eastAsia="ar-SA" w:bidi="ru-RU"/>
        </w:rPr>
      </w:pPr>
      <w:r>
        <w:rPr>
          <w:color w:val="000000"/>
          <w:sz w:val="22"/>
          <w:szCs w:val="22"/>
          <w:lang w:eastAsia="ar-SA" w:bidi="ru-RU"/>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Pr>
          <w:rFonts w:hint="default"/>
          <w:color w:val="000000"/>
          <w:sz w:val="22"/>
          <w:szCs w:val="22"/>
          <w:lang w:val="en-US" w:eastAsia="ar-SA" w:bidi="ru-RU"/>
        </w:rPr>
        <w:t>1</w:t>
      </w:r>
      <w:r>
        <w:rPr>
          <w:color w:val="000000"/>
          <w:sz w:val="22"/>
          <w:szCs w:val="22"/>
          <w:lang w:eastAsia="ar-SA" w:bidi="ru-RU"/>
        </w:rPr>
        <w:t>0 (десяти)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0DB35DB">
      <w:pPr>
        <w:ind w:firstLine="708"/>
        <w:jc w:val="both"/>
        <w:rPr>
          <w:color w:val="000000"/>
          <w:sz w:val="22"/>
          <w:szCs w:val="22"/>
          <w:lang w:eastAsia="ar-SA" w:bidi="ru-RU"/>
        </w:rPr>
      </w:pPr>
      <w:r>
        <w:rPr>
          <w:color w:val="000000"/>
          <w:sz w:val="22"/>
          <w:szCs w:val="22"/>
          <w:lang w:eastAsia="ar-SA" w:bidi="ru-RU"/>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color w:val="000000"/>
          <w:sz w:val="22"/>
          <w:szCs w:val="22"/>
          <w:lang w:eastAsia="ar-SA" w:bidi="ru-RU"/>
        </w:rPr>
        <w:br w:type="textWrapping"/>
      </w:r>
      <w:r>
        <w:rPr>
          <w:color w:val="000000"/>
          <w:sz w:val="22"/>
          <w:szCs w:val="22"/>
          <w:lang w:eastAsia="ar-SA" w:bidi="ru-RU"/>
        </w:rPr>
        <w:t>и сборах такие налоги, сборы и иные обязательные платежи подлежат уплате в бюджеты бюджетной системы Российской Федерации Заказчиком.</w:t>
      </w:r>
    </w:p>
    <w:p w14:paraId="2B38FCA4">
      <w:pPr>
        <w:jc w:val="both"/>
        <w:rPr>
          <w:color w:val="000000"/>
          <w:sz w:val="22"/>
          <w:szCs w:val="22"/>
          <w:lang w:eastAsia="ar-SA" w:bidi="ru-RU"/>
        </w:rPr>
      </w:pPr>
    </w:p>
    <w:p w14:paraId="103EB6B8">
      <w:pPr>
        <w:jc w:val="both"/>
        <w:rPr>
          <w:color w:val="000000"/>
          <w:sz w:val="22"/>
          <w:szCs w:val="22"/>
          <w:lang w:eastAsia="ar-SA" w:bidi="ru-RU"/>
        </w:rPr>
      </w:pPr>
    </w:p>
    <w:p w14:paraId="69CB131B">
      <w:pPr>
        <w:jc w:val="center"/>
        <w:rPr>
          <w:b/>
        </w:rPr>
      </w:pPr>
      <w:r>
        <w:rPr>
          <w:b/>
          <w:color w:val="000000"/>
          <w:sz w:val="22"/>
          <w:szCs w:val="22"/>
          <w:lang w:eastAsia="ar-SA" w:bidi="ru-RU"/>
        </w:rPr>
        <w:t>3. Порядок поставки Товара</w:t>
      </w:r>
    </w:p>
    <w:p w14:paraId="6C566D53">
      <w:pPr>
        <w:ind w:firstLine="708"/>
        <w:jc w:val="both"/>
        <w:rPr>
          <w:color w:val="000000"/>
          <w:sz w:val="22"/>
          <w:szCs w:val="22"/>
          <w:lang w:eastAsia="ar-SA" w:bidi="ru-RU"/>
        </w:rPr>
      </w:pPr>
      <w:r>
        <w:rPr>
          <w:color w:val="000000"/>
          <w:sz w:val="22"/>
          <w:szCs w:val="22"/>
          <w:lang w:eastAsia="ar-SA" w:bidi="ru-RU"/>
        </w:rPr>
        <w:t xml:space="preserve">3.1 Требования к качеству Товара, комплектности, таре, упаковке, маркировке </w:t>
      </w:r>
      <w:r>
        <w:rPr>
          <w:color w:val="000000"/>
          <w:sz w:val="22"/>
          <w:szCs w:val="22"/>
          <w:lang w:eastAsia="ar-SA" w:bidi="ru-RU"/>
        </w:rPr>
        <w:br w:type="textWrapping"/>
      </w:r>
      <w:r>
        <w:rPr>
          <w:color w:val="000000"/>
          <w:sz w:val="22"/>
          <w:szCs w:val="22"/>
          <w:lang w:eastAsia="ar-SA" w:bidi="ru-RU"/>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B62971E">
      <w:pPr>
        <w:ind w:firstLine="708"/>
        <w:jc w:val="both"/>
        <w:rPr>
          <w:color w:val="000000"/>
          <w:sz w:val="22"/>
          <w:szCs w:val="22"/>
          <w:lang w:eastAsia="ar-SA" w:bidi="ru-RU"/>
        </w:rPr>
      </w:pPr>
      <w:r>
        <w:rPr>
          <w:color w:val="000000"/>
          <w:sz w:val="22"/>
          <w:szCs w:val="22"/>
          <w:lang w:eastAsia="ar-SA" w:bidi="ru-RU"/>
        </w:rPr>
        <w:t>3.2. Поставка Товара осуществляется по адресу, указанному в Техническом задании (приложение № 2 к Контракту).</w:t>
      </w:r>
    </w:p>
    <w:p w14:paraId="65A714B1">
      <w:pPr>
        <w:ind w:firstLine="708"/>
        <w:jc w:val="both"/>
        <w:rPr>
          <w:color w:val="000000"/>
          <w:sz w:val="22"/>
          <w:szCs w:val="22"/>
          <w:lang w:eastAsia="ar-SA" w:bidi="ru-RU"/>
        </w:rPr>
      </w:pPr>
      <w:r>
        <w:rPr>
          <w:color w:val="000000"/>
          <w:sz w:val="22"/>
          <w:szCs w:val="22"/>
          <w:lang w:eastAsia="ar-SA" w:bidi="ru-RU"/>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D140AC3">
      <w:pPr>
        <w:ind w:firstLine="708"/>
        <w:jc w:val="both"/>
        <w:rPr>
          <w:color w:val="000000"/>
          <w:sz w:val="22"/>
          <w:szCs w:val="22"/>
          <w:lang w:eastAsia="ar-SA" w:bidi="ru-RU"/>
        </w:rPr>
      </w:pPr>
      <w:r>
        <w:rPr>
          <w:color w:val="000000"/>
          <w:sz w:val="22"/>
          <w:szCs w:val="22"/>
          <w:lang w:eastAsia="ar-SA" w:bidi="ru-RU"/>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9CDC35A">
      <w:pPr>
        <w:ind w:firstLine="708"/>
        <w:jc w:val="both"/>
        <w:rPr>
          <w:color w:val="000000"/>
          <w:sz w:val="22"/>
          <w:szCs w:val="22"/>
          <w:lang w:eastAsia="ar-SA" w:bidi="ru-RU"/>
        </w:rPr>
      </w:pPr>
      <w:r>
        <w:rPr>
          <w:color w:val="000000"/>
          <w:sz w:val="22"/>
          <w:szCs w:val="22"/>
          <w:lang w:eastAsia="ar-SA" w:bidi="ru-RU"/>
        </w:rPr>
        <w:t xml:space="preserve">3.5. Срок поставки Товара указывается в Техническом задании (приложение </w:t>
      </w:r>
      <w:r>
        <w:rPr>
          <w:color w:val="000000"/>
          <w:sz w:val="22"/>
          <w:szCs w:val="22"/>
          <w:lang w:eastAsia="ar-SA" w:bidi="ru-RU"/>
        </w:rPr>
        <w:br w:type="textWrapping"/>
      </w:r>
      <w:r>
        <w:rPr>
          <w:color w:val="000000"/>
          <w:sz w:val="22"/>
          <w:szCs w:val="22"/>
          <w:lang w:eastAsia="ar-SA" w:bidi="ru-RU"/>
        </w:rPr>
        <w:t>№ 2 к Контракту).</w:t>
      </w:r>
    </w:p>
    <w:p w14:paraId="621EECCA">
      <w:pPr>
        <w:jc w:val="center"/>
      </w:pPr>
      <w:r>
        <w:rPr>
          <w:b/>
        </w:rPr>
        <w:t>4. Порядок приемки Товара</w:t>
      </w:r>
    </w:p>
    <w:p w14:paraId="5853A673">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184383B">
      <w:pPr>
        <w:ind w:firstLine="708"/>
        <w:jc w:val="both"/>
      </w:pPr>
      <w:r>
        <w:t>4.2. Срок приемки указан в Техническом задании (приложение № 2 к Контракту).</w:t>
      </w:r>
    </w:p>
    <w:p w14:paraId="761E9B03">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B53F3D7">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6C531C1C">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372A0F1">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48DE918">
      <w:pPr>
        <w:ind w:firstLine="708"/>
        <w:jc w:val="both"/>
      </w:pPr>
      <w:r>
        <w:t>4.7. Все расходы, связанные с устранением недостатков, несет Поставщик.</w:t>
      </w:r>
    </w:p>
    <w:p w14:paraId="651A8F48">
      <w:pPr>
        <w:jc w:val="both"/>
      </w:pPr>
    </w:p>
    <w:p w14:paraId="5F62C407">
      <w:pPr>
        <w:jc w:val="center"/>
        <w:rPr>
          <w:b/>
        </w:rPr>
      </w:pPr>
      <w:r>
        <w:rPr>
          <w:b/>
        </w:rPr>
        <w:t>5. Права и обязанности сторон</w:t>
      </w:r>
    </w:p>
    <w:p w14:paraId="363CD201">
      <w:pPr>
        <w:ind w:firstLine="708"/>
        <w:jc w:val="both"/>
      </w:pPr>
      <w:r>
        <w:t>5.1. Заказчик вправе:</w:t>
      </w:r>
    </w:p>
    <w:p w14:paraId="4CEC84F4">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65610CE">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27D897B">
      <w:pPr>
        <w:ind w:firstLine="708"/>
        <w:jc w:val="both"/>
      </w:pPr>
      <w:r>
        <w:t>5.1.3. Запрашивать у Поставщика информацию о ходе исполнения обязательств по Контракту.</w:t>
      </w:r>
    </w:p>
    <w:p w14:paraId="18D62802">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6B50E0A">
      <w:pPr>
        <w:ind w:firstLine="708"/>
        <w:jc w:val="both"/>
      </w:pPr>
      <w:r>
        <w:t>5.1.5. Отказаться от приемки Товара в случаях, предусмотренных Контрактом.</w:t>
      </w:r>
    </w:p>
    <w:p w14:paraId="26741AD6">
      <w:pPr>
        <w:ind w:firstLine="708"/>
        <w:jc w:val="both"/>
      </w:pPr>
      <w:r>
        <w:t>5.1.6. В одностороннем порядке отказаться от исполнения Контракта в соответствии с Законом о контрактной системе.</w:t>
      </w:r>
    </w:p>
    <w:p w14:paraId="35BAB940">
      <w:pPr>
        <w:ind w:firstLine="708"/>
        <w:jc w:val="both"/>
      </w:pPr>
      <w:r>
        <w:t>5.2. Заказчик обязан:</w:t>
      </w:r>
    </w:p>
    <w:p w14:paraId="58EDBC92">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14:paraId="77513984">
      <w:pPr>
        <w:ind w:firstLine="708"/>
        <w:jc w:val="both"/>
      </w:pPr>
      <w:r>
        <w:t xml:space="preserve">5.2.2. Своевременно оплатить поставленный Товар надлежащего качества </w:t>
      </w:r>
      <w:r>
        <w:br w:type="textWrapping"/>
      </w:r>
      <w:r>
        <w:t>в соответствии с Контрактом.</w:t>
      </w:r>
    </w:p>
    <w:p w14:paraId="023DD1FD">
      <w:pPr>
        <w:ind w:firstLine="708"/>
        <w:jc w:val="both"/>
      </w:pPr>
      <w:r>
        <w:t>5.3. Поставщик вправе:</w:t>
      </w:r>
    </w:p>
    <w:p w14:paraId="611FE3F3">
      <w:pPr>
        <w:ind w:firstLine="708"/>
        <w:jc w:val="both"/>
      </w:pPr>
      <w:r>
        <w:t xml:space="preserve">5.3.1. Требовать своевременной приемки и оплаты за поставленный Товар </w:t>
      </w:r>
      <w:r>
        <w:br w:type="textWrapping"/>
      </w:r>
      <w:r>
        <w:t>в соответствии с условиями Контракта.</w:t>
      </w:r>
    </w:p>
    <w:p w14:paraId="04F7E3D8">
      <w:pPr>
        <w:ind w:firstLine="708"/>
        <w:jc w:val="both"/>
      </w:pPr>
      <w:r>
        <w:t xml:space="preserve">5.3.2. Запрашивать у Заказчика разъяснения и уточнения относительно Товара </w:t>
      </w:r>
      <w:r>
        <w:br w:type="textWrapping"/>
      </w:r>
      <w:r>
        <w:t>в рамках Контракта.</w:t>
      </w:r>
    </w:p>
    <w:p w14:paraId="5D28FECE">
      <w:pPr>
        <w:ind w:firstLine="708"/>
        <w:jc w:val="both"/>
      </w:pPr>
      <w:r>
        <w:t xml:space="preserve">5.3.3. Получать от Заказчика содействие при поставке Товара в соответствии </w:t>
      </w:r>
      <w:r>
        <w:br w:type="textWrapping"/>
      </w:r>
      <w:r>
        <w:t>с условиями Контракта.</w:t>
      </w:r>
    </w:p>
    <w:p w14:paraId="2C635ECD">
      <w:pPr>
        <w:ind w:firstLine="708"/>
        <w:jc w:val="both"/>
      </w:pPr>
      <w:r>
        <w:t>5.3.4. Досрочно исполнить обязательства по Контракту с согласия Заказчика.</w:t>
      </w:r>
    </w:p>
    <w:p w14:paraId="7F21EC66">
      <w:pPr>
        <w:ind w:firstLine="708"/>
        <w:jc w:val="both"/>
      </w:pPr>
      <w:r>
        <w:t>5.4. Поставщик обязан:</w:t>
      </w:r>
    </w:p>
    <w:p w14:paraId="3429AAAE">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233ED07A">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186849">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438DE9B">
      <w:pPr>
        <w:ind w:firstLine="708"/>
        <w:jc w:val="both"/>
      </w:pPr>
      <w:r>
        <w:t xml:space="preserve">5.4.4. Приостановить поставку Товара в случае обнаружения не зависящих </w:t>
      </w:r>
      <w: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2EECF3C9">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08F40BB">
      <w:pPr>
        <w:ind w:firstLine="708"/>
        <w:jc w:val="both"/>
      </w:pPr>
      <w:r>
        <w:t>5.5. Поставщик гарантирует, что на момент заключения Контракта:</w:t>
      </w:r>
    </w:p>
    <w:p w14:paraId="2A1C380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финансовый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34DBE79E">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5D006B98">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18AB0CA4">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DFA7EBA">
      <w:pPr>
        <w:ind w:firstLine="708"/>
        <w:jc w:val="both"/>
      </w:pPr>
    </w:p>
    <w:p w14:paraId="6B636566">
      <w:pPr>
        <w:jc w:val="center"/>
        <w:rPr>
          <w:b/>
        </w:rPr>
      </w:pPr>
      <w:r>
        <w:rPr>
          <w:b/>
        </w:rPr>
        <w:t>6. Гарантии</w:t>
      </w:r>
    </w:p>
    <w:p w14:paraId="0724C3BB">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8DE71CF">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E8CECD2">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8A88BF5">
      <w:pPr>
        <w:ind w:firstLine="708"/>
        <w:jc w:val="both"/>
      </w:pPr>
      <w:r>
        <w:t>6.4. Все расходы, связанные с заменой Товара, ненадлежащего качества, осуществляются за счет Поставщика.</w:t>
      </w:r>
    </w:p>
    <w:p w14:paraId="6A55108E">
      <w:pPr>
        <w:jc w:val="center"/>
        <w:rPr>
          <w:b/>
        </w:rPr>
      </w:pPr>
    </w:p>
    <w:p w14:paraId="5EDA68C5">
      <w:pPr>
        <w:jc w:val="center"/>
        <w:rPr>
          <w:b/>
        </w:rPr>
      </w:pPr>
      <w:r>
        <w:rPr>
          <w:b/>
        </w:rPr>
        <w:t>7. Ответственность сторон</w:t>
      </w:r>
    </w:p>
    <w:p w14:paraId="67CD7B41">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997B208">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C03345C">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779101">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428A739">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5ED354C">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rFonts w:hint="default"/>
          <w:lang w:val="ru-RU"/>
        </w:rPr>
        <w:t>___</w:t>
      </w:r>
      <w:r>
        <w:t xml:space="preserve"> рублей </w:t>
      </w:r>
      <w:r>
        <w:rPr>
          <w:rFonts w:hint="default"/>
          <w:lang w:val="ru-RU"/>
        </w:rPr>
        <w:t>__</w:t>
      </w:r>
      <w:r>
        <w:t xml:space="preserve"> копеек.  </w:t>
      </w:r>
    </w:p>
    <w:p w14:paraId="3F4C6863">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7D613CD">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149BBA98">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35F135C">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3DB1EBD">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8DB84FB">
      <w:pPr>
        <w:ind w:firstLine="708"/>
        <w:jc w:val="both"/>
      </w:pPr>
    </w:p>
    <w:p w14:paraId="7F661C44">
      <w:pPr>
        <w:jc w:val="center"/>
        <w:rPr>
          <w:b/>
        </w:rPr>
      </w:pPr>
      <w:r>
        <w:rPr>
          <w:b/>
        </w:rPr>
        <w:t>8. Срок действия, порядок изменения и расторжения Контракта.</w:t>
      </w:r>
    </w:p>
    <w:p w14:paraId="6C47124B">
      <w:pPr>
        <w:ind w:firstLine="708"/>
        <w:jc w:val="both"/>
      </w:pPr>
      <w:r>
        <w:t>8.1. Контракт вступает в силу со дня его подписания Сторонами.</w:t>
      </w:r>
    </w:p>
    <w:p w14:paraId="59C11708">
      <w:pPr>
        <w:ind w:firstLine="708"/>
        <w:jc w:val="both"/>
      </w:pPr>
      <w:r>
        <w:t>8.2. Контракт действует по 31.12.202</w:t>
      </w:r>
      <w:r>
        <w:rPr>
          <w:rFonts w:hint="default"/>
          <w:lang w:val="ru-RU"/>
        </w:rPr>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05DBA677">
      <w:pPr>
        <w:ind w:firstLine="708"/>
        <w:jc w:val="both"/>
      </w:pPr>
      <w:r>
        <w:t>8.3. Контракт может быть расторгнут:</w:t>
      </w:r>
    </w:p>
    <w:p w14:paraId="215D3006">
      <w:pPr>
        <w:jc w:val="both"/>
      </w:pPr>
      <w:r>
        <w:t>- по соглашению сторон;</w:t>
      </w:r>
    </w:p>
    <w:p w14:paraId="1F1172C0">
      <w:pPr>
        <w:jc w:val="both"/>
      </w:pPr>
      <w:r>
        <w:t>- по решению суда;</w:t>
      </w:r>
    </w:p>
    <w:p w14:paraId="2E83A3B6">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5AB859C8">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57F0A3A5">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38E3707C">
      <w:pPr>
        <w:ind w:firstLine="708"/>
        <w:jc w:val="both"/>
      </w:pPr>
    </w:p>
    <w:p w14:paraId="6A5480F3">
      <w:pPr>
        <w:jc w:val="center"/>
        <w:rPr>
          <w:b/>
        </w:rPr>
      </w:pPr>
      <w:r>
        <w:rPr>
          <w:b/>
        </w:rPr>
        <w:t>9. Порядок урегулирования споров</w:t>
      </w:r>
    </w:p>
    <w:p w14:paraId="16F553A5">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70C8564">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7BF62C9">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7DB44DA">
      <w:pPr>
        <w:ind w:firstLine="708"/>
        <w:jc w:val="both"/>
      </w:pPr>
    </w:p>
    <w:p w14:paraId="28A440C2">
      <w:pPr>
        <w:jc w:val="center"/>
      </w:pPr>
      <w:r>
        <w:rPr>
          <w:b/>
        </w:rPr>
        <w:t>10. Прочие условия</w:t>
      </w:r>
    </w:p>
    <w:p w14:paraId="3B4761B3">
      <w:pPr>
        <w:ind w:firstLine="708"/>
        <w:jc w:val="both"/>
      </w:pPr>
      <w:r>
        <w:t xml:space="preserve">10.1. Все уведомления сторон, связанные с исполнением Контракта, направляются </w:t>
      </w:r>
      <w:r>
        <w:br w:type="textWrapping"/>
      </w:r>
      <w: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type="textWrapping"/>
      </w:r>
      <w: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4587A65">
      <w:pPr>
        <w:ind w:firstLine="708"/>
        <w:jc w:val="both"/>
      </w:pPr>
      <w:r>
        <w:t>10.2. Контракт составлен в 2 (двух) экземплярах по одному для каждой из Сторон, имеющих одинаковую юридическую силу.</w:t>
      </w:r>
    </w:p>
    <w:p w14:paraId="771F64B3">
      <w:pPr>
        <w:ind w:firstLine="708"/>
        <w:jc w:val="both"/>
      </w:pPr>
      <w:r>
        <w:t>10.3. Во всем, что не предусмотрено Контрактом, Стороны руководствуются законодательством Российской Федерации.</w:t>
      </w:r>
    </w:p>
    <w:p w14:paraId="3DD355D4">
      <w:pPr>
        <w:jc w:val="center"/>
        <w:rPr>
          <w:b/>
        </w:rPr>
      </w:pPr>
      <w:r>
        <w:rPr>
          <w:b/>
        </w:rPr>
        <w:t>11. Приложения</w:t>
      </w:r>
    </w:p>
    <w:p w14:paraId="03D8E202">
      <w:pPr>
        <w:ind w:firstLine="708"/>
        <w:jc w:val="both"/>
      </w:pPr>
      <w:r>
        <w:t>11.1 Неотъемлемой частью Контракта являются:</w:t>
      </w:r>
    </w:p>
    <w:p w14:paraId="60C08035">
      <w:pPr>
        <w:ind w:firstLine="708"/>
        <w:jc w:val="both"/>
      </w:pPr>
      <w:r>
        <w:t>Приложение № 1 «Спецификация 1»</w:t>
      </w:r>
    </w:p>
    <w:p w14:paraId="5BA2E43F">
      <w:pPr>
        <w:rPr>
          <w:b/>
        </w:rPr>
      </w:pPr>
      <w:r>
        <w:t xml:space="preserve">            Приложение № 2 «Техническое задание</w:t>
      </w:r>
      <w:r>
        <w:rPr>
          <w:b/>
        </w:rPr>
        <w:t>»</w:t>
      </w:r>
    </w:p>
    <w:p w14:paraId="0546A98A">
      <w:pPr>
        <w:ind w:firstLine="708"/>
        <w:jc w:val="both"/>
      </w:pPr>
    </w:p>
    <w:p w14:paraId="27B0644C">
      <w:pPr>
        <w:jc w:val="center"/>
        <w:rPr>
          <w:b/>
        </w:rPr>
      </w:pPr>
      <w:r>
        <w:rPr>
          <w:b/>
        </w:rPr>
        <w:t>12. Реквизиты и подписи сторон</w:t>
      </w:r>
    </w:p>
    <w:tbl>
      <w:tblPr>
        <w:tblStyle w:val="9"/>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3"/>
        <w:gridCol w:w="4671"/>
      </w:tblGrid>
      <w:tr w14:paraId="765D8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restart"/>
            <w:tcBorders>
              <w:top w:val="nil"/>
              <w:left w:val="nil"/>
              <w:bottom w:val="nil"/>
              <w:right w:val="nil"/>
            </w:tcBorders>
            <w:shd w:val="clear" w:color="auto" w:fill="auto"/>
          </w:tcPr>
          <w:p w14:paraId="209EDAB1">
            <w:pPr>
              <w:widowControl w:val="0"/>
              <w:snapToGrid w:val="0"/>
              <w:jc w:val="center"/>
              <w:rPr>
                <w:b/>
              </w:rPr>
            </w:pPr>
            <w:r>
              <w:rPr>
                <w:b/>
                <w:sz w:val="20"/>
              </w:rPr>
              <w:t>Заказчик:</w:t>
            </w:r>
          </w:p>
          <w:p w14:paraId="1354EAF7">
            <w:pPr>
              <w:widowControl w:val="0"/>
              <w:snapToGrid w:val="0"/>
              <w:rPr>
                <w:sz w:val="18"/>
                <w:szCs w:val="18"/>
              </w:rPr>
            </w:pPr>
          </w:p>
          <w:p w14:paraId="5A14057E">
            <w:pPr>
              <w:widowControl w:val="0"/>
              <w:snapToGrid w:val="0"/>
              <w:rPr>
                <w:rFonts w:eastAsia="Calibri"/>
                <w:sz w:val="22"/>
              </w:rPr>
            </w:pPr>
            <w:r>
              <w:rPr>
                <w:b/>
                <w:bCs/>
                <w:sz w:val="22"/>
                <w:szCs w:val="22"/>
              </w:rPr>
              <w:t>ГБОУ гимназия № 92</w:t>
            </w:r>
            <w:r>
              <w:rPr>
                <w:rFonts w:eastAsia="Calibri"/>
                <w:b/>
                <w:bCs/>
                <w:sz w:val="22"/>
                <w:szCs w:val="22"/>
              </w:rPr>
              <w:t xml:space="preserve"> Выборгского района Санкт-Петербург</w:t>
            </w:r>
            <w:r>
              <w:rPr>
                <w:rFonts w:eastAsia="Calibri"/>
                <w:sz w:val="22"/>
                <w:szCs w:val="22"/>
              </w:rPr>
              <w:t>а</w:t>
            </w:r>
          </w:p>
          <w:p w14:paraId="43395A7E">
            <w:pPr>
              <w:widowControl w:val="0"/>
              <w:snapToGrid w:val="0"/>
              <w:rPr>
                <w:sz w:val="22"/>
              </w:rPr>
            </w:pPr>
            <w:r>
              <w:rPr>
                <w:rFonts w:eastAsia="Calibri"/>
                <w:sz w:val="22"/>
                <w:szCs w:val="22"/>
              </w:rPr>
              <w:t>Юр. Адрес: Пр. Тореза, д. 94, кор.1, лит.А</w:t>
            </w:r>
          </w:p>
          <w:p w14:paraId="65CF7D0B">
            <w:pPr>
              <w:widowControl w:val="0"/>
              <w:snapToGrid w:val="0"/>
              <w:rPr>
                <w:rFonts w:eastAsia="Calibri"/>
                <w:sz w:val="22"/>
              </w:rPr>
            </w:pPr>
            <w:r>
              <w:rPr>
                <w:sz w:val="22"/>
                <w:szCs w:val="22"/>
              </w:rPr>
              <w:t xml:space="preserve"> </w:t>
            </w:r>
            <w:r>
              <w:rPr>
                <w:rFonts w:eastAsia="Calibri"/>
                <w:sz w:val="22"/>
                <w:szCs w:val="22"/>
              </w:rPr>
              <w:t>ИНН 7802105160 КПП780201001</w:t>
            </w:r>
          </w:p>
          <w:p w14:paraId="77E3B5DD">
            <w:pPr>
              <w:widowControl w:val="0"/>
              <w:snapToGrid w:val="0"/>
              <w:rPr>
                <w:rFonts w:eastAsia="Calibri"/>
                <w:sz w:val="22"/>
              </w:rPr>
            </w:pPr>
            <w:r>
              <w:rPr>
                <w:rFonts w:eastAsia="Calibri"/>
                <w:sz w:val="22"/>
                <w:szCs w:val="22"/>
              </w:rPr>
              <w:t>Казначейский счет: 03224643400000007200</w:t>
            </w:r>
          </w:p>
          <w:p w14:paraId="59BAD9A9">
            <w:pPr>
              <w:widowControl w:val="0"/>
              <w:snapToGrid w:val="0"/>
              <w:rPr>
                <w:sz w:val="22"/>
              </w:rPr>
            </w:pPr>
            <w:r>
              <w:rPr>
                <w:rFonts w:eastAsia="Calibri"/>
                <w:sz w:val="22"/>
                <w:szCs w:val="22"/>
              </w:rPr>
              <w:t>р/сч 40102810945370000005                                                            в в Комитете финансов СПб</w:t>
            </w:r>
          </w:p>
          <w:p w14:paraId="0F12FFBA">
            <w:pPr>
              <w:widowControl w:val="0"/>
              <w:snapToGrid w:val="0"/>
              <w:rPr>
                <w:rFonts w:eastAsia="Calibri"/>
                <w:sz w:val="22"/>
              </w:rPr>
            </w:pPr>
            <w:r>
              <w:rPr>
                <w:sz w:val="22"/>
                <w:szCs w:val="22"/>
              </w:rPr>
              <w:t xml:space="preserve"> </w:t>
            </w:r>
            <w:r>
              <w:rPr>
                <w:rFonts w:eastAsia="Calibri"/>
                <w:sz w:val="22"/>
                <w:szCs w:val="22"/>
              </w:rPr>
              <w:t>БИК 014030106</w:t>
            </w:r>
          </w:p>
          <w:p w14:paraId="4A93A18E">
            <w:pPr>
              <w:widowControl w:val="0"/>
              <w:snapToGrid w:val="0"/>
              <w:rPr>
                <w:rFonts w:eastAsia="Calibri"/>
                <w:sz w:val="22"/>
              </w:rPr>
            </w:pPr>
            <w:r>
              <w:rPr>
                <w:rFonts w:eastAsia="Calibri"/>
                <w:sz w:val="22"/>
                <w:szCs w:val="22"/>
              </w:rPr>
              <w:t>л/с 0501094</w:t>
            </w:r>
          </w:p>
          <w:p w14:paraId="6A50DAD7">
            <w:pPr>
              <w:widowControl w:val="0"/>
              <w:snapToGrid w:val="0"/>
              <w:rPr>
                <w:rFonts w:eastAsia="Calibri"/>
                <w:sz w:val="22"/>
              </w:rPr>
            </w:pPr>
          </w:p>
          <w:p w14:paraId="568435ED">
            <w:pPr>
              <w:widowControl w:val="0"/>
              <w:snapToGrid w:val="0"/>
              <w:rPr>
                <w:rFonts w:eastAsia="Calibri"/>
                <w:sz w:val="22"/>
              </w:rPr>
            </w:pPr>
          </w:p>
          <w:p w14:paraId="3D316FA5">
            <w:pPr>
              <w:widowControl w:val="0"/>
              <w:snapToGrid w:val="0"/>
              <w:rPr>
                <w:rFonts w:eastAsia="Calibri"/>
                <w:sz w:val="22"/>
              </w:rPr>
            </w:pPr>
          </w:p>
          <w:p w14:paraId="23EA1CDB">
            <w:pPr>
              <w:widowControl w:val="0"/>
              <w:snapToGrid w:val="0"/>
              <w:rPr>
                <w:rFonts w:eastAsia="Calibri"/>
                <w:sz w:val="22"/>
              </w:rPr>
            </w:pPr>
          </w:p>
          <w:p w14:paraId="4959DC28">
            <w:pPr>
              <w:widowControl w:val="0"/>
              <w:snapToGrid w:val="0"/>
              <w:rPr>
                <w:rFonts w:eastAsia="Calibri"/>
                <w:sz w:val="22"/>
              </w:rPr>
            </w:pPr>
          </w:p>
          <w:p w14:paraId="68C48057">
            <w:pPr>
              <w:widowControl w:val="0"/>
              <w:snapToGrid w:val="0"/>
              <w:rPr>
                <w:rFonts w:eastAsia="Calibri"/>
                <w:sz w:val="22"/>
              </w:rPr>
            </w:pPr>
          </w:p>
          <w:p w14:paraId="26F05D45">
            <w:pPr>
              <w:widowControl w:val="0"/>
              <w:snapToGrid w:val="0"/>
              <w:rPr>
                <w:rFonts w:eastAsia="Calibri"/>
                <w:sz w:val="22"/>
              </w:rPr>
            </w:pPr>
          </w:p>
          <w:p w14:paraId="7E0C9558">
            <w:pPr>
              <w:widowControl w:val="0"/>
              <w:snapToGrid w:val="0"/>
              <w:rPr>
                <w:rFonts w:eastAsia="Calibri"/>
                <w:sz w:val="22"/>
              </w:rPr>
            </w:pPr>
            <w:r>
              <w:rPr>
                <w:rFonts w:eastAsia="Calibri"/>
                <w:sz w:val="22"/>
                <w:szCs w:val="22"/>
              </w:rPr>
              <w:t>Директор ГБОУ гимназия № 92                                                                                   Выборгского района Санкт-Петербурга</w:t>
            </w:r>
          </w:p>
          <w:p w14:paraId="4BFAADCA">
            <w:pPr>
              <w:widowControl w:val="0"/>
              <w:contextualSpacing/>
              <w:rPr>
                <w:sz w:val="22"/>
              </w:rPr>
            </w:pPr>
          </w:p>
          <w:p w14:paraId="4E106B3E">
            <w:pPr>
              <w:widowControl w:val="0"/>
              <w:contextualSpacing/>
              <w:rPr>
                <w:sz w:val="22"/>
              </w:rPr>
            </w:pPr>
          </w:p>
          <w:p w14:paraId="1B0A2A2D">
            <w:pPr>
              <w:widowControl w:val="0"/>
              <w:contextualSpacing/>
              <w:rPr>
                <w:sz w:val="22"/>
              </w:rPr>
            </w:pPr>
          </w:p>
          <w:p w14:paraId="3384005C">
            <w:pPr>
              <w:widowControl w:val="0"/>
              <w:contextualSpacing/>
              <w:rPr>
                <w:sz w:val="22"/>
              </w:rPr>
            </w:pPr>
          </w:p>
          <w:p w14:paraId="01F189FC">
            <w:pPr>
              <w:widowControl w:val="0"/>
              <w:snapToGrid w:val="0"/>
              <w:rPr>
                <w:rFonts w:eastAsia="Calibri"/>
                <w:sz w:val="22"/>
                <w:szCs w:val="22"/>
              </w:rPr>
            </w:pPr>
            <w:r>
              <w:rPr>
                <w:sz w:val="22"/>
                <w:szCs w:val="22"/>
              </w:rPr>
              <w:t>__________________________________</w:t>
            </w:r>
            <w:r>
              <w:rPr>
                <w:rFonts w:eastAsia="Calibri"/>
                <w:sz w:val="22"/>
                <w:szCs w:val="22"/>
              </w:rPr>
              <w:t xml:space="preserve"> Сочилин С.Б</w:t>
            </w:r>
          </w:p>
          <w:p w14:paraId="15ABDA0D">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58056625">
            <w:pPr>
              <w:widowControl w:val="0"/>
              <w:snapToGrid w:val="0"/>
              <w:rPr>
                <w:rFonts w:eastAsia="Calibri"/>
                <w:sz w:val="22"/>
                <w:szCs w:val="22"/>
              </w:rPr>
            </w:pPr>
          </w:p>
          <w:p w14:paraId="344C608B">
            <w:pPr>
              <w:widowControl w:val="0"/>
              <w:contextualSpacing/>
              <w:rPr>
                <w:sz w:val="22"/>
              </w:rPr>
            </w:pPr>
          </w:p>
          <w:p w14:paraId="608D64EC">
            <w:pPr>
              <w:widowControl w:val="0"/>
              <w:contextualSpacing/>
              <w:rPr>
                <w:sz w:val="20"/>
                <w:szCs w:val="20"/>
              </w:rPr>
            </w:pPr>
          </w:p>
          <w:p w14:paraId="46E618D1">
            <w:pPr>
              <w:widowControl w:val="0"/>
              <w:contextualSpacing/>
              <w:rPr>
                <w:sz w:val="20"/>
                <w:szCs w:val="20"/>
              </w:rPr>
            </w:pPr>
          </w:p>
          <w:p w14:paraId="7071B7CA">
            <w:pPr>
              <w:widowControl w:val="0"/>
              <w:shd w:val="clear" w:color="auto" w:fill="FFFFFF"/>
              <w:contextualSpacing/>
              <w:rPr>
                <w:sz w:val="20"/>
                <w:szCs w:val="20"/>
              </w:rPr>
            </w:pPr>
          </w:p>
          <w:p w14:paraId="350A241E">
            <w:pPr>
              <w:widowControl w:val="0"/>
              <w:contextualSpacing/>
              <w:rPr>
                <w:b/>
                <w:sz w:val="20"/>
                <w:szCs w:val="20"/>
              </w:rPr>
            </w:pPr>
          </w:p>
        </w:tc>
        <w:tc>
          <w:tcPr>
            <w:tcW w:w="4671" w:type="dxa"/>
            <w:tcBorders>
              <w:top w:val="nil"/>
              <w:left w:val="nil"/>
              <w:bottom w:val="nil"/>
              <w:right w:val="nil"/>
            </w:tcBorders>
            <w:shd w:val="clear" w:color="auto" w:fill="auto"/>
          </w:tcPr>
          <w:p w14:paraId="71D0214E">
            <w:pPr>
              <w:widowControl w:val="0"/>
              <w:jc w:val="both"/>
              <w:rPr>
                <w:b/>
              </w:rPr>
            </w:pPr>
            <w:r>
              <w:rPr>
                <w:b/>
                <w:sz w:val="20"/>
              </w:rPr>
              <w:t>Поставщик:</w:t>
            </w:r>
          </w:p>
        </w:tc>
      </w:tr>
      <w:tr w14:paraId="24665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166CA348">
            <w:pPr>
              <w:widowControl w:val="0"/>
              <w:jc w:val="center"/>
              <w:rPr>
                <w:b/>
              </w:rPr>
            </w:pPr>
          </w:p>
        </w:tc>
        <w:tc>
          <w:tcPr>
            <w:tcW w:w="4671" w:type="dxa"/>
            <w:tcBorders>
              <w:top w:val="nil"/>
              <w:left w:val="nil"/>
              <w:bottom w:val="nil"/>
              <w:right w:val="nil"/>
            </w:tcBorders>
            <w:shd w:val="clear" w:color="auto" w:fill="auto"/>
          </w:tcPr>
          <w:p w14:paraId="55A7F6D8">
            <w:pPr>
              <w:widowControl w:val="0"/>
              <w:rPr>
                <w:b/>
              </w:rPr>
            </w:pPr>
          </w:p>
        </w:tc>
      </w:tr>
      <w:tr w14:paraId="2F0F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31CFD22D">
            <w:pPr>
              <w:widowControl w:val="0"/>
              <w:jc w:val="center"/>
              <w:rPr>
                <w:b/>
              </w:rPr>
            </w:pPr>
          </w:p>
        </w:tc>
        <w:tc>
          <w:tcPr>
            <w:tcW w:w="4671" w:type="dxa"/>
            <w:tcBorders>
              <w:top w:val="nil"/>
              <w:left w:val="nil"/>
              <w:bottom w:val="nil"/>
              <w:right w:val="nil"/>
            </w:tcBorders>
            <w:shd w:val="clear" w:color="auto" w:fill="auto"/>
            <w:vAlign w:val="top"/>
          </w:tcPr>
          <w:p w14:paraId="08CB8D00">
            <w:pPr>
              <w:widowControl w:val="0"/>
              <w:rPr>
                <w:rFonts w:hint="default" w:ascii="Times New Roman" w:hAnsi="Times New Roman" w:eastAsia="Times New Roman" w:cs="Times New Roman"/>
                <w:sz w:val="20"/>
                <w:szCs w:val="24"/>
                <w:lang w:val="ru-RU" w:eastAsia="ru-RU" w:bidi="ar-SA"/>
              </w:rPr>
            </w:pPr>
            <w:r>
              <w:rPr>
                <w:rFonts w:eastAsia="Calibri"/>
                <w:b/>
                <w:bCs/>
                <w:sz w:val="22"/>
                <w:szCs w:val="22"/>
                <w:lang w:val="ru-RU"/>
              </w:rPr>
              <w:t>ООО</w:t>
            </w:r>
            <w:r>
              <w:rPr>
                <w:rFonts w:hint="default" w:eastAsia="Calibri"/>
                <w:b/>
                <w:bCs/>
                <w:sz w:val="22"/>
                <w:szCs w:val="22"/>
                <w:lang w:val="ru-RU"/>
              </w:rPr>
              <w:t xml:space="preserve"> ....</w:t>
            </w:r>
          </w:p>
        </w:tc>
      </w:tr>
      <w:tr w14:paraId="0FA0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71A911FF">
            <w:pPr>
              <w:widowControl w:val="0"/>
              <w:jc w:val="center"/>
              <w:rPr>
                <w:b/>
              </w:rPr>
            </w:pPr>
          </w:p>
        </w:tc>
        <w:tc>
          <w:tcPr>
            <w:tcW w:w="4671" w:type="dxa"/>
            <w:tcBorders>
              <w:top w:val="nil"/>
              <w:left w:val="nil"/>
              <w:bottom w:val="nil"/>
              <w:right w:val="nil"/>
            </w:tcBorders>
            <w:shd w:val="clear" w:color="auto" w:fill="auto"/>
            <w:vAlign w:val="top"/>
          </w:tcPr>
          <w:p w14:paraId="5DE7695E">
            <w:pPr>
              <w:widowControl w:val="0"/>
              <w:snapToGrid w:val="0"/>
              <w:rPr>
                <w:rFonts w:eastAsia="Calibri"/>
                <w:sz w:val="22"/>
                <w:szCs w:val="22"/>
              </w:rPr>
            </w:pPr>
          </w:p>
          <w:p w14:paraId="73BE9474">
            <w:pPr>
              <w:widowControl w:val="0"/>
              <w:snapToGrid w:val="0"/>
              <w:rPr>
                <w:rFonts w:eastAsia="Calibri"/>
                <w:sz w:val="22"/>
                <w:szCs w:val="22"/>
              </w:rPr>
            </w:pPr>
          </w:p>
          <w:p w14:paraId="4389ABF5">
            <w:pPr>
              <w:widowControl w:val="0"/>
              <w:snapToGrid w:val="0"/>
              <w:rPr>
                <w:rFonts w:eastAsia="Calibri"/>
                <w:sz w:val="22"/>
                <w:szCs w:val="22"/>
              </w:rPr>
            </w:pPr>
          </w:p>
          <w:p w14:paraId="7EAEBC58">
            <w:pPr>
              <w:widowControl w:val="0"/>
              <w:snapToGrid w:val="0"/>
              <w:rPr>
                <w:rFonts w:eastAsia="Calibri"/>
                <w:sz w:val="22"/>
                <w:szCs w:val="22"/>
              </w:rPr>
            </w:pPr>
          </w:p>
          <w:p w14:paraId="63540030">
            <w:pPr>
              <w:widowControl w:val="0"/>
              <w:snapToGrid w:val="0"/>
              <w:rPr>
                <w:rFonts w:eastAsia="Calibri"/>
                <w:sz w:val="22"/>
                <w:szCs w:val="22"/>
              </w:rPr>
            </w:pPr>
          </w:p>
          <w:p w14:paraId="0BF36001">
            <w:pPr>
              <w:widowControl w:val="0"/>
              <w:snapToGrid w:val="0"/>
              <w:rPr>
                <w:rFonts w:eastAsia="Calibri"/>
                <w:sz w:val="22"/>
                <w:szCs w:val="22"/>
              </w:rPr>
            </w:pPr>
          </w:p>
          <w:p w14:paraId="645C035C">
            <w:pPr>
              <w:widowControl w:val="0"/>
              <w:snapToGrid w:val="0"/>
              <w:rPr>
                <w:rFonts w:eastAsia="Calibri"/>
                <w:sz w:val="22"/>
                <w:szCs w:val="22"/>
              </w:rPr>
            </w:pPr>
          </w:p>
          <w:p w14:paraId="365E082C">
            <w:pPr>
              <w:widowControl w:val="0"/>
              <w:snapToGrid w:val="0"/>
              <w:rPr>
                <w:rFonts w:eastAsia="Calibri"/>
                <w:sz w:val="22"/>
                <w:szCs w:val="22"/>
              </w:rPr>
            </w:pPr>
          </w:p>
          <w:p w14:paraId="68591165">
            <w:pPr>
              <w:widowControl w:val="0"/>
              <w:snapToGrid w:val="0"/>
              <w:rPr>
                <w:rFonts w:eastAsia="Calibri"/>
                <w:sz w:val="22"/>
                <w:szCs w:val="22"/>
              </w:rPr>
            </w:pPr>
          </w:p>
          <w:p w14:paraId="43FD46CB">
            <w:pPr>
              <w:widowControl w:val="0"/>
              <w:snapToGrid w:val="0"/>
              <w:rPr>
                <w:rFonts w:eastAsia="Calibri"/>
                <w:sz w:val="22"/>
                <w:szCs w:val="22"/>
              </w:rPr>
            </w:pPr>
          </w:p>
          <w:p w14:paraId="063453AC">
            <w:pPr>
              <w:widowControl w:val="0"/>
              <w:snapToGrid w:val="0"/>
              <w:rPr>
                <w:rFonts w:eastAsia="Calibri"/>
                <w:sz w:val="22"/>
                <w:szCs w:val="22"/>
              </w:rPr>
            </w:pPr>
          </w:p>
          <w:p w14:paraId="0B2ED302">
            <w:pPr>
              <w:widowControl w:val="0"/>
              <w:snapToGrid w:val="0"/>
              <w:rPr>
                <w:rFonts w:eastAsia="Calibri"/>
                <w:sz w:val="22"/>
                <w:szCs w:val="22"/>
              </w:rPr>
            </w:pPr>
          </w:p>
          <w:p w14:paraId="25C3649B">
            <w:pPr>
              <w:widowControl w:val="0"/>
              <w:snapToGrid w:val="0"/>
              <w:rPr>
                <w:rFonts w:eastAsia="Calibri"/>
                <w:sz w:val="22"/>
                <w:szCs w:val="22"/>
              </w:rPr>
            </w:pPr>
          </w:p>
          <w:p w14:paraId="14D930BC">
            <w:pPr>
              <w:widowControl w:val="0"/>
              <w:snapToGrid w:val="0"/>
              <w:rPr>
                <w:rFonts w:eastAsia="Calibri"/>
                <w:sz w:val="22"/>
                <w:szCs w:val="22"/>
              </w:rPr>
            </w:pPr>
          </w:p>
          <w:p w14:paraId="0C2867B0">
            <w:pPr>
              <w:widowControl w:val="0"/>
              <w:snapToGrid w:val="0"/>
              <w:rPr>
                <w:rFonts w:eastAsia="Calibri"/>
                <w:sz w:val="22"/>
                <w:szCs w:val="22"/>
              </w:rPr>
            </w:pPr>
          </w:p>
          <w:p w14:paraId="67400DA3">
            <w:pPr>
              <w:widowControl w:val="0"/>
              <w:snapToGrid w:val="0"/>
              <w:rPr>
                <w:rFonts w:eastAsia="Calibri"/>
                <w:sz w:val="22"/>
                <w:szCs w:val="22"/>
              </w:rPr>
            </w:pPr>
          </w:p>
          <w:p w14:paraId="5C3D29E9">
            <w:pPr>
              <w:widowControl w:val="0"/>
              <w:snapToGrid w:val="0"/>
              <w:rPr>
                <w:rFonts w:eastAsia="Calibri"/>
                <w:sz w:val="22"/>
                <w:szCs w:val="22"/>
              </w:rPr>
            </w:pPr>
            <w:r>
              <w:rPr>
                <w:rFonts w:eastAsia="Calibri"/>
                <w:sz w:val="22"/>
                <w:szCs w:val="22"/>
              </w:rPr>
              <w:t xml:space="preserve">  </w:t>
            </w:r>
          </w:p>
          <w:p w14:paraId="2A24468F">
            <w:pPr>
              <w:widowControl w:val="0"/>
              <w:snapToGrid w:val="0"/>
              <w:rPr>
                <w:rFonts w:eastAsia="Calibri"/>
                <w:sz w:val="22"/>
                <w:szCs w:val="22"/>
              </w:rPr>
            </w:pPr>
          </w:p>
          <w:p w14:paraId="6168F37B">
            <w:pPr>
              <w:widowControl w:val="0"/>
              <w:snapToGrid w:val="0"/>
              <w:rPr>
                <w:rFonts w:ascii="Times New Roman" w:hAnsi="Times New Roman" w:eastAsia="Calibri" w:cs="Times New Roman"/>
                <w:sz w:val="22"/>
                <w:szCs w:val="22"/>
                <w:lang w:val="ru-RU" w:eastAsia="ru-RU" w:bidi="ar-SA"/>
              </w:rPr>
            </w:pPr>
          </w:p>
        </w:tc>
      </w:tr>
      <w:tr w14:paraId="315C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3" w:type="dxa"/>
            <w:vMerge w:val="continue"/>
            <w:tcBorders>
              <w:top w:val="nil"/>
              <w:left w:val="nil"/>
              <w:bottom w:val="nil"/>
              <w:right w:val="nil"/>
            </w:tcBorders>
            <w:shd w:val="clear" w:color="auto" w:fill="auto"/>
          </w:tcPr>
          <w:p w14:paraId="15C84F86">
            <w:pPr>
              <w:widowControl w:val="0"/>
              <w:jc w:val="center"/>
              <w:rPr>
                <w:b/>
              </w:rPr>
            </w:pPr>
          </w:p>
        </w:tc>
        <w:tc>
          <w:tcPr>
            <w:tcW w:w="4671" w:type="dxa"/>
            <w:tcBorders>
              <w:top w:val="nil"/>
              <w:left w:val="nil"/>
              <w:bottom w:val="nil"/>
              <w:right w:val="nil"/>
            </w:tcBorders>
            <w:shd w:val="clear" w:color="auto" w:fill="auto"/>
            <w:vAlign w:val="top"/>
          </w:tcPr>
          <w:p w14:paraId="5DCEE17E">
            <w:pPr>
              <w:widowControl w:val="0"/>
              <w:rPr>
                <w:sz w:val="20"/>
              </w:rPr>
            </w:pPr>
            <w:r>
              <w:rPr>
                <w:sz w:val="20"/>
              </w:rPr>
              <w:t>Генеральный директор:</w:t>
            </w:r>
          </w:p>
          <w:p w14:paraId="26E5E2A7">
            <w:pPr>
              <w:widowControl w:val="0"/>
              <w:rPr>
                <w:sz w:val="20"/>
              </w:rPr>
            </w:pPr>
          </w:p>
          <w:p w14:paraId="54B80B66">
            <w:pPr>
              <w:widowControl w:val="0"/>
              <w:rPr>
                <w:sz w:val="20"/>
              </w:rPr>
            </w:pPr>
            <w:r>
              <w:rPr>
                <w:sz w:val="20"/>
              </w:rPr>
              <w:t xml:space="preserve">______________________ </w:t>
            </w:r>
          </w:p>
          <w:p w14:paraId="221B95FE">
            <w:pPr>
              <w:widowControl w:val="0"/>
              <w:snapToGrid w:val="0"/>
              <w:rPr>
                <w:rFonts w:hint="default" w:eastAsia="Calibri"/>
                <w:sz w:val="22"/>
                <w:szCs w:val="22"/>
                <w:lang w:val="ru-RU"/>
              </w:rPr>
            </w:pPr>
            <w:r>
              <w:rPr>
                <w:rFonts w:eastAsia="Calibri"/>
                <w:sz w:val="22"/>
                <w:szCs w:val="22"/>
              </w:rPr>
              <w:t>Соболев А</w:t>
            </w:r>
            <w:r>
              <w:rPr>
                <w:rFonts w:hint="default" w:eastAsia="Calibri"/>
                <w:sz w:val="22"/>
                <w:szCs w:val="22"/>
                <w:lang w:val="ru-RU"/>
              </w:rPr>
              <w:t>.</w:t>
            </w:r>
            <w:r>
              <w:rPr>
                <w:rFonts w:eastAsia="Calibri"/>
                <w:sz w:val="22"/>
                <w:szCs w:val="22"/>
              </w:rPr>
              <w:t>В</w:t>
            </w:r>
            <w:r>
              <w:rPr>
                <w:rFonts w:hint="default" w:eastAsia="Calibri"/>
                <w:sz w:val="22"/>
                <w:szCs w:val="22"/>
                <w:lang w:val="ru-RU"/>
              </w:rPr>
              <w:t>.</w:t>
            </w:r>
          </w:p>
          <w:p w14:paraId="049D06F2">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C800DF0">
            <w:pPr>
              <w:widowControl w:val="0"/>
              <w:rPr>
                <w:rFonts w:ascii="Times New Roman" w:hAnsi="Times New Roman" w:eastAsia="Times New Roman" w:cs="Times New Roman"/>
                <w:sz w:val="20"/>
                <w:szCs w:val="24"/>
                <w:lang w:val="ru-RU" w:eastAsia="ru-RU" w:bidi="ar-SA"/>
              </w:rPr>
            </w:pPr>
          </w:p>
        </w:tc>
      </w:tr>
    </w:tbl>
    <w:p w14:paraId="1257CE50">
      <w:pPr>
        <w:jc w:val="center"/>
        <w:rPr>
          <w:b/>
        </w:rPr>
      </w:pPr>
    </w:p>
    <w:p w14:paraId="2B1AA3E6">
      <w:pPr>
        <w:jc w:val="both"/>
      </w:pPr>
    </w:p>
    <w:p w14:paraId="2F6C2D92">
      <w:pPr>
        <w:jc w:val="both"/>
      </w:pPr>
    </w:p>
    <w:p w14:paraId="2A4BAAD0">
      <w:pPr>
        <w:jc w:val="both"/>
        <w:rPr>
          <w:b/>
        </w:rPr>
        <w:sectPr>
          <w:pgSz w:w="11906" w:h="16838"/>
          <w:pgMar w:top="1134" w:right="851" w:bottom="1134" w:left="1701" w:header="0" w:footer="0" w:gutter="0"/>
          <w:cols w:space="720" w:num="1"/>
          <w:formProt w:val="0"/>
          <w:docGrid w:linePitch="360" w:charSpace="0"/>
        </w:sectPr>
      </w:pPr>
      <w:r>
        <w:rPr>
          <w:b/>
        </w:rPr>
        <w:t xml:space="preserve">                                                                                </w:t>
      </w:r>
    </w:p>
    <w:p w14:paraId="62096E21">
      <w:pPr>
        <w:spacing w:after="160" w:line="259" w:lineRule="auto"/>
      </w:pPr>
    </w:p>
    <w:p w14:paraId="6C559BA7">
      <w:pPr>
        <w:ind w:left="6237"/>
        <w:jc w:val="right"/>
      </w:pPr>
      <w:r>
        <w:t>Приложение № 1 к Контракту</w:t>
      </w:r>
    </w:p>
    <w:p w14:paraId="367447CD">
      <w:pPr>
        <w:pStyle w:val="16"/>
        <w:ind w:left="-426" w:firstLine="142"/>
        <w:jc w:val="right"/>
        <w:rPr>
          <w:rFonts w:ascii="Times New Roman" w:hAnsi="Times New Roman" w:cs="Times New Roman"/>
          <w:sz w:val="24"/>
          <w:szCs w:val="24"/>
        </w:rPr>
      </w:pPr>
      <w:r>
        <w:rPr>
          <w:rFonts w:ascii="Times New Roman" w:hAnsi="Times New Roman" w:cs="Times New Roman"/>
          <w:sz w:val="24"/>
          <w:szCs w:val="24"/>
        </w:rPr>
        <w:t>от «</w:t>
      </w:r>
      <w:r>
        <w:rPr>
          <w:rFonts w:hint="default" w:ascii="Times New Roman" w:hAnsi="Times New Roman" w:cs="Times New Roman"/>
          <w:sz w:val="24"/>
          <w:szCs w:val="24"/>
          <w:lang w:val="ru-RU"/>
        </w:rPr>
        <w:t>__</w:t>
      </w:r>
      <w:r>
        <w:rPr>
          <w:rFonts w:ascii="Times New Roman" w:hAnsi="Times New Roman" w:cs="Times New Roman"/>
          <w:sz w:val="24"/>
          <w:szCs w:val="24"/>
        </w:rPr>
        <w:t>»</w:t>
      </w:r>
      <w:r>
        <w:rPr>
          <w:rFonts w:hint="default" w:ascii="Times New Roman" w:hAnsi="Times New Roman" w:cs="Times New Roman"/>
          <w:sz w:val="24"/>
          <w:szCs w:val="24"/>
          <w:lang w:val="ru-RU"/>
        </w:rPr>
        <w:t xml:space="preserve"> </w:t>
      </w:r>
      <w:r>
        <w:rPr>
          <w:rFonts w:ascii="Times New Roman" w:hAnsi="Times New Roman" w:cs="Times New Roman"/>
          <w:sz w:val="24"/>
          <w:szCs w:val="24"/>
          <w:lang w:val="ru-RU"/>
        </w:rPr>
        <w:t>апреля</w:t>
      </w:r>
      <w:r>
        <w:rPr>
          <w:rFonts w:hint="default" w:ascii="Times New Roman" w:hAnsi="Times New Roman" w:cs="Times New Roman"/>
          <w:sz w:val="24"/>
          <w:szCs w:val="24"/>
          <w:lang w:val="ru-RU"/>
        </w:rPr>
        <w:t xml:space="preserve"> </w:t>
      </w:r>
      <w:r>
        <w:rPr>
          <w:rFonts w:ascii="Times New Roman" w:hAnsi="Times New Roman" w:cs="Times New Roman"/>
          <w:sz w:val="24"/>
          <w:szCs w:val="24"/>
        </w:rPr>
        <w:t>202</w:t>
      </w:r>
      <w:r>
        <w:rPr>
          <w:rFonts w:hint="default" w:ascii="Times New Roman" w:hAnsi="Times New Roman" w:cs="Times New Roman"/>
          <w:sz w:val="24"/>
          <w:szCs w:val="24"/>
          <w:lang w:val="ru-RU"/>
        </w:rPr>
        <w:t>6</w:t>
      </w:r>
      <w:r>
        <w:rPr>
          <w:rFonts w:ascii="Times New Roman" w:hAnsi="Times New Roman" w:cs="Times New Roman"/>
          <w:sz w:val="24"/>
          <w:szCs w:val="24"/>
        </w:rPr>
        <w:t>г. №</w:t>
      </w:r>
      <w:r>
        <w:t xml:space="preserve"> </w:t>
      </w:r>
      <w:r>
        <w:rPr>
          <w:rFonts w:hint="default" w:ascii="Times New Roman" w:hAnsi="Times New Roman" w:cs="Times New Roman"/>
          <w:sz w:val="24"/>
          <w:szCs w:val="24"/>
          <w:lang w:val="ru-RU"/>
        </w:rPr>
        <w:t>___</w:t>
      </w:r>
      <w:r>
        <w:rPr>
          <w:rFonts w:ascii="Times New Roman" w:hAnsi="Times New Roman" w:cs="Times New Roman"/>
          <w:sz w:val="24"/>
          <w:szCs w:val="24"/>
        </w:rPr>
        <w:t xml:space="preserve">            </w:t>
      </w:r>
    </w:p>
    <w:p w14:paraId="700E673F">
      <w:pPr>
        <w:jc w:val="center"/>
        <w:rPr>
          <w:rFonts w:eastAsia="Calibri"/>
          <w:b/>
          <w:sz w:val="22"/>
          <w:szCs w:val="22"/>
        </w:rPr>
      </w:pPr>
      <w:r>
        <w:rPr>
          <w:rFonts w:eastAsia="Calibri"/>
          <w:b/>
          <w:sz w:val="22"/>
          <w:szCs w:val="22"/>
        </w:rPr>
        <w:t xml:space="preserve">СПЕЦИФИКАЦИЯ 1 </w:t>
      </w:r>
    </w:p>
    <w:p w14:paraId="69CC3893">
      <w:pPr>
        <w:jc w:val="center"/>
        <w:rPr>
          <w:rFonts w:eastAsia="Calibri"/>
          <w:b/>
          <w:sz w:val="22"/>
          <w:szCs w:val="22"/>
        </w:rPr>
      </w:pPr>
    </w:p>
    <w:tbl>
      <w:tblPr>
        <w:tblStyle w:val="3"/>
        <w:tblpPr w:leftFromText="180" w:rightFromText="180" w:vertAnchor="text" w:horzAnchor="page" w:tblpX="711" w:tblpY="267"/>
        <w:tblOverlap w:val="never"/>
        <w:tblW w:w="15661" w:type="dxa"/>
        <w:tblInd w:w="0" w:type="dxa"/>
        <w:tblLayout w:type="fixed"/>
        <w:tblCellMar>
          <w:top w:w="28" w:type="dxa"/>
          <w:left w:w="28" w:type="dxa"/>
          <w:bottom w:w="28" w:type="dxa"/>
          <w:right w:w="28" w:type="dxa"/>
        </w:tblCellMar>
      </w:tblPr>
      <w:tblGrid>
        <w:gridCol w:w="568"/>
        <w:gridCol w:w="3718"/>
        <w:gridCol w:w="807"/>
        <w:gridCol w:w="598"/>
        <w:gridCol w:w="1220"/>
        <w:gridCol w:w="1453"/>
        <w:gridCol w:w="1418"/>
        <w:gridCol w:w="5879"/>
      </w:tblGrid>
      <w:tr w14:paraId="0354CFC9">
        <w:tblPrEx>
          <w:tblCellMar>
            <w:top w:w="28" w:type="dxa"/>
            <w:left w:w="28" w:type="dxa"/>
            <w:bottom w:w="28" w:type="dxa"/>
            <w:right w:w="28" w:type="dxa"/>
          </w:tblCellMar>
        </w:tblPrEx>
        <w:trPr>
          <w:trHeight w:val="311"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0EEFF32">
            <w:pPr>
              <w:rPr>
                <w:rFonts w:ascii="Times New Roman" w:hAnsi="Times New Roman" w:cs="Times New Roman"/>
              </w:rPr>
            </w:pPr>
            <w:r>
              <w:rPr>
                <w:rFonts w:ascii="Times New Roman" w:hAnsi="Times New Roman" w:cs="Times New Roman"/>
              </w:rPr>
              <w:t>№</w:t>
            </w:r>
          </w:p>
        </w:tc>
        <w:tc>
          <w:tcPr>
            <w:tcW w:w="37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0D42D1">
            <w:pPr>
              <w:rPr>
                <w:rFonts w:ascii="Times New Roman" w:hAnsi="Times New Roman" w:cs="Times New Roman"/>
              </w:rPr>
            </w:pPr>
            <w:r>
              <w:rPr>
                <w:rFonts w:ascii="Times New Roman" w:hAnsi="Times New Roman" w:cs="Times New Roman"/>
              </w:rPr>
              <w:t>Товары (работы, услуги)</w:t>
            </w: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DD52A87">
            <w:pPr>
              <w:rPr>
                <w:rFonts w:ascii="Times New Roman" w:hAnsi="Times New Roman" w:cs="Times New Roman"/>
              </w:rPr>
            </w:pPr>
            <w:r>
              <w:rPr>
                <w:rFonts w:ascii="Times New Roman" w:hAnsi="Times New Roman" w:cs="Times New Roman"/>
              </w:rPr>
              <w:t>Кол-во</w:t>
            </w: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71D4C775">
            <w:pPr>
              <w:rPr>
                <w:rFonts w:ascii="Times New Roman" w:hAnsi="Times New Roman" w:cs="Times New Roman"/>
              </w:rPr>
            </w:pPr>
            <w:r>
              <w:rPr>
                <w:rFonts w:ascii="Times New Roman" w:hAnsi="Times New Roman" w:cs="Times New Roman"/>
              </w:rPr>
              <w:t>Ед. изм.</w:t>
            </w: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1A0785">
            <w:pPr>
              <w:rPr>
                <w:rFonts w:ascii="Times New Roman" w:hAnsi="Times New Roman" w:cs="Times New Roman"/>
              </w:rPr>
            </w:pPr>
            <w:r>
              <w:rPr>
                <w:rFonts w:ascii="Times New Roman" w:hAnsi="Times New Roman" w:cs="Times New Roman"/>
              </w:rPr>
              <w:t>Цена</w:t>
            </w: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0F155C9">
            <w:pPr>
              <w:rPr>
                <w:rFonts w:ascii="Times New Roman" w:hAnsi="Times New Roman" w:cs="Times New Roman"/>
              </w:rPr>
            </w:pPr>
            <w:r>
              <w:rPr>
                <w:rFonts w:ascii="Times New Roman" w:hAnsi="Times New Roman" w:cs="Times New Roman"/>
              </w:rPr>
              <w:t>КТРУ</w:t>
            </w: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31D1B4F">
            <w:pPr>
              <w:rPr>
                <w:rFonts w:ascii="Times New Roman" w:hAnsi="Times New Roman" w:cs="Times New Roman"/>
              </w:rPr>
            </w:pPr>
            <w:r>
              <w:rPr>
                <w:rFonts w:ascii="Times New Roman" w:hAnsi="Times New Roman" w:cs="Times New Roman"/>
              </w:rPr>
              <w:t>Сумма</w:t>
            </w: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689CDBF">
            <w:pPr>
              <w:rPr>
                <w:rFonts w:ascii="Times New Roman" w:hAnsi="Times New Roman" w:cs="Times New Roman"/>
              </w:rPr>
            </w:pPr>
            <w:r>
              <w:rPr>
                <w:rFonts w:ascii="Times New Roman" w:hAnsi="Times New Roman" w:cs="Times New Roman"/>
              </w:rPr>
              <w:t>Характеристики</w:t>
            </w:r>
          </w:p>
        </w:tc>
      </w:tr>
      <w:tr w14:paraId="5FA65E3C">
        <w:tblPrEx>
          <w:tblCellMar>
            <w:top w:w="28" w:type="dxa"/>
            <w:left w:w="28" w:type="dxa"/>
            <w:bottom w:w="28" w:type="dxa"/>
            <w:right w:w="28" w:type="dxa"/>
          </w:tblCellMar>
        </w:tblPrEx>
        <w:trPr>
          <w:trHeight w:val="1082"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254EAD5">
            <w:pPr>
              <w:rPr>
                <w:rFonts w:ascii="Times New Roman" w:hAnsi="Times New Roman" w:cs="Times New Roman"/>
              </w:rPr>
            </w:pPr>
            <w:r>
              <w:rPr>
                <w:rFonts w:ascii="Times New Roman" w:hAnsi="Times New Roman" w:cs="Times New Roman"/>
              </w:rPr>
              <w:t>1</w:t>
            </w:r>
          </w:p>
        </w:tc>
        <w:tc>
          <w:tcPr>
            <w:tcW w:w="3718" w:type="dxa"/>
            <w:tcBorders>
              <w:top w:val="single" w:color="212121" w:sz="2" w:space="0"/>
              <w:left w:val="single" w:color="212121" w:sz="2" w:space="0"/>
              <w:bottom w:val="single" w:color="212121" w:sz="2" w:space="0"/>
              <w:right w:val="single" w:color="212121" w:sz="2" w:space="0"/>
            </w:tcBorders>
            <w:vAlign w:val="bottom"/>
          </w:tcPr>
          <w:p w14:paraId="02201D0A">
            <w:pPr>
              <w:widowControl/>
              <w:jc w:val="center"/>
              <w:textAlignment w:val="bottom"/>
              <w:rPr>
                <w:rFonts w:ascii="Times New Roman" w:hAnsi="Times New Roman" w:cs="Times New Roman"/>
              </w:rPr>
            </w:pPr>
            <w:r>
              <w:rPr>
                <w:rFonts w:hint="default" w:ascii="Times New Roman" w:hAnsi="Times New Roman"/>
                <w:lang w:eastAsia="ru-RU"/>
              </w:rPr>
              <w:t>Дверь входная со стеклом ударопрочным, с фурнитурой и замком механическим</w:t>
            </w: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530BAF92">
            <w:pPr>
              <w:pStyle w:val="21"/>
              <w:jc w:val="center"/>
              <w:rPr>
                <w:rFonts w:hint="default" w:ascii="Times New Roman" w:hAnsi="Times New Roman" w:cs="Times New Roman"/>
                <w:lang w:val="ru-RU"/>
              </w:rPr>
            </w:pPr>
            <w:r>
              <w:rPr>
                <w:rFonts w:hint="default" w:cs="Times New Roman"/>
                <w:lang w:val="ru-RU"/>
              </w:rPr>
              <w:t>1</w:t>
            </w: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67D23B5">
            <w:pPr>
              <w:rPr>
                <w:rFonts w:ascii="Times New Roman" w:hAnsi="Times New Roman" w:cs="Times New Roman"/>
              </w:rPr>
            </w:pPr>
            <w:r>
              <w:rPr>
                <w:rFonts w:ascii="Times New Roman" w:hAnsi="Times New Roman" w:cs="Times New Roman"/>
              </w:rPr>
              <w:t>Шт.</w:t>
            </w: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B857D71">
            <w:pPr>
              <w:widowControl/>
              <w:jc w:val="center"/>
              <w:textAlignment w:val="center"/>
              <w:rPr>
                <w:rFonts w:ascii="Times New Roman" w:hAnsi="Times New Roman" w:cs="Times New Roman"/>
              </w:rPr>
            </w:pP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761A0B67">
            <w:pPr>
              <w:rPr>
                <w:rFonts w:ascii="Times New Roman" w:hAnsi="Times New Roman" w:cs="Times New Roman"/>
              </w:rPr>
            </w:pP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E3859D2">
            <w:pPr>
              <w:widowControl/>
              <w:jc w:val="center"/>
              <w:textAlignment w:val="center"/>
              <w:rPr>
                <w:rFonts w:ascii="Times New Roman" w:hAnsi="Times New Roman" w:cs="Times New Roman"/>
              </w:rPr>
            </w:pPr>
            <w:r>
              <w:rPr>
                <w:rFonts w:hint="default" w:ascii="Times New Roman" w:hAnsi="Times New Roman" w:cs="Times New Roman"/>
                <w:lang w:val="en-US" w:eastAsia="ar-SA"/>
              </w:rPr>
              <w:t xml:space="preserve"> 000</w:t>
            </w:r>
            <w:r>
              <w:rPr>
                <w:rFonts w:hint="default" w:ascii="Times New Roman" w:hAnsi="Times New Roman" w:cs="Times New Roman"/>
                <w:lang w:val="ru-RU"/>
              </w:rPr>
              <w:t>,00</w:t>
            </w: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FF2BE5F">
            <w:pPr>
              <w:rPr>
                <w:rFonts w:ascii="Times New Roman" w:hAnsi="Times New Roman" w:cs="Times New Roman"/>
              </w:rPr>
            </w:pPr>
          </w:p>
        </w:tc>
      </w:tr>
      <w:tr w14:paraId="2EB412AA">
        <w:tblPrEx>
          <w:tblCellMar>
            <w:top w:w="28" w:type="dxa"/>
            <w:left w:w="28" w:type="dxa"/>
            <w:bottom w:w="28" w:type="dxa"/>
            <w:right w:w="28" w:type="dxa"/>
          </w:tblCellMar>
        </w:tblPrEx>
        <w:trPr>
          <w:trHeight w:val="1082" w:hRule="atLeast"/>
        </w:trPr>
        <w:tc>
          <w:tcPr>
            <w:tcW w:w="56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3B2DD2F2">
            <w:pPr>
              <w:rPr>
                <w:rFonts w:hint="default" w:ascii="Times New Roman" w:hAnsi="Times New Roman" w:cs="Times New Roman"/>
                <w:lang w:val="ru-RU"/>
              </w:rPr>
            </w:pPr>
            <w:r>
              <w:rPr>
                <w:rFonts w:hint="default" w:cs="Times New Roman"/>
                <w:lang w:val="ru-RU"/>
              </w:rPr>
              <w:t>2</w:t>
            </w:r>
          </w:p>
        </w:tc>
        <w:tc>
          <w:tcPr>
            <w:tcW w:w="3718" w:type="dxa"/>
            <w:tcBorders>
              <w:top w:val="single" w:color="212121" w:sz="2" w:space="0"/>
              <w:left w:val="single" w:color="212121" w:sz="2" w:space="0"/>
              <w:bottom w:val="single" w:color="212121" w:sz="2" w:space="0"/>
              <w:right w:val="single" w:color="212121" w:sz="2" w:space="0"/>
            </w:tcBorders>
            <w:vAlign w:val="bottom"/>
          </w:tcPr>
          <w:p w14:paraId="258DF9C4">
            <w:pPr>
              <w:widowControl/>
              <w:jc w:val="center"/>
              <w:textAlignment w:val="bottom"/>
              <w:rPr>
                <w:rFonts w:hint="default" w:ascii="Times New Roman" w:hAnsi="Times New Roman"/>
              </w:rPr>
            </w:pPr>
            <w:r>
              <w:rPr>
                <w:rFonts w:hint="default" w:ascii="Times New Roman" w:hAnsi="Times New Roman"/>
              </w:rPr>
              <w:t>Дверь входная со стеклом ударопрочным, с фурнитурой и ЭМЗ</w:t>
            </w:r>
          </w:p>
        </w:tc>
        <w:tc>
          <w:tcPr>
            <w:tcW w:w="807"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3FE9D4E9">
            <w:pPr>
              <w:pStyle w:val="21"/>
              <w:jc w:val="center"/>
              <w:rPr>
                <w:rFonts w:hint="default" w:cs="Times New Roman"/>
                <w:lang w:val="ru-RU"/>
              </w:rPr>
            </w:pPr>
            <w:r>
              <w:rPr>
                <w:rFonts w:hint="default" w:cs="Times New Roman"/>
                <w:lang w:val="ru-RU"/>
              </w:rPr>
              <w:t>1</w:t>
            </w:r>
          </w:p>
        </w:tc>
        <w:tc>
          <w:tcPr>
            <w:tcW w:w="5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454AF012">
            <w:pPr>
              <w:rPr>
                <w:rFonts w:hint="default" w:ascii="Times New Roman" w:hAnsi="Times New Roman" w:cs="Times New Roman"/>
                <w:lang w:val="ru-RU"/>
              </w:rPr>
            </w:pPr>
            <w:r>
              <w:rPr>
                <w:rFonts w:cs="Times New Roman"/>
                <w:lang w:val="ru-RU"/>
              </w:rPr>
              <w:t>шт</w:t>
            </w:r>
          </w:p>
        </w:tc>
        <w:tc>
          <w:tcPr>
            <w:tcW w:w="1220"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66C3443A">
            <w:pPr>
              <w:widowControl/>
              <w:jc w:val="center"/>
              <w:textAlignment w:val="center"/>
              <w:rPr>
                <w:rFonts w:ascii="Times New Roman" w:hAnsi="Times New Roman" w:cs="Times New Roman"/>
              </w:rPr>
            </w:pPr>
          </w:p>
        </w:tc>
        <w:tc>
          <w:tcPr>
            <w:tcW w:w="145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7352B2E6">
            <w:pPr>
              <w:rPr>
                <w:rFonts w:ascii="Times New Roman" w:hAnsi="Times New Roman" w:cs="Times New Roman"/>
              </w:rPr>
            </w:pPr>
          </w:p>
        </w:tc>
        <w:tc>
          <w:tcPr>
            <w:tcW w:w="141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7E51931">
            <w:pPr>
              <w:widowControl/>
              <w:jc w:val="center"/>
              <w:textAlignment w:val="center"/>
              <w:rPr>
                <w:rFonts w:hint="default" w:ascii="Times New Roman" w:hAnsi="Times New Roman" w:cs="Times New Roman"/>
                <w:lang w:val="en-US" w:eastAsia="ar-SA"/>
              </w:rPr>
            </w:pPr>
          </w:p>
        </w:tc>
        <w:tc>
          <w:tcPr>
            <w:tcW w:w="587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A0A43AE">
            <w:pPr>
              <w:rPr>
                <w:rFonts w:ascii="Times New Roman" w:hAnsi="Times New Roman" w:cs="Times New Roman"/>
              </w:rPr>
            </w:pPr>
          </w:p>
        </w:tc>
      </w:tr>
    </w:tbl>
    <w:p w14:paraId="47E2BAE6">
      <w:pPr>
        <w:jc w:val="center"/>
        <w:rPr>
          <w:rFonts w:eastAsia="Calibri"/>
          <w:b/>
          <w:sz w:val="22"/>
          <w:szCs w:val="22"/>
        </w:rPr>
      </w:pPr>
    </w:p>
    <w:p w14:paraId="576A2742">
      <w:pPr>
        <w:jc w:val="both"/>
        <w:rPr>
          <w:rFonts w:eastAsia="Calibri"/>
          <w:b/>
          <w:sz w:val="22"/>
          <w:szCs w:val="22"/>
        </w:rPr>
      </w:pPr>
    </w:p>
    <w:p w14:paraId="0F96D264">
      <w:pPr>
        <w:widowControl/>
        <w:jc w:val="center"/>
        <w:textAlignment w:val="center"/>
        <w:rPr>
          <w:rFonts w:hint="default" w:ascii="Times New Roman" w:hAnsi="Times New Roman" w:cs="Times New Roman"/>
          <w:lang w:val="ru-RU" w:eastAsia="ar-SA"/>
        </w:rPr>
      </w:pPr>
      <w:r>
        <w:rPr>
          <w:rFonts w:hint="default" w:ascii="Times New Roman" w:hAnsi="Times New Roman" w:cs="Times New Roman"/>
          <w:lang w:val="ru-RU" w:eastAsia="ar-SA"/>
        </w:rPr>
        <w:t xml:space="preserve">Итого: </w:t>
      </w:r>
      <w:r>
        <w:rPr>
          <w:rFonts w:hint="default" w:ascii="Times New Roman" w:hAnsi="Times New Roman" w:cs="Times New Roman"/>
          <w:lang w:val="en-US" w:eastAsia="ar-SA"/>
        </w:rPr>
        <w:t xml:space="preserve"> 000</w:t>
      </w:r>
      <w:r>
        <w:rPr>
          <w:rFonts w:hint="default" w:ascii="Times New Roman" w:hAnsi="Times New Roman" w:cs="Times New Roman"/>
          <w:lang w:val="ru-RU" w:eastAsia="ar-SA"/>
        </w:rPr>
        <w:t>,00</w:t>
      </w:r>
    </w:p>
    <w:p w14:paraId="7C1355D8">
      <w:pPr>
        <w:jc w:val="center"/>
        <w:rPr>
          <w:rFonts w:hint="default" w:eastAsia="Calibri"/>
          <w:sz w:val="22"/>
          <w:szCs w:val="22"/>
          <w:lang w:val="ru-RU"/>
        </w:rPr>
      </w:pPr>
      <w:bookmarkStart w:id="0" w:name="_GoBack"/>
      <w:bookmarkEnd w:id="0"/>
    </w:p>
    <w:tbl>
      <w:tblPr>
        <w:tblStyle w:val="9"/>
        <w:tblW w:w="14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8"/>
        <w:gridCol w:w="5387"/>
      </w:tblGrid>
      <w:tr w14:paraId="7214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13F08CD2">
            <w:pPr>
              <w:widowControl w:val="0"/>
              <w:jc w:val="both"/>
              <w:rPr>
                <w:b/>
              </w:rPr>
            </w:pPr>
            <w:r>
              <w:rPr>
                <w:b/>
                <w:sz w:val="20"/>
              </w:rPr>
              <w:t>Заказчик:</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FCA6376">
            <w:pPr>
              <w:widowControl w:val="0"/>
              <w:jc w:val="both"/>
              <w:rPr>
                <w:b/>
              </w:rPr>
            </w:pPr>
            <w:r>
              <w:rPr>
                <w:b/>
                <w:sz w:val="20"/>
              </w:rPr>
              <w:t>Поставщик:</w:t>
            </w:r>
          </w:p>
        </w:tc>
      </w:tr>
      <w:tr w14:paraId="3B80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45392A37">
            <w:pPr>
              <w:widowControl w:val="0"/>
              <w:snapToGrid w:val="0"/>
              <w:rPr>
                <w:rFonts w:eastAsia="Calibri"/>
                <w:sz w:val="22"/>
              </w:rPr>
            </w:pPr>
            <w:r>
              <w:rPr>
                <w:sz w:val="22"/>
                <w:szCs w:val="22"/>
              </w:rPr>
              <w:t>ГБОУ гимназия № 92</w:t>
            </w:r>
            <w:r>
              <w:rPr>
                <w:rFonts w:eastAsia="Calibri"/>
                <w:sz w:val="22"/>
                <w:szCs w:val="22"/>
              </w:rPr>
              <w:t xml:space="preserve"> Выборгского района Санкт-Петербурга</w:t>
            </w:r>
          </w:p>
          <w:p w14:paraId="7B550DFE">
            <w:pPr>
              <w:widowControl w:val="0"/>
              <w:snapToGrid w:val="0"/>
              <w:rPr>
                <w:rFonts w:eastAsia="Calibri"/>
                <w:sz w:val="22"/>
              </w:rPr>
            </w:pPr>
          </w:p>
          <w:p w14:paraId="08449121">
            <w:pPr>
              <w:widowControl w:val="0"/>
              <w:snapToGrid w:val="0"/>
              <w:rPr>
                <w:rFonts w:eastAsia="Calibri"/>
              </w:rPr>
            </w:pPr>
            <w:r>
              <w:rPr>
                <w:rFonts w:eastAsia="Calibri"/>
                <w:sz w:val="22"/>
                <w:szCs w:val="22"/>
              </w:rPr>
              <w:t xml:space="preserve">Директор </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AA52635">
            <w:pPr>
              <w:widowControl w:val="0"/>
            </w:pPr>
          </w:p>
          <w:p w14:paraId="53C3672F">
            <w:pPr>
              <w:widowControl w:val="0"/>
              <w:rPr>
                <w:sz w:val="20"/>
              </w:rPr>
            </w:pPr>
          </w:p>
          <w:p w14:paraId="600656C1">
            <w:pPr>
              <w:widowControl w:val="0"/>
              <w:rPr>
                <w:sz w:val="20"/>
              </w:rPr>
            </w:pPr>
          </w:p>
          <w:p w14:paraId="7EA744AE">
            <w:pPr>
              <w:widowControl w:val="0"/>
              <w:rPr>
                <w:sz w:val="20"/>
              </w:rPr>
            </w:pPr>
            <w:r>
              <w:rPr>
                <w:sz w:val="20"/>
              </w:rPr>
              <w:t>Генеральный директор:</w:t>
            </w:r>
          </w:p>
          <w:p w14:paraId="085701A6">
            <w:pPr>
              <w:widowControl w:val="0"/>
              <w:rPr>
                <w:sz w:val="20"/>
              </w:rPr>
            </w:pPr>
          </w:p>
          <w:p w14:paraId="3805F524">
            <w:pPr>
              <w:widowControl w:val="0"/>
              <w:rPr>
                <w:sz w:val="20"/>
              </w:rPr>
            </w:pPr>
          </w:p>
          <w:p w14:paraId="4F11103A">
            <w:pPr>
              <w:widowControl w:val="0"/>
              <w:snapToGrid w:val="0"/>
              <w:rPr>
                <w:rFonts w:hint="default" w:eastAsia="Calibri"/>
                <w:sz w:val="22"/>
                <w:szCs w:val="22"/>
                <w:lang w:val="ru-RU"/>
              </w:rPr>
            </w:pPr>
            <w:r>
              <w:rPr>
                <w:sz w:val="20"/>
              </w:rPr>
              <w:t xml:space="preserve">______________________ </w:t>
            </w:r>
          </w:p>
          <w:p w14:paraId="1B626FA3">
            <w:pPr>
              <w:widowControl w:val="0"/>
              <w:rPr>
                <w:sz w:val="20"/>
              </w:rPr>
            </w:pPr>
          </w:p>
        </w:tc>
      </w:tr>
      <w:tr w14:paraId="1B90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02BD0397">
            <w:pPr>
              <w:widowControl w:val="0"/>
              <w:contextualSpacing/>
              <w:rPr>
                <w:sz w:val="20"/>
              </w:rPr>
            </w:pP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5D5880FF">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D0465EC">
            <w:pPr>
              <w:widowControl w:val="0"/>
              <w:rPr>
                <w:sz w:val="20"/>
              </w:rPr>
            </w:pPr>
          </w:p>
        </w:tc>
      </w:tr>
      <w:tr w14:paraId="4EFE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Borders>
              <w:top w:val="single" w:color="FFFFFF" w:sz="4" w:space="0"/>
              <w:left w:val="single" w:color="FFFFFF" w:sz="4" w:space="0"/>
              <w:bottom w:val="single" w:color="FFFFFF" w:sz="4" w:space="0"/>
              <w:right w:val="single" w:color="FFFFFF" w:sz="4" w:space="0"/>
            </w:tcBorders>
            <w:shd w:val="clear" w:color="auto" w:fill="auto"/>
          </w:tcPr>
          <w:p w14:paraId="55F352A9">
            <w:pPr>
              <w:widowControl w:val="0"/>
              <w:snapToGrid w:val="0"/>
              <w:rPr>
                <w:rFonts w:eastAsia="Calibri"/>
                <w:sz w:val="22"/>
              </w:rPr>
            </w:pPr>
            <w:r>
              <w:rPr>
                <w:sz w:val="22"/>
                <w:szCs w:val="22"/>
              </w:rPr>
              <w:t>__________________________________</w:t>
            </w:r>
            <w:r>
              <w:rPr>
                <w:rFonts w:eastAsia="Calibri"/>
                <w:sz w:val="22"/>
                <w:szCs w:val="22"/>
              </w:rPr>
              <w:t xml:space="preserve"> Сочилин С.Б</w:t>
            </w:r>
          </w:p>
        </w:tc>
        <w:tc>
          <w:tcPr>
            <w:tcW w:w="5387" w:type="dxa"/>
            <w:tcBorders>
              <w:top w:val="single" w:color="FFFFFF" w:sz="4" w:space="0"/>
              <w:left w:val="single" w:color="FFFFFF" w:sz="4" w:space="0"/>
              <w:bottom w:val="single" w:color="FFFFFF" w:sz="4" w:space="0"/>
              <w:right w:val="single" w:color="FFFFFF" w:sz="4" w:space="0"/>
            </w:tcBorders>
            <w:shd w:val="clear" w:color="auto" w:fill="auto"/>
          </w:tcPr>
          <w:p w14:paraId="7A9EA3B1">
            <w:pPr>
              <w:widowControl w:val="0"/>
              <w:rPr>
                <w:sz w:val="20"/>
              </w:rPr>
            </w:pPr>
          </w:p>
        </w:tc>
      </w:tr>
    </w:tbl>
    <w:p w14:paraId="0B13591C">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662B6449">
      <w:pPr>
        <w:sectPr>
          <w:pgSz w:w="16838" w:h="11906" w:orient="landscape"/>
          <w:pgMar w:top="567" w:right="1134" w:bottom="851" w:left="1134" w:header="0" w:footer="0" w:gutter="0"/>
          <w:cols w:space="720" w:num="1"/>
          <w:formProt w:val="0"/>
          <w:docGrid w:linePitch="360" w:charSpace="0"/>
        </w:sectPr>
      </w:pPr>
    </w:p>
    <w:p w14:paraId="64B0F3E6">
      <w:pPr>
        <w:jc w:val="right"/>
        <w:rPr>
          <w:rFonts w:hint="default"/>
          <w:lang w:val="ru-RU"/>
        </w:rPr>
      </w:pPr>
      <w:r>
        <w:t>Приложение № 2 к Контракту №</w:t>
      </w:r>
      <w:r>
        <w:rPr>
          <w:rFonts w:hint="default"/>
          <w:lang w:val="en-US"/>
        </w:rPr>
        <w:t xml:space="preserve"> </w:t>
      </w:r>
      <w:r>
        <w:rPr>
          <w:rFonts w:hint="default"/>
          <w:lang w:val="ru-RU"/>
        </w:rPr>
        <w:t>____</w:t>
      </w:r>
    </w:p>
    <w:p w14:paraId="3C4CE44D">
      <w:pPr>
        <w:jc w:val="both"/>
        <w:rPr>
          <w:color w:val="000000"/>
          <w:sz w:val="22"/>
          <w:szCs w:val="22"/>
          <w:lang w:eastAsia="ar-SA" w:bidi="ru-RU"/>
        </w:rPr>
      </w:pPr>
      <w:r>
        <w:t xml:space="preserve"> </w:t>
      </w:r>
      <w:r>
        <w:tab/>
      </w:r>
      <w:r>
        <w:tab/>
      </w:r>
      <w:r>
        <w:tab/>
      </w:r>
      <w:r>
        <w:tab/>
      </w:r>
      <w:r>
        <w:tab/>
      </w:r>
      <w:r>
        <w:tab/>
      </w:r>
      <w:r>
        <w:tab/>
      </w:r>
      <w:r>
        <w:rPr>
          <w:rFonts w:hint="default"/>
          <w:lang w:val="ru-RU"/>
        </w:rPr>
        <w:t xml:space="preserve">                                   </w:t>
      </w:r>
      <w:r>
        <w:t>О</w:t>
      </w:r>
      <w:r>
        <w:rPr>
          <w:lang w:val="ru-RU"/>
        </w:rPr>
        <w:t>т</w:t>
      </w:r>
      <w:r>
        <w:rPr>
          <w:rFonts w:hint="default"/>
          <w:lang w:val="ru-RU"/>
        </w:rPr>
        <w:t xml:space="preserve"> </w:t>
      </w:r>
      <w:r>
        <w:rPr>
          <w:color w:val="000000"/>
          <w:sz w:val="22"/>
          <w:szCs w:val="22"/>
          <w:lang w:eastAsia="ar-SA" w:bidi="ru-RU"/>
        </w:rPr>
        <w:t>«</w:t>
      </w:r>
      <w:r>
        <w:rPr>
          <w:rFonts w:hint="default"/>
          <w:color w:val="000000"/>
          <w:sz w:val="22"/>
          <w:szCs w:val="22"/>
          <w:lang w:val="en-US" w:eastAsia="ar-SA" w:bidi="ru-RU"/>
        </w:rPr>
        <w:t xml:space="preserve">__»   </w:t>
      </w:r>
      <w:r>
        <w:rPr>
          <w:color w:val="000000"/>
          <w:sz w:val="22"/>
          <w:szCs w:val="22"/>
          <w:lang w:eastAsia="ar-SA" w:bidi="ru-RU"/>
        </w:rPr>
        <w:t>апреля 202</w:t>
      </w:r>
      <w:r>
        <w:rPr>
          <w:rFonts w:hint="default"/>
          <w:color w:val="000000"/>
          <w:sz w:val="22"/>
          <w:szCs w:val="22"/>
          <w:lang w:val="en-US" w:eastAsia="ar-SA" w:bidi="ru-RU"/>
        </w:rPr>
        <w:t>6</w:t>
      </w:r>
      <w:r>
        <w:rPr>
          <w:color w:val="000000"/>
          <w:sz w:val="22"/>
          <w:szCs w:val="22"/>
          <w:lang w:eastAsia="ar-SA" w:bidi="ru-RU"/>
        </w:rPr>
        <w:t>г.</w:t>
      </w:r>
    </w:p>
    <w:p w14:paraId="7324BAD6">
      <w:pPr>
        <w:pStyle w:val="16"/>
        <w:ind w:left="-426" w:firstLine="142"/>
        <w:jc w:val="right"/>
        <w:rPr>
          <w:rFonts w:ascii="Times New Roman" w:hAnsi="Times New Roman" w:cs="Times New Roman"/>
          <w:sz w:val="24"/>
          <w:szCs w:val="24"/>
        </w:rPr>
      </w:pPr>
    </w:p>
    <w:p w14:paraId="67627D39">
      <w:pPr>
        <w:jc w:val="right"/>
      </w:pPr>
    </w:p>
    <w:p w14:paraId="4A2381CB">
      <w:pPr>
        <w:jc w:val="center"/>
        <w:rPr>
          <w:b/>
        </w:rPr>
      </w:pPr>
      <w:r>
        <w:rPr>
          <w:b/>
        </w:rPr>
        <w:t>Техническое задание</w:t>
      </w:r>
    </w:p>
    <w:p w14:paraId="2B3B6D39">
      <w:pPr>
        <w:tabs>
          <w:tab w:val="left" w:pos="6039"/>
        </w:tabs>
        <w:ind w:firstLine="567"/>
        <w:jc w:val="center"/>
        <w:rPr>
          <w:rFonts w:ascii="Times New Roman" w:hAnsi="Times New Roman" w:cs="Times New Roman"/>
          <w:b/>
          <w:bCs/>
        </w:rPr>
      </w:pPr>
      <w:r>
        <w:t xml:space="preserve"> </w:t>
      </w:r>
      <w:r>
        <w:rPr>
          <w:rFonts w:ascii="Times New Roman" w:hAnsi="Times New Roman" w:cs="Times New Roman"/>
          <w:b/>
          <w:bCs/>
        </w:rPr>
        <w:t xml:space="preserve">Качественные, функциональные, технические, эксплуатационные </w:t>
      </w:r>
    </w:p>
    <w:p w14:paraId="28D4E5C0">
      <w:pPr>
        <w:jc w:val="both"/>
      </w:pPr>
    </w:p>
    <w:tbl>
      <w:tblPr>
        <w:tblStyle w:val="3"/>
        <w:tblpPr w:leftFromText="180" w:rightFromText="180" w:vertAnchor="text" w:horzAnchor="page" w:tblpX="711" w:tblpY="267"/>
        <w:tblOverlap w:val="never"/>
        <w:tblW w:w="10995" w:type="dxa"/>
        <w:tblInd w:w="0" w:type="dxa"/>
        <w:tblLayout w:type="fixed"/>
        <w:tblCellMar>
          <w:top w:w="28" w:type="dxa"/>
          <w:left w:w="28" w:type="dxa"/>
          <w:bottom w:w="28" w:type="dxa"/>
          <w:right w:w="28" w:type="dxa"/>
        </w:tblCellMar>
      </w:tblPr>
      <w:tblGrid>
        <w:gridCol w:w="398"/>
        <w:gridCol w:w="2611"/>
        <w:gridCol w:w="831"/>
        <w:gridCol w:w="575"/>
        <w:gridCol w:w="713"/>
        <w:gridCol w:w="743"/>
        <w:gridCol w:w="995"/>
        <w:gridCol w:w="4129"/>
      </w:tblGrid>
      <w:tr w14:paraId="7ED50CB8">
        <w:tblPrEx>
          <w:tblCellMar>
            <w:top w:w="28" w:type="dxa"/>
            <w:left w:w="28" w:type="dxa"/>
            <w:bottom w:w="28" w:type="dxa"/>
            <w:right w:w="28" w:type="dxa"/>
          </w:tblCellMar>
        </w:tblPrEx>
        <w:trPr>
          <w:trHeight w:val="601" w:hRule="atLeast"/>
        </w:trPr>
        <w:tc>
          <w:tcPr>
            <w:tcW w:w="398"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F43BBBA">
            <w:pPr>
              <w:rPr>
                <w:rFonts w:ascii="Times New Roman" w:hAnsi="Times New Roman" w:cs="Times New Roman"/>
              </w:rPr>
            </w:pPr>
            <w:r>
              <w:rPr>
                <w:rFonts w:ascii="Times New Roman" w:hAnsi="Times New Roman" w:cs="Times New Roman"/>
              </w:rPr>
              <w:t>№</w:t>
            </w:r>
          </w:p>
        </w:tc>
        <w:tc>
          <w:tcPr>
            <w:tcW w:w="2611"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998BBDA">
            <w:pPr>
              <w:rPr>
                <w:rFonts w:ascii="Times New Roman" w:hAnsi="Times New Roman" w:cs="Times New Roman"/>
              </w:rPr>
            </w:pPr>
            <w:r>
              <w:rPr>
                <w:rFonts w:ascii="Times New Roman" w:hAnsi="Times New Roman" w:cs="Times New Roman"/>
              </w:rPr>
              <w:t>Товары (работы, услуги)</w:t>
            </w:r>
          </w:p>
        </w:tc>
        <w:tc>
          <w:tcPr>
            <w:tcW w:w="831"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ABB0949">
            <w:pPr>
              <w:rPr>
                <w:rFonts w:ascii="Times New Roman" w:hAnsi="Times New Roman" w:cs="Times New Roman"/>
              </w:rPr>
            </w:pPr>
            <w:r>
              <w:rPr>
                <w:rFonts w:ascii="Times New Roman" w:hAnsi="Times New Roman" w:cs="Times New Roman"/>
              </w:rPr>
              <w:t>Кол-во</w:t>
            </w:r>
          </w:p>
        </w:tc>
        <w:tc>
          <w:tcPr>
            <w:tcW w:w="57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E17405A">
            <w:pPr>
              <w:rPr>
                <w:rFonts w:ascii="Times New Roman" w:hAnsi="Times New Roman" w:cs="Times New Roman"/>
              </w:rPr>
            </w:pPr>
            <w:r>
              <w:rPr>
                <w:rFonts w:ascii="Times New Roman" w:hAnsi="Times New Roman" w:cs="Times New Roman"/>
              </w:rPr>
              <w:t>Ед. изм.</w:t>
            </w:r>
          </w:p>
        </w:tc>
        <w:tc>
          <w:tcPr>
            <w:tcW w:w="71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D7BF2C1">
            <w:pPr>
              <w:rPr>
                <w:rFonts w:ascii="Times New Roman" w:hAnsi="Times New Roman" w:cs="Times New Roman"/>
              </w:rPr>
            </w:pPr>
            <w:r>
              <w:rPr>
                <w:rFonts w:ascii="Times New Roman" w:hAnsi="Times New Roman" w:cs="Times New Roman"/>
              </w:rPr>
              <w:t>Цена</w:t>
            </w:r>
          </w:p>
        </w:tc>
        <w:tc>
          <w:tcPr>
            <w:tcW w:w="74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5FC3BCDD">
            <w:pPr>
              <w:rPr>
                <w:rFonts w:ascii="Times New Roman" w:hAnsi="Times New Roman" w:cs="Times New Roman"/>
              </w:rPr>
            </w:pPr>
            <w:r>
              <w:rPr>
                <w:rFonts w:ascii="Times New Roman" w:hAnsi="Times New Roman" w:cs="Times New Roman"/>
              </w:rPr>
              <w:t>КТРУ</w:t>
            </w:r>
          </w:p>
        </w:tc>
        <w:tc>
          <w:tcPr>
            <w:tcW w:w="99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0ECD58CB">
            <w:pPr>
              <w:rPr>
                <w:rFonts w:ascii="Times New Roman" w:hAnsi="Times New Roman" w:cs="Times New Roman"/>
              </w:rPr>
            </w:pPr>
            <w:r>
              <w:rPr>
                <w:rFonts w:ascii="Times New Roman" w:hAnsi="Times New Roman" w:cs="Times New Roman"/>
              </w:rPr>
              <w:t>Сумма</w:t>
            </w:r>
          </w:p>
        </w:tc>
        <w:tc>
          <w:tcPr>
            <w:tcW w:w="412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270DD09B">
            <w:pPr>
              <w:rPr>
                <w:rFonts w:ascii="Times New Roman" w:hAnsi="Times New Roman" w:cs="Times New Roman"/>
              </w:rPr>
            </w:pPr>
            <w:r>
              <w:rPr>
                <w:rFonts w:ascii="Times New Roman" w:hAnsi="Times New Roman" w:cs="Times New Roman"/>
              </w:rPr>
              <w:t>Характеристики</w:t>
            </w:r>
          </w:p>
        </w:tc>
      </w:tr>
      <w:tr w14:paraId="6F6E302F">
        <w:tblPrEx>
          <w:tblCellMar>
            <w:top w:w="28" w:type="dxa"/>
            <w:left w:w="28" w:type="dxa"/>
            <w:bottom w:w="28" w:type="dxa"/>
            <w:right w:w="28" w:type="dxa"/>
          </w:tblCellMar>
        </w:tblPrEx>
        <w:trPr>
          <w:trHeight w:val="1503" w:hRule="atLeast"/>
        </w:trPr>
        <w:tc>
          <w:tcPr>
            <w:tcW w:w="3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616CF6B4">
            <w:pPr>
              <w:rPr>
                <w:rFonts w:ascii="Times New Roman" w:hAnsi="Times New Roman" w:cs="Times New Roman"/>
              </w:rPr>
            </w:pPr>
            <w:r>
              <w:rPr>
                <w:rFonts w:ascii="Times New Roman" w:hAnsi="Times New Roman" w:cs="Times New Roman"/>
              </w:rPr>
              <w:t>1</w:t>
            </w:r>
          </w:p>
        </w:tc>
        <w:tc>
          <w:tcPr>
            <w:tcW w:w="2611" w:type="dxa"/>
            <w:tcBorders>
              <w:top w:val="single" w:color="212121" w:sz="2" w:space="0"/>
              <w:left w:val="single" w:color="212121" w:sz="2" w:space="0"/>
              <w:bottom w:val="single" w:color="212121" w:sz="2" w:space="0"/>
              <w:right w:val="single" w:color="212121" w:sz="2" w:space="0"/>
            </w:tcBorders>
            <w:vAlign w:val="bottom"/>
          </w:tcPr>
          <w:p w14:paraId="7AEC42DE">
            <w:pPr>
              <w:widowControl/>
              <w:jc w:val="center"/>
              <w:textAlignment w:val="bottom"/>
              <w:rPr>
                <w:rFonts w:ascii="Times New Roman" w:hAnsi="Times New Roman" w:cs="Times New Roman"/>
              </w:rPr>
            </w:pPr>
            <w:r>
              <w:rPr>
                <w:rFonts w:hint="default" w:ascii="Times New Roman" w:hAnsi="Times New Roman"/>
              </w:rPr>
              <w:t>Дверь входная со стеклом ударопрочным, с фурнитурой и замком механическим</w:t>
            </w:r>
          </w:p>
        </w:tc>
        <w:tc>
          <w:tcPr>
            <w:tcW w:w="831"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0801DDE4">
            <w:pPr>
              <w:pStyle w:val="21"/>
              <w:jc w:val="right"/>
              <w:rPr>
                <w:rFonts w:hint="default" w:ascii="Times New Roman" w:hAnsi="Times New Roman" w:cs="Times New Roman"/>
                <w:lang w:val="ru-RU"/>
              </w:rPr>
            </w:pPr>
            <w:r>
              <w:rPr>
                <w:rFonts w:hint="default" w:cs="Times New Roman"/>
                <w:lang w:val="ru-RU"/>
              </w:rPr>
              <w:t>1</w:t>
            </w:r>
          </w:p>
        </w:tc>
        <w:tc>
          <w:tcPr>
            <w:tcW w:w="575"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660D9616">
            <w:pPr>
              <w:rPr>
                <w:rFonts w:ascii="Times New Roman" w:hAnsi="Times New Roman" w:cs="Times New Roman"/>
              </w:rPr>
            </w:pPr>
            <w:r>
              <w:rPr>
                <w:rFonts w:ascii="Times New Roman" w:hAnsi="Times New Roman" w:cs="Times New Roman"/>
              </w:rPr>
              <w:t>Шт.</w:t>
            </w:r>
          </w:p>
        </w:tc>
        <w:tc>
          <w:tcPr>
            <w:tcW w:w="71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110C3AF8">
            <w:pPr>
              <w:widowControl/>
              <w:jc w:val="center"/>
              <w:textAlignment w:val="center"/>
              <w:rPr>
                <w:rFonts w:ascii="Times New Roman" w:hAnsi="Times New Roman" w:cs="Times New Roman"/>
              </w:rPr>
            </w:pPr>
          </w:p>
        </w:tc>
        <w:tc>
          <w:tcPr>
            <w:tcW w:w="74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2BD80FF1">
            <w:pPr>
              <w:rPr>
                <w:rFonts w:ascii="Times New Roman" w:hAnsi="Times New Roman" w:cs="Times New Roman"/>
              </w:rPr>
            </w:pPr>
          </w:p>
        </w:tc>
        <w:tc>
          <w:tcPr>
            <w:tcW w:w="99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4D04428">
            <w:pPr>
              <w:widowControl/>
              <w:jc w:val="both"/>
              <w:textAlignment w:val="center"/>
              <w:rPr>
                <w:rFonts w:hint="default" w:ascii="Times New Roman" w:hAnsi="Times New Roman" w:cs="Times New Roman"/>
                <w:lang w:val="en-US"/>
              </w:rPr>
            </w:pPr>
            <w:r>
              <w:rPr>
                <w:rFonts w:hint="default"/>
                <w:color w:val="000000"/>
                <w:sz w:val="22"/>
                <w:szCs w:val="22"/>
                <w:lang w:val="en-US" w:eastAsia="ar-SA" w:bidi="ru-RU"/>
              </w:rPr>
              <w:t xml:space="preserve"> 000,00</w:t>
            </w:r>
          </w:p>
        </w:tc>
        <w:tc>
          <w:tcPr>
            <w:tcW w:w="412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7CB58B0E">
            <w:pPr>
              <w:rPr>
                <w:rFonts w:ascii="Times New Roman" w:hAnsi="Times New Roman" w:cs="Times New Roman"/>
              </w:rPr>
            </w:pPr>
          </w:p>
        </w:tc>
      </w:tr>
      <w:tr w14:paraId="5C87679D">
        <w:tblPrEx>
          <w:tblCellMar>
            <w:top w:w="28" w:type="dxa"/>
            <w:left w:w="28" w:type="dxa"/>
            <w:bottom w:w="28" w:type="dxa"/>
            <w:right w:w="28" w:type="dxa"/>
          </w:tblCellMar>
        </w:tblPrEx>
        <w:trPr>
          <w:trHeight w:val="1670" w:hRule="atLeast"/>
        </w:trPr>
        <w:tc>
          <w:tcPr>
            <w:tcW w:w="398"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316EE821">
            <w:pPr>
              <w:rPr>
                <w:rFonts w:hint="default" w:ascii="Times New Roman" w:hAnsi="Times New Roman" w:cs="Times New Roman"/>
                <w:lang w:val="ru-RU"/>
              </w:rPr>
            </w:pPr>
            <w:r>
              <w:rPr>
                <w:rFonts w:hint="default" w:cs="Times New Roman"/>
                <w:lang w:val="ru-RU"/>
              </w:rPr>
              <w:t>2</w:t>
            </w:r>
          </w:p>
        </w:tc>
        <w:tc>
          <w:tcPr>
            <w:tcW w:w="2611" w:type="dxa"/>
            <w:tcBorders>
              <w:top w:val="single" w:color="212121" w:sz="2" w:space="0"/>
              <w:left w:val="single" w:color="212121" w:sz="2" w:space="0"/>
              <w:bottom w:val="single" w:color="212121" w:sz="2" w:space="0"/>
              <w:right w:val="single" w:color="212121" w:sz="2" w:space="0"/>
            </w:tcBorders>
            <w:vAlign w:val="bottom"/>
          </w:tcPr>
          <w:p w14:paraId="2EC0E9BF">
            <w:pPr>
              <w:widowControl/>
              <w:jc w:val="center"/>
              <w:textAlignment w:val="bottom"/>
              <w:rPr>
                <w:rFonts w:hint="default" w:ascii="Times New Roman" w:hAnsi="Times New Roman"/>
              </w:rPr>
            </w:pPr>
            <w:r>
              <w:rPr>
                <w:rFonts w:hint="default" w:ascii="Times New Roman" w:hAnsi="Times New Roman"/>
              </w:rPr>
              <w:t>Дверь входная со стеклом ударопрочным, с фурнитурой и ЭМЗ</w:t>
            </w:r>
          </w:p>
        </w:tc>
        <w:tc>
          <w:tcPr>
            <w:tcW w:w="831"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0C44EF32">
            <w:pPr>
              <w:pStyle w:val="21"/>
              <w:jc w:val="right"/>
              <w:rPr>
                <w:rFonts w:hint="default" w:cs="Times New Roman"/>
                <w:lang w:val="ru-RU"/>
              </w:rPr>
            </w:pPr>
            <w:r>
              <w:rPr>
                <w:rFonts w:hint="default" w:cs="Times New Roman"/>
                <w:lang w:val="ru-RU"/>
              </w:rPr>
              <w:t>1</w:t>
            </w:r>
          </w:p>
        </w:tc>
        <w:tc>
          <w:tcPr>
            <w:tcW w:w="575"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2838364C">
            <w:pPr>
              <w:rPr>
                <w:rFonts w:hint="default" w:ascii="Times New Roman" w:hAnsi="Times New Roman" w:cs="Times New Roman"/>
                <w:lang w:val="ru-RU"/>
              </w:rPr>
            </w:pPr>
            <w:r>
              <w:rPr>
                <w:rFonts w:hint="default" w:cs="Times New Roman"/>
                <w:lang w:val="ru-RU"/>
              </w:rPr>
              <w:t>Шт.</w:t>
            </w:r>
          </w:p>
        </w:tc>
        <w:tc>
          <w:tcPr>
            <w:tcW w:w="713"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E6F0484">
            <w:pPr>
              <w:widowControl/>
              <w:jc w:val="center"/>
              <w:textAlignment w:val="center"/>
              <w:rPr>
                <w:rFonts w:ascii="Times New Roman" w:hAnsi="Times New Roman" w:cs="Times New Roman"/>
              </w:rPr>
            </w:pPr>
          </w:p>
        </w:tc>
        <w:tc>
          <w:tcPr>
            <w:tcW w:w="743" w:type="dxa"/>
            <w:tcBorders>
              <w:top w:val="single" w:color="212121" w:sz="2" w:space="0"/>
              <w:left w:val="single" w:color="212121" w:sz="2" w:space="0"/>
              <w:bottom w:val="single" w:color="212121" w:sz="2" w:space="0"/>
              <w:right w:val="single" w:color="212121" w:sz="2" w:space="0"/>
            </w:tcBorders>
            <w:shd w:val="clear" w:color="auto" w:fill="FFFFFF"/>
            <w:vAlign w:val="bottom"/>
          </w:tcPr>
          <w:p w14:paraId="1FE12BED">
            <w:pPr>
              <w:rPr>
                <w:rFonts w:ascii="Times New Roman" w:hAnsi="Times New Roman" w:cs="Times New Roman"/>
              </w:rPr>
            </w:pPr>
          </w:p>
        </w:tc>
        <w:tc>
          <w:tcPr>
            <w:tcW w:w="995"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4AADC5A5">
            <w:pPr>
              <w:widowControl/>
              <w:jc w:val="both"/>
              <w:textAlignment w:val="center"/>
              <w:rPr>
                <w:rFonts w:hint="default"/>
                <w:color w:val="000000"/>
                <w:sz w:val="22"/>
                <w:szCs w:val="22"/>
                <w:lang w:val="en-US" w:eastAsia="ar-SA" w:bidi="ru-RU"/>
              </w:rPr>
            </w:pPr>
            <w:r>
              <w:rPr>
                <w:rFonts w:hint="default"/>
                <w:color w:val="000000"/>
                <w:sz w:val="22"/>
                <w:szCs w:val="22"/>
                <w:lang w:val="en-US" w:eastAsia="ar-SA" w:bidi="ru-RU"/>
              </w:rPr>
              <w:t>000,00</w:t>
            </w:r>
          </w:p>
        </w:tc>
        <w:tc>
          <w:tcPr>
            <w:tcW w:w="4129" w:type="dxa"/>
            <w:tcBorders>
              <w:top w:val="single" w:color="212121" w:sz="2" w:space="0"/>
              <w:left w:val="single" w:color="212121" w:sz="2" w:space="0"/>
              <w:bottom w:val="single" w:color="212121" w:sz="2" w:space="0"/>
              <w:right w:val="single" w:color="212121" w:sz="2" w:space="0"/>
            </w:tcBorders>
            <w:shd w:val="clear" w:color="auto" w:fill="FFFFFF"/>
            <w:vAlign w:val="center"/>
          </w:tcPr>
          <w:p w14:paraId="3B578674">
            <w:pPr>
              <w:rPr>
                <w:rFonts w:ascii="Times New Roman" w:hAnsi="Times New Roman" w:cs="Times New Roman"/>
              </w:rPr>
            </w:pPr>
          </w:p>
        </w:tc>
      </w:tr>
    </w:tbl>
    <w:p w14:paraId="150E5D0C">
      <w:pPr>
        <w:jc w:val="both"/>
      </w:pPr>
    </w:p>
    <w:p w14:paraId="43953783">
      <w:pPr>
        <w:jc w:val="both"/>
      </w:pPr>
    </w:p>
    <w:p w14:paraId="241F7DA7">
      <w:pPr>
        <w:jc w:val="both"/>
      </w:pPr>
    </w:p>
    <w:p w14:paraId="7DF83593">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 Не допускается поставка товара с просроченным сроком годности.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 Налоги и сборы, взимаемые с Поставщика в связи с исполнением настоящего контракта включены в цену контракта и оплачиваются поставщиком. Мебель должна соответствовать: Постановлению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 Постановления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14:paraId="7F15AEA2">
      <w:pPr>
        <w:rPr>
          <w:sz w:val="22"/>
          <w:szCs w:val="22"/>
        </w:rPr>
      </w:pPr>
      <w:r>
        <w:rPr>
          <w:sz w:val="22"/>
          <w:szCs w:val="22"/>
        </w:rPr>
        <w:t xml:space="preserve">2. Адрес поставки:  </w:t>
      </w:r>
      <w:r>
        <w:rPr>
          <w:color w:val="000000"/>
          <w:sz w:val="22"/>
          <w:szCs w:val="22"/>
          <w:lang w:eastAsia="ar-SA" w:bidi="ru-RU"/>
        </w:rPr>
        <w:t xml:space="preserve">Санкт-Петербург пр. </w:t>
      </w:r>
      <w:r>
        <w:rPr>
          <w:sz w:val="22"/>
          <w:szCs w:val="22"/>
          <w:lang w:eastAsia="ar-SA"/>
        </w:rPr>
        <w:t>Тореза, д.94, к.1, лит. А</w:t>
      </w:r>
    </w:p>
    <w:p w14:paraId="32AA8ADB">
      <w:pPr>
        <w:rPr>
          <w:sz w:val="22"/>
          <w:szCs w:val="22"/>
        </w:rPr>
      </w:pPr>
      <w:r>
        <w:rPr>
          <w:sz w:val="22"/>
          <w:szCs w:val="22"/>
        </w:rPr>
        <w:t xml:space="preserve">3. Сопроводительные документы:   - товарные накладные; - счет; - счета-фактуры (для плательщиков НДС); - копии сертификатов соответствия, гигиенические сертификаты и прочие относящиеся к товару документы.   -  акт приемки-передачи товара. </w:t>
      </w:r>
    </w:p>
    <w:p w14:paraId="54597807">
      <w:pPr>
        <w:rPr>
          <w:sz w:val="22"/>
          <w:szCs w:val="22"/>
        </w:rPr>
      </w:pPr>
      <w:r>
        <w:rPr>
          <w:sz w:val="22"/>
          <w:szCs w:val="22"/>
        </w:rPr>
        <w:t xml:space="preserve">4. Срок поставки: в течение в течение </w:t>
      </w:r>
      <w:r>
        <w:rPr>
          <w:rFonts w:hint="default"/>
          <w:sz w:val="22"/>
          <w:szCs w:val="22"/>
          <w:highlight w:val="none"/>
          <w:lang w:val="ru-RU"/>
        </w:rPr>
        <w:t>20</w:t>
      </w:r>
      <w:r>
        <w:rPr>
          <w:rFonts w:hint="default"/>
          <w:sz w:val="22"/>
          <w:szCs w:val="22"/>
          <w:lang w:val="ru-RU"/>
        </w:rPr>
        <w:t xml:space="preserve"> календарных </w:t>
      </w:r>
      <w:r>
        <w:rPr>
          <w:sz w:val="22"/>
          <w:szCs w:val="22"/>
        </w:rPr>
        <w:t xml:space="preserve"> дней с момента подписания контракта сторонами, с учетом времени отведенного на прием товара Заказчиком.</w:t>
      </w:r>
    </w:p>
    <w:p w14:paraId="593E1DA9">
      <w:pPr>
        <w:rPr>
          <w:sz w:val="22"/>
          <w:szCs w:val="22"/>
        </w:rPr>
      </w:pPr>
      <w:r>
        <w:rPr>
          <w:sz w:val="22"/>
          <w:szCs w:val="22"/>
        </w:rPr>
        <w:t>5. Порядок приемки: -Доставка, погрузо-разгрузочные работы Товара производится силами и средствами Поставщика.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 -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 - проверку полноты и правильности оформления комплекта сопроводительных документов в соответствии с условиями Контракта; - контроль наличия/отсутствия внешних повреждений оригинальной упаковки Товара (при необходимости); - проверку наличия необходимых документов (копий документов) на Товар.  -По окончании поставки товара Поставщик передаёт Заказчику акт приёма-передачи товара, товарные накладные, счета-фактуры (для плательщиков НДС).  Заказчик, приступает к проверке и приёмке поставленного товара. Приёмка товара осуществляется в течение</w:t>
      </w:r>
      <w:r>
        <w:rPr>
          <w:sz w:val="22"/>
          <w:szCs w:val="22"/>
          <w:highlight w:val="none"/>
        </w:rPr>
        <w:t xml:space="preserve"> </w:t>
      </w:r>
      <w:r>
        <w:rPr>
          <w:rFonts w:hint="default"/>
          <w:sz w:val="22"/>
          <w:szCs w:val="22"/>
          <w:highlight w:val="none"/>
          <w:lang w:val="ru-RU"/>
        </w:rPr>
        <w:t>10</w:t>
      </w:r>
      <w:r>
        <w:rPr>
          <w:sz w:val="22"/>
          <w:szCs w:val="22"/>
          <w:highlight w:val="none"/>
        </w:rPr>
        <w:t xml:space="preserve"> рабочих дней</w:t>
      </w:r>
      <w:r>
        <w:rPr>
          <w:sz w:val="22"/>
          <w:szCs w:val="22"/>
        </w:rPr>
        <w:t>.  -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-Заказчик проводит экспертизу поставленного товара в течение 2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 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приема-передачи товара.</w:t>
      </w:r>
    </w:p>
    <w:p w14:paraId="5638550C">
      <w:pPr>
        <w:rPr>
          <w:sz w:val="22"/>
          <w:szCs w:val="22"/>
        </w:rPr>
      </w:pPr>
      <w:r>
        <w:rPr>
          <w:sz w:val="22"/>
          <w:szCs w:val="22"/>
        </w:rPr>
        <w:t xml:space="preserve">6. Документ о приемке: Акт приема - передачи  товара </w:t>
      </w:r>
    </w:p>
    <w:p w14:paraId="69575023">
      <w:pPr>
        <w:rPr>
          <w:rFonts w:hint="default"/>
          <w:sz w:val="22"/>
          <w:szCs w:val="22"/>
          <w:highlight w:val="yellow"/>
          <w:lang w:val="ru-RU"/>
        </w:rPr>
      </w:pPr>
      <w:r>
        <w:rPr>
          <w:sz w:val="22"/>
          <w:szCs w:val="22"/>
        </w:rPr>
        <w:t>7. Срок приемк</w:t>
      </w:r>
      <w:r>
        <w:rPr>
          <w:sz w:val="22"/>
          <w:szCs w:val="22"/>
          <w:highlight w:val="none"/>
        </w:rPr>
        <w:t xml:space="preserve">и: </w:t>
      </w:r>
      <w:r>
        <w:rPr>
          <w:rFonts w:hint="default"/>
          <w:sz w:val="22"/>
          <w:szCs w:val="22"/>
          <w:highlight w:val="none"/>
          <w:lang w:val="ru-RU"/>
        </w:rPr>
        <w:t>10</w:t>
      </w:r>
      <w:r>
        <w:rPr>
          <w:sz w:val="22"/>
          <w:szCs w:val="22"/>
          <w:highlight w:val="none"/>
        </w:rPr>
        <w:t xml:space="preserve"> рабочих дн</w:t>
      </w:r>
      <w:r>
        <w:rPr>
          <w:sz w:val="22"/>
          <w:szCs w:val="22"/>
          <w:highlight w:val="none"/>
          <w:lang w:val="ru-RU"/>
        </w:rPr>
        <w:t>ей</w:t>
      </w:r>
    </w:p>
    <w:p w14:paraId="6D418D9F">
      <w:pPr>
        <w:rPr>
          <w:sz w:val="22"/>
          <w:szCs w:val="22"/>
        </w:rPr>
      </w:pPr>
      <w:r>
        <w:rPr>
          <w:sz w:val="22"/>
          <w:szCs w:val="22"/>
        </w:rPr>
        <w:t>8. Срок замены некачественного Товара, гарантийный срок на заменяемый товар: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 Не допускается поставка товара с просроченным сроком годности.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tbl>
      <w:tblPr>
        <w:tblStyle w:val="3"/>
        <w:tblW w:w="9344" w:type="dxa"/>
        <w:tblInd w:w="226" w:type="dxa"/>
        <w:tblLayout w:type="fixed"/>
        <w:tblCellMar>
          <w:top w:w="0" w:type="dxa"/>
          <w:left w:w="108" w:type="dxa"/>
          <w:bottom w:w="0" w:type="dxa"/>
          <w:right w:w="108" w:type="dxa"/>
        </w:tblCellMar>
      </w:tblPr>
      <w:tblGrid>
        <w:gridCol w:w="4671"/>
        <w:gridCol w:w="4673"/>
      </w:tblGrid>
      <w:tr w14:paraId="7656F513">
        <w:tblPrEx>
          <w:tblCellMar>
            <w:top w:w="0" w:type="dxa"/>
            <w:left w:w="108" w:type="dxa"/>
            <w:bottom w:w="0" w:type="dxa"/>
            <w:right w:w="108" w:type="dxa"/>
          </w:tblCellMar>
        </w:tblPrEx>
        <w:trPr>
          <w:trHeight w:val="1216" w:hRule="atLeast"/>
        </w:trPr>
        <w:tc>
          <w:tcPr>
            <w:tcW w:w="4671" w:type="dxa"/>
            <w:tcBorders>
              <w:top w:val="single" w:color="FFFFFF" w:sz="4" w:space="0"/>
              <w:left w:val="single" w:color="FFFFFF" w:sz="4" w:space="0"/>
              <w:bottom w:val="single" w:color="FFFFFF" w:sz="4" w:space="0"/>
              <w:right w:val="single" w:color="FFFFFF" w:sz="4" w:space="0"/>
            </w:tcBorders>
            <w:shd w:val="clear" w:color="auto" w:fill="auto"/>
          </w:tcPr>
          <w:p w14:paraId="47E6A59D">
            <w:pPr>
              <w:widowControl w:val="0"/>
              <w:jc w:val="both"/>
              <w:rPr>
                <w:b/>
              </w:rPr>
            </w:pPr>
          </w:p>
          <w:p w14:paraId="6DA832C7">
            <w:pPr>
              <w:widowControl w:val="0"/>
              <w:jc w:val="both"/>
              <w:rPr>
                <w:b/>
              </w:rPr>
            </w:pPr>
          </w:p>
          <w:p w14:paraId="70A6C505">
            <w:pPr>
              <w:widowControl w:val="0"/>
              <w:jc w:val="both"/>
              <w:rPr>
                <w:b/>
              </w:rPr>
            </w:pPr>
            <w:r>
              <w:rPr>
                <w:b/>
              </w:rPr>
              <w:t>Заказчик:</w:t>
            </w:r>
          </w:p>
          <w:p w14:paraId="73870311">
            <w:pPr>
              <w:widowControl w:val="0"/>
              <w:tabs>
                <w:tab w:val="left" w:pos="993"/>
              </w:tabs>
              <w:snapToGrid w:val="0"/>
              <w:ind w:right="-5"/>
              <w:rPr>
                <w:rFonts w:eastAsia="Calibri"/>
                <w:sz w:val="22"/>
              </w:rPr>
            </w:pPr>
            <w:r>
              <w:rPr>
                <w:sz w:val="22"/>
                <w:szCs w:val="22"/>
              </w:rPr>
              <w:t>ГБОУ гимназия № 92</w:t>
            </w:r>
            <w:r>
              <w:rPr>
                <w:rFonts w:eastAsia="Calibri"/>
                <w:sz w:val="22"/>
                <w:szCs w:val="22"/>
              </w:rPr>
              <w:t xml:space="preserve"> Выборгского района Санкт-Петербурга</w:t>
            </w:r>
          </w:p>
          <w:p w14:paraId="4F9DBF44">
            <w:pPr>
              <w:widowControl w:val="0"/>
              <w:tabs>
                <w:tab w:val="left" w:pos="993"/>
              </w:tabs>
              <w:ind w:right="-5"/>
              <w:rPr>
                <w:b/>
              </w:rPr>
            </w:pPr>
            <w:r>
              <w:t>Директор</w:t>
            </w:r>
          </w:p>
          <w:tbl>
            <w:tblPr>
              <w:tblStyle w:val="3"/>
              <w:tblW w:w="14455" w:type="dxa"/>
              <w:tblInd w:w="0" w:type="dxa"/>
              <w:tblLayout w:type="fixed"/>
              <w:tblCellMar>
                <w:top w:w="0" w:type="dxa"/>
                <w:left w:w="108" w:type="dxa"/>
                <w:bottom w:w="0" w:type="dxa"/>
                <w:right w:w="108" w:type="dxa"/>
              </w:tblCellMar>
            </w:tblPr>
            <w:tblGrid>
              <w:gridCol w:w="14455"/>
            </w:tblGrid>
            <w:tr w14:paraId="25B04B18">
              <w:tblPrEx>
                <w:tblCellMar>
                  <w:top w:w="0" w:type="dxa"/>
                  <w:left w:w="108" w:type="dxa"/>
                  <w:bottom w:w="0" w:type="dxa"/>
                  <w:right w:w="108" w:type="dxa"/>
                </w:tblCellMar>
              </w:tblPrEx>
              <w:tc>
                <w:tcPr>
                  <w:tcW w:w="14455" w:type="dxa"/>
                  <w:tcBorders>
                    <w:top w:val="single" w:color="FFFFFF" w:sz="4" w:space="0"/>
                    <w:left w:val="single" w:color="FFFFFF" w:sz="4" w:space="0"/>
                    <w:bottom w:val="single" w:color="FFFFFF" w:sz="4" w:space="0"/>
                    <w:right w:val="single" w:color="FFFFFF" w:sz="4" w:space="0"/>
                  </w:tcBorders>
                  <w:shd w:val="clear" w:color="auto" w:fill="auto"/>
                </w:tcPr>
                <w:p w14:paraId="2E6261AF">
                  <w:pPr>
                    <w:widowControl w:val="0"/>
                    <w:snapToGrid w:val="0"/>
                    <w:rPr>
                      <w:rFonts w:eastAsia="Calibri"/>
                      <w:sz w:val="22"/>
                    </w:rPr>
                  </w:pPr>
                  <w:r>
                    <w:rPr>
                      <w:sz w:val="22"/>
                      <w:szCs w:val="22"/>
                    </w:rPr>
                    <w:t>_____________________</w:t>
                  </w:r>
                  <w:r>
                    <w:rPr>
                      <w:rFonts w:eastAsia="Calibri"/>
                      <w:sz w:val="22"/>
                      <w:szCs w:val="22"/>
                    </w:rPr>
                    <w:t xml:space="preserve"> Сочилин С.Б</w:t>
                  </w:r>
                </w:p>
                <w:p w14:paraId="62080102">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3F2FAA06">
                  <w:pPr>
                    <w:widowControl w:val="0"/>
                    <w:contextualSpacing/>
                    <w:rPr>
                      <w:sz w:val="20"/>
                    </w:rPr>
                  </w:pPr>
                </w:p>
              </w:tc>
            </w:tr>
          </w:tbl>
          <w:p w14:paraId="66CFAEE4">
            <w:pPr>
              <w:widowControl w:val="0"/>
            </w:pPr>
          </w:p>
        </w:tc>
        <w:tc>
          <w:tcPr>
            <w:tcW w:w="4672" w:type="dxa"/>
            <w:tcBorders>
              <w:top w:val="single" w:color="FFFFFF" w:sz="4" w:space="0"/>
              <w:left w:val="single" w:color="FFFFFF" w:sz="4" w:space="0"/>
              <w:bottom w:val="single" w:color="FFFFFF" w:sz="4" w:space="0"/>
              <w:right w:val="single" w:color="FFFFFF" w:sz="4" w:space="0"/>
            </w:tcBorders>
            <w:shd w:val="clear" w:color="auto" w:fill="auto"/>
          </w:tcPr>
          <w:p w14:paraId="718FBE96">
            <w:pPr>
              <w:widowControl w:val="0"/>
              <w:jc w:val="both"/>
              <w:rPr>
                <w:b/>
              </w:rPr>
            </w:pPr>
          </w:p>
          <w:p w14:paraId="1A56E0C2">
            <w:pPr>
              <w:widowControl w:val="0"/>
              <w:jc w:val="both"/>
              <w:rPr>
                <w:b/>
              </w:rPr>
            </w:pPr>
            <w:r>
              <w:rPr>
                <w:b/>
              </w:rPr>
              <w:t>Поставщик:</w:t>
            </w:r>
          </w:p>
          <w:p w14:paraId="6007BC46">
            <w:pPr>
              <w:widowControl w:val="0"/>
              <w:jc w:val="both"/>
              <w:rPr>
                <w:b/>
              </w:rPr>
            </w:pPr>
          </w:p>
          <w:p w14:paraId="6FB81885">
            <w:pPr>
              <w:widowControl w:val="0"/>
            </w:pPr>
          </w:p>
          <w:p w14:paraId="6235628B">
            <w:pPr>
              <w:widowControl w:val="0"/>
              <w:jc w:val="both"/>
            </w:pPr>
            <w:r>
              <w:t>Генеральный директор</w:t>
            </w:r>
          </w:p>
          <w:p w14:paraId="399C3026">
            <w:pPr>
              <w:widowControl w:val="0"/>
              <w:jc w:val="both"/>
              <w:rPr>
                <w:b/>
              </w:rPr>
            </w:pPr>
            <w:r>
              <w:t xml:space="preserve"> __________________</w:t>
            </w:r>
          </w:p>
          <w:p w14:paraId="7A27AD10">
            <w:pPr>
              <w:widowControl w:val="0"/>
              <w:contextualSpacing/>
              <w:rPr>
                <w:rFonts w:hint="default"/>
                <w:sz w:val="20"/>
                <w:szCs w:val="20"/>
                <w:lang w:val="ru-RU"/>
              </w:rPr>
            </w:pPr>
            <w:r>
              <w:rPr>
                <w:sz w:val="20"/>
                <w:szCs w:val="20"/>
                <w:lang w:val="ru-RU"/>
              </w:rPr>
              <w:t>Подписано</w:t>
            </w:r>
            <w:r>
              <w:rPr>
                <w:rFonts w:hint="default"/>
                <w:sz w:val="20"/>
                <w:szCs w:val="20"/>
                <w:lang w:val="ru-RU"/>
              </w:rPr>
              <w:t xml:space="preserve"> ЭЦП</w:t>
            </w:r>
          </w:p>
          <w:p w14:paraId="2DDD3941">
            <w:pPr>
              <w:widowControl w:val="0"/>
              <w:jc w:val="both"/>
              <w:rPr>
                <w:b/>
              </w:rPr>
            </w:pPr>
          </w:p>
        </w:tc>
      </w:tr>
    </w:tbl>
    <w:p w14:paraId="6EF2D7A3">
      <w:pPr>
        <w:jc w:val="right"/>
      </w:pPr>
    </w:p>
    <w:sectPr>
      <w:pgSz w:w="11906" w:h="16838"/>
      <w:pgMar w:top="1134" w:right="851" w:bottom="1134" w:left="1701" w:header="0" w:footer="0"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FreeSans">
    <w:altName w:val="Times New Roman"/>
    <w:panose1 w:val="00000000000000000000"/>
    <w:charset w:val="00"/>
    <w:family w:val="roman"/>
    <w:pitch w:val="default"/>
    <w:sig w:usb0="00000000" w:usb1="00000000" w:usb2="00000000" w:usb3="00000000" w:csb0="00000000" w:csb1="00000000"/>
  </w:font>
  <w:font w:name="Liberation Sans">
    <w:altName w:val="Arial"/>
    <w:panose1 w:val="00000000000000000000"/>
    <w:charset w:val="01"/>
    <w:family w:val="roman"/>
    <w:pitch w:val="default"/>
    <w:sig w:usb0="00000000" w:usb1="00000000" w:usb2="00000000" w:usb3="00000000" w:csb0="00000000" w:csb1="00000000"/>
  </w:font>
  <w:font w:name="Droid Sans Fallback">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214F4F"/>
    <w:multiLevelType w:val="multilevel"/>
    <w:tmpl w:val="0D214F4F"/>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44DE30AC"/>
    <w:multiLevelType w:val="multilevel"/>
    <w:tmpl w:val="44DE30A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EBE"/>
    <w:rsid w:val="0018398A"/>
    <w:rsid w:val="002938C7"/>
    <w:rsid w:val="005269D7"/>
    <w:rsid w:val="005C7239"/>
    <w:rsid w:val="008E6890"/>
    <w:rsid w:val="00902148"/>
    <w:rsid w:val="00B97A22"/>
    <w:rsid w:val="00CC3F3D"/>
    <w:rsid w:val="00E53EBE"/>
    <w:rsid w:val="00F224E0"/>
    <w:rsid w:val="00F502D2"/>
    <w:rsid w:val="00FB49A5"/>
    <w:rsid w:val="065679C2"/>
    <w:rsid w:val="082C217B"/>
    <w:rsid w:val="0B496F14"/>
    <w:rsid w:val="0B503A07"/>
    <w:rsid w:val="10416FA3"/>
    <w:rsid w:val="12182CC7"/>
    <w:rsid w:val="14884CE0"/>
    <w:rsid w:val="161076B4"/>
    <w:rsid w:val="1AA1044A"/>
    <w:rsid w:val="1B661553"/>
    <w:rsid w:val="1E543598"/>
    <w:rsid w:val="2D1A0EF4"/>
    <w:rsid w:val="2D8E35F3"/>
    <w:rsid w:val="31BA6590"/>
    <w:rsid w:val="36BF146E"/>
    <w:rsid w:val="3D521BC0"/>
    <w:rsid w:val="42EC661C"/>
    <w:rsid w:val="45B22BB8"/>
    <w:rsid w:val="4C7D7FE1"/>
    <w:rsid w:val="50B60564"/>
    <w:rsid w:val="546F12E3"/>
    <w:rsid w:val="560B2A39"/>
    <w:rsid w:val="565A1AB4"/>
    <w:rsid w:val="5A2D6D33"/>
    <w:rsid w:val="5D144E52"/>
    <w:rsid w:val="5DFA6A69"/>
    <w:rsid w:val="5EB3695E"/>
    <w:rsid w:val="6C5A3A40"/>
    <w:rsid w:val="6FF00080"/>
    <w:rsid w:val="72FD0B6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 w:type="paragraph" w:styleId="5">
    <w:name w:val="Balloon Text"/>
    <w:basedOn w:val="1"/>
    <w:semiHidden/>
    <w:unhideWhenUsed/>
    <w:qFormat/>
    <w:uiPriority w:val="99"/>
    <w:rPr>
      <w:rFonts w:ascii="Segoe UI" w:hAnsi="Segoe UI" w:cs="Segoe UI"/>
      <w:sz w:val="18"/>
      <w:szCs w:val="18"/>
    </w:rPr>
  </w:style>
  <w:style w:type="paragraph" w:styleId="6">
    <w:name w:val="Body Text"/>
    <w:basedOn w:val="1"/>
    <w:qFormat/>
    <w:uiPriority w:val="0"/>
    <w:pPr>
      <w:spacing w:after="140" w:line="276" w:lineRule="auto"/>
    </w:pPr>
  </w:style>
  <w:style w:type="paragraph" w:styleId="7">
    <w:name w:val="index heading"/>
    <w:basedOn w:val="1"/>
    <w:qFormat/>
    <w:uiPriority w:val="0"/>
    <w:pPr>
      <w:suppressLineNumbers/>
    </w:pPr>
    <w:rPr>
      <w:rFonts w:cs="FreeSans"/>
    </w:rPr>
  </w:style>
  <w:style w:type="paragraph" w:styleId="8">
    <w:name w:val="List"/>
    <w:basedOn w:val="6"/>
    <w:qFormat/>
    <w:uiPriority w:val="0"/>
    <w:rPr>
      <w:rFonts w:cs="FreeSans"/>
    </w:rPr>
  </w:style>
  <w:style w:type="table" w:styleId="9">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Верхний колонтитул Знак"/>
    <w:basedOn w:val="2"/>
    <w:qFormat/>
    <w:uiPriority w:val="99"/>
    <w:rPr>
      <w:rFonts w:ascii="Times New Roman" w:hAnsi="Times New Roman" w:eastAsia="Times New Roman" w:cs="Times New Roman"/>
      <w:sz w:val="24"/>
      <w:szCs w:val="24"/>
      <w:lang w:eastAsia="ru-RU"/>
    </w:rPr>
  </w:style>
  <w:style w:type="character" w:customStyle="1" w:styleId="11">
    <w:name w:val="Нижний колонтитул Знак"/>
    <w:basedOn w:val="2"/>
    <w:qFormat/>
    <w:uiPriority w:val="99"/>
    <w:rPr>
      <w:rFonts w:ascii="Times New Roman" w:hAnsi="Times New Roman" w:eastAsia="Times New Roman" w:cs="Times New Roman"/>
      <w:sz w:val="24"/>
      <w:szCs w:val="24"/>
      <w:lang w:eastAsia="ru-RU"/>
    </w:rPr>
  </w:style>
  <w:style w:type="character" w:customStyle="1" w:styleId="12">
    <w:name w:val="Текст выноски Знак"/>
    <w:basedOn w:val="2"/>
    <w:semiHidden/>
    <w:qFormat/>
    <w:uiPriority w:val="99"/>
    <w:rPr>
      <w:rFonts w:ascii="Segoe UI" w:hAnsi="Segoe UI" w:eastAsia="Times New Roman" w:cs="Segoe UI"/>
      <w:sz w:val="18"/>
      <w:szCs w:val="18"/>
      <w:lang w:eastAsia="ru-RU"/>
    </w:rPr>
  </w:style>
  <w:style w:type="character" w:customStyle="1" w:styleId="13">
    <w:name w:val="Символ нумерации"/>
    <w:qFormat/>
    <w:uiPriority w:val="0"/>
  </w:style>
  <w:style w:type="paragraph" w:customStyle="1" w:styleId="14">
    <w:name w:val="Заголовок"/>
    <w:basedOn w:val="1"/>
    <w:next w:val="6"/>
    <w:qFormat/>
    <w:uiPriority w:val="0"/>
    <w:pPr>
      <w:keepNext/>
      <w:spacing w:before="240" w:after="120"/>
    </w:pPr>
    <w:rPr>
      <w:rFonts w:ascii="Liberation Sans" w:hAnsi="Liberation Sans" w:eastAsia="Droid Sans Fallback" w:cs="FreeSans"/>
      <w:sz w:val="28"/>
      <w:szCs w:val="28"/>
    </w:rPr>
  </w:style>
  <w:style w:type="paragraph" w:customStyle="1" w:styleId="15">
    <w:name w:val="Caption"/>
    <w:basedOn w:val="1"/>
    <w:qFormat/>
    <w:uiPriority w:val="0"/>
    <w:pPr>
      <w:suppressLineNumbers/>
      <w:spacing w:before="120" w:after="120"/>
    </w:pPr>
    <w:rPr>
      <w:rFonts w:cs="FreeSans"/>
      <w:i/>
      <w:iCs/>
    </w:rPr>
  </w:style>
  <w:style w:type="paragraph" w:styleId="16">
    <w:name w:val="List Paragraph"/>
    <w:basedOn w:val="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paragraph" w:customStyle="1" w:styleId="17">
    <w:name w:val="Колонтитул"/>
    <w:basedOn w:val="1"/>
    <w:qFormat/>
    <w:uiPriority w:val="0"/>
  </w:style>
  <w:style w:type="paragraph" w:customStyle="1" w:styleId="18">
    <w:name w:val="Верхний и нижний колонтитулы"/>
    <w:basedOn w:val="1"/>
    <w:qFormat/>
    <w:uiPriority w:val="0"/>
  </w:style>
  <w:style w:type="paragraph" w:customStyle="1" w:styleId="19">
    <w:name w:val="Header"/>
    <w:basedOn w:val="1"/>
    <w:unhideWhenUsed/>
    <w:qFormat/>
    <w:uiPriority w:val="99"/>
    <w:pPr>
      <w:tabs>
        <w:tab w:val="center" w:pos="4677"/>
        <w:tab w:val="right" w:pos="9355"/>
      </w:tabs>
    </w:pPr>
  </w:style>
  <w:style w:type="paragraph" w:customStyle="1" w:styleId="20">
    <w:name w:val="Footer"/>
    <w:basedOn w:val="1"/>
    <w:unhideWhenUsed/>
    <w:qFormat/>
    <w:uiPriority w:val="99"/>
    <w:pPr>
      <w:tabs>
        <w:tab w:val="center" w:pos="4677"/>
        <w:tab w:val="right" w:pos="9355"/>
      </w:tabs>
    </w:pPr>
  </w:style>
  <w:style w:type="paragraph" w:customStyle="1" w:styleId="21">
    <w:name w:val="Содержимое таблицы"/>
    <w:basedOn w:val="1"/>
    <w:qFormat/>
    <w:uiPriority w:val="0"/>
    <w:pPr>
      <w:widowControl w:val="0"/>
      <w:suppressLineNumbers/>
    </w:pPr>
  </w:style>
  <w:style w:type="paragraph" w:customStyle="1" w:styleId="22">
    <w:name w:val="Заголовок таблицы"/>
    <w:basedOn w:val="21"/>
    <w:qFormat/>
    <w:uiPriority w:val="0"/>
    <w:pPr>
      <w:jc w:val="center"/>
    </w:pPr>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0EC38-8F6B-4E68-8A35-87B35BF039FC}">
  <ds:schemaRefs/>
</ds:datastoreItem>
</file>

<file path=docProps/app.xml><?xml version="1.0" encoding="utf-8"?>
<Properties xmlns="http://schemas.openxmlformats.org/officeDocument/2006/extended-properties" xmlns:vt="http://schemas.openxmlformats.org/officeDocument/2006/docPropsVTypes">
  <Template>Normal</Template>
  <Pages>10</Pages>
  <Words>4326</Words>
  <Characters>24662</Characters>
  <Lines>205</Lines>
  <Paragraphs>57</Paragraphs>
  <TotalTime>1</TotalTime>
  <ScaleCrop>false</ScaleCrop>
  <LinksUpToDate>false</LinksUpToDate>
  <CharactersWithSpaces>28931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2024-05-22T12:29:00Z</dcterms:created>
  <dc:creator>Сергеев Алексей Борисович</dc:creator>
  <cp:lastModifiedBy>Iliona</cp:lastModifiedBy>
  <cp:lastPrinted>2023-08-03T08:54:00Z</cp:lastPrinted>
  <dcterms:modified xsi:type="dcterms:W3CDTF">2026-04-27T19:36:52Z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ProductBuildVer">
    <vt:lpwstr>1049-12.2.0.23196</vt:lpwstr>
  </property>
  <property fmtid="{D5CDD505-2E9C-101B-9397-08002B2CF9AE}" pid="7" name="ICV">
    <vt:lpwstr>06F5DEF822AD4094A69EE12CAC0FD327_13</vt:lpwstr>
  </property>
</Properties>
</file>