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0"/>
          <w:szCs w:val="20"/>
        </w:rPr>
      </w:pPr>
      <w:r>
        <w:rPr>
          <w:b/>
          <w:sz w:val="20"/>
          <w:szCs w:val="20"/>
        </w:rPr>
        <w:t>ПРОЕКТ</w:t>
      </w:r>
    </w:p>
    <w:p>
      <w:pPr>
        <w:pStyle w:val="Normal"/>
        <w:jc w:val="center"/>
        <w:rPr>
          <w:b/>
          <w:sz w:val="20"/>
          <w:szCs w:val="20"/>
        </w:rPr>
      </w:pPr>
      <w:r>
        <w:rPr>
          <w:b/>
          <w:sz w:val="20"/>
          <w:szCs w:val="20"/>
        </w:rPr>
        <w:t>КОНТРАКТ № 156/2026</w:t>
      </w:r>
    </w:p>
    <w:p>
      <w:pPr>
        <w:pStyle w:val="Normal"/>
        <w:jc w:val="center"/>
        <w:rPr>
          <w:b/>
          <w:sz w:val="20"/>
          <w:szCs w:val="20"/>
        </w:rPr>
      </w:pPr>
      <w:r>
        <w:rPr>
          <w:b/>
          <w:sz w:val="20"/>
          <w:szCs w:val="20"/>
        </w:rPr>
      </w:r>
    </w:p>
    <w:tbl>
      <w:tblPr>
        <w:tblW w:w="992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145"/>
        <w:gridCol w:w="2689"/>
        <w:gridCol w:w="4089"/>
      </w:tblGrid>
      <w:tr>
        <w:trPr/>
        <w:tc>
          <w:tcPr>
            <w:tcW w:w="3145" w:type="dxa"/>
            <w:tcBorders/>
            <w:shd w:color="auto" w:fill="auto" w:val="clear"/>
          </w:tcPr>
          <w:p>
            <w:pPr>
              <w:pStyle w:val="Normal"/>
              <w:tabs>
                <w:tab w:val="clear" w:pos="708"/>
                <w:tab w:val="left" w:pos="3195" w:leader="none"/>
              </w:tabs>
              <w:rPr>
                <w:caps/>
                <w:sz w:val="20"/>
                <w:szCs w:val="20"/>
              </w:rPr>
            </w:pPr>
            <w:r>
              <w:rPr>
                <w:sz w:val="20"/>
                <w:szCs w:val="20"/>
              </w:rPr>
              <w:t>Санкт-Петербург</w:t>
            </w:r>
          </w:p>
        </w:tc>
        <w:tc>
          <w:tcPr>
            <w:tcW w:w="2689" w:type="dxa"/>
            <w:tcBorders/>
            <w:shd w:color="auto" w:fill="auto" w:val="clear"/>
          </w:tcPr>
          <w:p>
            <w:pPr>
              <w:pStyle w:val="Normal"/>
              <w:tabs>
                <w:tab w:val="clear" w:pos="708"/>
                <w:tab w:val="left" w:pos="3195" w:leader="none"/>
              </w:tabs>
              <w:rPr>
                <w:caps/>
                <w:sz w:val="20"/>
                <w:szCs w:val="20"/>
              </w:rPr>
            </w:pPr>
            <w:r>
              <w:rPr>
                <w:caps/>
                <w:sz w:val="20"/>
                <w:szCs w:val="20"/>
              </w:rPr>
            </w:r>
          </w:p>
        </w:tc>
        <w:tc>
          <w:tcPr>
            <w:tcW w:w="4089" w:type="dxa"/>
            <w:tcBorders/>
            <w:shd w:color="auto" w:fill="auto" w:val="clear"/>
          </w:tcPr>
          <w:p>
            <w:pPr>
              <w:pStyle w:val="Normal"/>
              <w:tabs>
                <w:tab w:val="clear" w:pos="708"/>
                <w:tab w:val="left" w:pos="3195" w:leader="none"/>
              </w:tabs>
              <w:jc w:val="right"/>
              <w:rPr>
                <w:caps/>
                <w:sz w:val="20"/>
                <w:szCs w:val="20"/>
              </w:rPr>
            </w:pPr>
            <w:r>
              <w:rPr>
                <w:sz w:val="20"/>
                <w:szCs w:val="20"/>
              </w:rPr>
              <w:t>«___» _______ 2026 года</w:t>
            </w:r>
          </w:p>
        </w:tc>
      </w:tr>
    </w:tbl>
    <w:p>
      <w:pPr>
        <w:pStyle w:val="Normal"/>
        <w:jc w:val="both"/>
        <w:rPr>
          <w:sz w:val="20"/>
          <w:szCs w:val="20"/>
        </w:rPr>
      </w:pPr>
      <w:r>
        <w:rPr>
          <w:sz w:val="20"/>
          <w:szCs w:val="20"/>
        </w:rPr>
      </w:r>
    </w:p>
    <w:p>
      <w:pPr>
        <w:pStyle w:val="Normal"/>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и </w:t>
      </w:r>
      <w:r>
        <w:rPr>
          <w:b/>
          <w:sz w:val="20"/>
          <w:szCs w:val="20"/>
        </w:rPr>
        <w:t>____________ (________)</w:t>
      </w:r>
      <w:r>
        <w:rPr>
          <w:sz w:val="20"/>
          <w:szCs w:val="20"/>
        </w:rPr>
        <w:t xml:space="preserve"> , именуемое в дальнейшем «Подрядчик», в лице ______________, действующего на основании Устава (</w:t>
      </w:r>
      <w:r>
        <w:rPr>
          <w:color w:val="000000"/>
          <w:spacing w:val="1"/>
          <w:sz w:val="20"/>
          <w:szCs w:val="20"/>
        </w:rPr>
        <w:t>учредительный документ или доверенность)</w:t>
      </w:r>
      <w:r>
        <w:rPr>
          <w:sz w:val="20"/>
          <w:szCs w:val="20"/>
        </w:rPr>
        <w:t>, с другой стороны, вместе именуемые «Стороны», в соответствии с Федеральным законом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pPr>
        <w:pStyle w:val="Normal"/>
        <w:ind w:firstLine="709"/>
        <w:jc w:val="both"/>
        <w:rPr>
          <w:sz w:val="20"/>
          <w:szCs w:val="20"/>
        </w:rPr>
      </w:pPr>
      <w:r>
        <w:rPr>
          <w:sz w:val="20"/>
          <w:szCs w:val="20"/>
        </w:rPr>
      </w:r>
    </w:p>
    <w:p>
      <w:pPr>
        <w:pStyle w:val="Normal"/>
        <w:jc w:val="center"/>
        <w:rPr>
          <w:b/>
          <w:sz w:val="20"/>
          <w:szCs w:val="20"/>
        </w:rPr>
      </w:pPr>
      <w:r>
        <w:rPr>
          <w:b/>
          <w:sz w:val="20"/>
          <w:szCs w:val="20"/>
        </w:rPr>
        <w:t>1. ПРЕДМЕТ КОНТРАКТА</w:t>
      </w:r>
    </w:p>
    <w:p>
      <w:pPr>
        <w:pStyle w:val="Normal"/>
        <w:tabs>
          <w:tab w:val="clear" w:pos="708"/>
          <w:tab w:val="left" w:pos="1701" w:leader="none"/>
        </w:tabs>
        <w:ind w:firstLine="708"/>
        <w:jc w:val="both"/>
        <w:rPr>
          <w:b/>
          <w:sz w:val="20"/>
          <w:szCs w:val="20"/>
        </w:rPr>
      </w:pPr>
      <w:r>
        <w:rPr>
          <w:sz w:val="20"/>
          <w:szCs w:val="20"/>
        </w:rPr>
        <w:t>1.1.</w:t>
        <w:tab/>
        <w:t xml:space="preserve">Предметом настоящего контракта является </w:t>
      </w:r>
      <w:r>
        <w:rPr>
          <w:b/>
          <w:bCs/>
          <w:sz w:val="20"/>
          <w:szCs w:val="20"/>
        </w:rPr>
        <w:t>в</w:t>
      </w:r>
      <w:r>
        <w:rPr>
          <w:b/>
          <w:sz w:val="20"/>
          <w:szCs w:val="20"/>
        </w:rPr>
        <w:t>ыполнение работ по ремонту медицинского оборудования (электрокардиостимулятор эндокардиальной стимуляции ЭКС-Сетал-1В)</w:t>
      </w:r>
      <w:r>
        <w:rPr>
          <w:rFonts w:eastAsia="Calibri" w:eastAsiaTheme="minorHAnsi"/>
          <w:b/>
          <w:bCs/>
          <w:sz w:val="20"/>
          <w:szCs w:val="20"/>
          <w:lang w:eastAsia="en-US"/>
        </w:rPr>
        <w:t>,</w:t>
      </w:r>
      <w:r>
        <w:rPr>
          <w:rFonts w:eastAsia="Calibri" w:eastAsiaTheme="minorHAnsi"/>
          <w:sz w:val="20"/>
          <w:szCs w:val="20"/>
          <w:lang w:eastAsia="en-US"/>
        </w:rPr>
        <w:t xml:space="preserve"> </w:t>
      </w:r>
      <w:r>
        <w:rPr>
          <w:sz w:val="20"/>
          <w:szCs w:val="20"/>
        </w:rPr>
        <w:t>указанного в Спецификации (Приложение № 1 к Контракту), являющейся неотъемлемой частью Контракта, на условиях, установленных Контрактом (далее – Работы), а Заказчик обязуется принять и оплатить Работы надлежащего качества в порядке и на условиях, предусмотренных Контрактом.</w:t>
      </w:r>
    </w:p>
    <w:p>
      <w:pPr>
        <w:pStyle w:val="Normal"/>
        <w:tabs>
          <w:tab w:val="clear" w:pos="708"/>
          <w:tab w:val="left" w:pos="1701" w:leader="none"/>
        </w:tabs>
        <w:ind w:firstLine="708"/>
        <w:jc w:val="both"/>
        <w:rPr>
          <w:sz w:val="20"/>
          <w:szCs w:val="20"/>
        </w:rPr>
      </w:pPr>
      <w:r>
        <w:rPr>
          <w:sz w:val="20"/>
          <w:szCs w:val="20"/>
        </w:rPr>
        <w:t>1.2.</w:t>
        <w:tab/>
        <w:t>Работы выполняются в соответствии с требованиями, изложенными в Техническом задании (Приложение № 2 к Контракту).</w:t>
      </w:r>
    </w:p>
    <w:p>
      <w:pPr>
        <w:pStyle w:val="Normal"/>
        <w:tabs>
          <w:tab w:val="clear" w:pos="708"/>
          <w:tab w:val="left" w:pos="1701" w:leader="none"/>
        </w:tabs>
        <w:ind w:firstLine="708"/>
        <w:jc w:val="both"/>
        <w:rPr>
          <w:sz w:val="20"/>
          <w:szCs w:val="20"/>
        </w:rPr>
      </w:pPr>
      <w:r>
        <w:rPr>
          <w:sz w:val="20"/>
          <w:szCs w:val="20"/>
        </w:rPr>
        <w:t>1.3.</w:t>
        <w:tab/>
        <w:t>Идентификационный код закупки: 262780404107078040100100010000000244</w:t>
      </w:r>
    </w:p>
    <w:p>
      <w:pPr>
        <w:pStyle w:val="Normal"/>
        <w:jc w:val="both"/>
        <w:rPr>
          <w:sz w:val="20"/>
          <w:szCs w:val="20"/>
        </w:rPr>
      </w:pPr>
      <w:r>
        <w:rPr>
          <w:sz w:val="20"/>
          <w:szCs w:val="20"/>
        </w:rPr>
      </w:r>
    </w:p>
    <w:p>
      <w:pPr>
        <w:pStyle w:val="Normal"/>
        <w:jc w:val="center"/>
        <w:rPr>
          <w:b/>
          <w:sz w:val="20"/>
          <w:szCs w:val="20"/>
        </w:rPr>
      </w:pPr>
      <w:r>
        <w:rPr>
          <w:b/>
          <w:sz w:val="20"/>
          <w:szCs w:val="20"/>
        </w:rPr>
        <w:t>2. ЦЕНА КОНТРАКТА И ПОРЯДОК РАСЧЕТОВ</w:t>
      </w:r>
    </w:p>
    <w:p>
      <w:pPr>
        <w:pStyle w:val="Normal"/>
        <w:tabs>
          <w:tab w:val="clear" w:pos="708"/>
          <w:tab w:val="left" w:pos="1701" w:leader="none"/>
        </w:tabs>
        <w:ind w:firstLine="708"/>
        <w:jc w:val="both"/>
        <w:rPr>
          <w:sz w:val="20"/>
          <w:szCs w:val="20"/>
        </w:rPr>
      </w:pPr>
      <w:r>
        <w:rPr>
          <w:sz w:val="20"/>
          <w:szCs w:val="20"/>
        </w:rPr>
        <w:t>2.1.</w:t>
        <w:tab/>
        <w:t xml:space="preserve">Цена Контракта составляет </w:t>
      </w:r>
      <w:r>
        <w:rPr>
          <w:b/>
          <w:sz w:val="20"/>
          <w:szCs w:val="20"/>
        </w:rPr>
        <w:t>______</w:t>
      </w:r>
      <w:r>
        <w:rPr>
          <w:sz w:val="20"/>
          <w:szCs w:val="20"/>
        </w:rPr>
        <w:t xml:space="preserve"> рублей </w:t>
      </w:r>
      <w:r>
        <w:rPr>
          <w:b/>
          <w:sz w:val="20"/>
          <w:szCs w:val="20"/>
        </w:rPr>
        <w:t>____</w:t>
      </w:r>
      <w:r>
        <w:rPr>
          <w:sz w:val="20"/>
          <w:szCs w:val="20"/>
        </w:rPr>
        <w:t xml:space="preserve"> копеек (_______ руб. __ коп.), в т.ч. НДС % - ___/НДС не облагается на основании пункта 2 статьи ___ Налогового кодекса Российской Федерации.</w:t>
      </w:r>
      <w:r>
        <w:rPr>
          <w:rStyle w:val="FootnoteReference"/>
          <w:sz w:val="20"/>
          <w:szCs w:val="20"/>
        </w:rPr>
        <w:footnoteReference w:id="2"/>
      </w:r>
    </w:p>
    <w:p>
      <w:pPr>
        <w:pStyle w:val="Normal"/>
        <w:tabs>
          <w:tab w:val="clear" w:pos="708"/>
          <w:tab w:val="left" w:pos="1701" w:leader="none"/>
        </w:tabs>
        <w:ind w:firstLine="708"/>
        <w:jc w:val="both"/>
        <w:rPr>
          <w:sz w:val="20"/>
          <w:szCs w:val="20"/>
        </w:rPr>
      </w:pPr>
      <w:r>
        <w:rPr>
          <w:sz w:val="20"/>
          <w:szCs w:val="20"/>
        </w:rPr>
        <w:t>Источник финансирования: Внебюджетные средства, тип внебюджетных средств, средства бюджетных учреждений.</w:t>
      </w:r>
    </w:p>
    <w:p>
      <w:pPr>
        <w:pStyle w:val="Normal"/>
        <w:tabs>
          <w:tab w:val="clear" w:pos="708"/>
          <w:tab w:val="left" w:pos="1701" w:leader="none"/>
        </w:tabs>
        <w:ind w:firstLine="708"/>
        <w:jc w:val="both"/>
        <w:rPr>
          <w:sz w:val="20"/>
          <w:szCs w:val="20"/>
        </w:rPr>
      </w:pPr>
      <w:r>
        <w:rPr>
          <w:sz w:val="20"/>
          <w:szCs w:val="20"/>
        </w:rPr>
        <w:t>2.2.</w:t>
        <w:tab/>
        <w:t>Цена Контракта является твердой и определяется на весь срок исполнения Контракта.</w:t>
      </w:r>
    </w:p>
    <w:p>
      <w:pPr>
        <w:pStyle w:val="Normal"/>
        <w:tabs>
          <w:tab w:val="clear" w:pos="708"/>
          <w:tab w:val="left" w:pos="1701" w:leader="none"/>
        </w:tabs>
        <w:ind w:firstLine="708"/>
        <w:jc w:val="both"/>
        <w:rPr>
          <w:sz w:val="20"/>
          <w:szCs w:val="20"/>
        </w:rPr>
      </w:pPr>
      <w:r>
        <w:rPr>
          <w:sz w:val="20"/>
          <w:szCs w:val="20"/>
        </w:rPr>
        <w:t>2.3.</w:t>
        <w:tab/>
        <w:t>Цена Контракта включает в себя стоимость Работ, в том числе расходных материалов, используемых Подрядчиком для выполнения Работ, компенсацию издержек Подрядчика, необходимых для выполнения Контракта, включая расходы на уплату таможенных пошлин, налогов, сборов, и других обязательных платежей.</w:t>
      </w:r>
    </w:p>
    <w:p>
      <w:pPr>
        <w:pStyle w:val="Normal"/>
        <w:tabs>
          <w:tab w:val="clear" w:pos="708"/>
          <w:tab w:val="left" w:pos="1701" w:leader="none"/>
        </w:tabs>
        <w:ind w:firstLine="708"/>
        <w:jc w:val="both"/>
        <w:rPr>
          <w:sz w:val="20"/>
          <w:szCs w:val="20"/>
        </w:rPr>
      </w:pPr>
      <w:r>
        <w:rPr>
          <w:sz w:val="20"/>
          <w:szCs w:val="20"/>
        </w:rPr>
        <w:t>2.4.</w:t>
        <w:tab/>
        <w:t xml:space="preserve">Оплата производится Заказчиком на расчетный счет Подрядчика, указанный в Контракте, по факту выполнения Работ в течение </w:t>
      </w:r>
      <w:r>
        <w:rPr>
          <w:b/>
          <w:sz w:val="20"/>
          <w:szCs w:val="20"/>
        </w:rPr>
        <w:t>10</w:t>
      </w:r>
      <w:r>
        <w:rPr>
          <w:sz w:val="20"/>
          <w:szCs w:val="20"/>
        </w:rPr>
        <w:t xml:space="preserve"> (десяти) рабочих дней с даты подписания Заказчиком Акта сдачи-приемки выполненных Работ, при отсутствии замечаний со стороны Заказчика по объему и качеству Работ, выполненных в рамках Контракта на основании счета, счета-фактуры (при налогообложении НДС, со ссылкой на дату и номер Контракта) и подписанного Сторонами Акта сдачи-приемки выполненных Работ. Датой оплаты является дата списания денежных средств со счета Заказчика.</w:t>
      </w:r>
    </w:p>
    <w:p>
      <w:pPr>
        <w:pStyle w:val="Normal"/>
        <w:tabs>
          <w:tab w:val="clear" w:pos="708"/>
          <w:tab w:val="left" w:pos="1701" w:leader="none"/>
        </w:tabs>
        <w:ind w:firstLine="708"/>
        <w:jc w:val="both"/>
        <w:rPr>
          <w:sz w:val="20"/>
          <w:szCs w:val="20"/>
        </w:rPr>
      </w:pPr>
      <w:r>
        <w:rPr>
          <w:sz w:val="20"/>
          <w:szCs w:val="20"/>
        </w:rPr>
        <w:t>2.5.</w:t>
        <w:tab/>
        <w:t>Сумма, подлежащая уплате Заказчиком Подрядчиком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tabs>
          <w:tab w:val="clear" w:pos="708"/>
          <w:tab w:val="left" w:pos="1701" w:leader="none"/>
        </w:tabs>
        <w:ind w:firstLine="708"/>
        <w:jc w:val="both"/>
        <w:rPr>
          <w:sz w:val="20"/>
          <w:szCs w:val="20"/>
        </w:rPr>
      </w:pPr>
      <w:r>
        <w:rPr>
          <w:sz w:val="20"/>
          <w:szCs w:val="20"/>
        </w:rPr>
        <w:t>2.6.</w:t>
        <w:tab/>
        <w:t>В случае неисполнения Подрядчиком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Подрядчику за выполненные по Контракту Работы.</w:t>
      </w:r>
    </w:p>
    <w:p>
      <w:pPr>
        <w:pStyle w:val="Normal"/>
        <w:jc w:val="both"/>
        <w:rPr>
          <w:sz w:val="20"/>
          <w:szCs w:val="20"/>
        </w:rPr>
      </w:pPr>
      <w:r>
        <w:rPr>
          <w:sz w:val="20"/>
          <w:szCs w:val="20"/>
        </w:rPr>
      </w:r>
    </w:p>
    <w:p>
      <w:pPr>
        <w:pStyle w:val="Normal"/>
        <w:jc w:val="center"/>
        <w:rPr>
          <w:b/>
          <w:sz w:val="20"/>
          <w:szCs w:val="20"/>
        </w:rPr>
      </w:pPr>
      <w:r>
        <w:rPr>
          <w:b/>
          <w:sz w:val="20"/>
          <w:szCs w:val="20"/>
        </w:rPr>
        <w:t>3. ПОРЯДОК ВЫПОЛНЕНИЯ РАБОТ</w:t>
      </w:r>
    </w:p>
    <w:p>
      <w:pPr>
        <w:pStyle w:val="Normal"/>
        <w:tabs>
          <w:tab w:val="clear" w:pos="708"/>
          <w:tab w:val="left" w:pos="1701" w:leader="none"/>
        </w:tabs>
        <w:ind w:firstLine="708"/>
        <w:jc w:val="both"/>
        <w:rPr>
          <w:sz w:val="20"/>
          <w:szCs w:val="20"/>
        </w:rPr>
      </w:pPr>
      <w:r>
        <w:rPr>
          <w:sz w:val="20"/>
          <w:szCs w:val="20"/>
        </w:rPr>
        <w:t>3.1.</w:t>
        <w:tab/>
        <w:t>Подрядчик выполняет Работы своими силами. Привлечение третьих лиц по инициативе Подрядчика допускается только с предварительного письменного согласия Заказчика.</w:t>
      </w:r>
    </w:p>
    <w:p>
      <w:pPr>
        <w:pStyle w:val="Normal"/>
        <w:tabs>
          <w:tab w:val="clear" w:pos="708"/>
          <w:tab w:val="left" w:pos="1701" w:leader="none"/>
        </w:tabs>
        <w:ind w:firstLine="708"/>
        <w:jc w:val="both"/>
        <w:rPr>
          <w:b/>
          <w:sz w:val="20"/>
          <w:szCs w:val="20"/>
        </w:rPr>
      </w:pPr>
      <w:r>
        <w:rPr>
          <w:sz w:val="20"/>
          <w:szCs w:val="20"/>
        </w:rPr>
        <w:t>3.2.</w:t>
        <w:tab/>
        <w:t>Выполнение Работ осуществляется по месту нахождения Заказчика. Все транспортные расходы оплачиваются Подрядчиком.</w:t>
      </w:r>
    </w:p>
    <w:p>
      <w:pPr>
        <w:pStyle w:val="Normal"/>
        <w:tabs>
          <w:tab w:val="clear" w:pos="708"/>
          <w:tab w:val="left" w:pos="1701" w:leader="none"/>
        </w:tabs>
        <w:ind w:firstLine="708"/>
        <w:jc w:val="both"/>
        <w:rPr>
          <w:sz w:val="20"/>
          <w:szCs w:val="20"/>
        </w:rPr>
      </w:pPr>
      <w:r>
        <w:rPr>
          <w:sz w:val="20"/>
          <w:szCs w:val="20"/>
        </w:rPr>
        <w:t>3.3.</w:t>
        <w:tab/>
        <w:t>Срок выполнения Работ: в соответствии с техническим заданием (Приложение № 2).</w:t>
      </w:r>
    </w:p>
    <w:p>
      <w:pPr>
        <w:pStyle w:val="Normal"/>
        <w:tabs>
          <w:tab w:val="clear" w:pos="708"/>
          <w:tab w:val="left" w:pos="1701" w:leader="none"/>
        </w:tabs>
        <w:ind w:firstLine="708"/>
        <w:jc w:val="both"/>
        <w:rPr>
          <w:sz w:val="20"/>
          <w:szCs w:val="20"/>
        </w:rPr>
      </w:pPr>
      <w:r>
        <w:rPr>
          <w:sz w:val="20"/>
          <w:szCs w:val="20"/>
        </w:rPr>
      </w:r>
    </w:p>
    <w:p>
      <w:pPr>
        <w:pStyle w:val="Normal"/>
        <w:jc w:val="center"/>
        <w:rPr>
          <w:b/>
          <w:sz w:val="20"/>
          <w:szCs w:val="20"/>
        </w:rPr>
      </w:pPr>
      <w:r>
        <w:rPr>
          <w:b/>
          <w:sz w:val="20"/>
          <w:szCs w:val="20"/>
        </w:rPr>
        <w:t>4. ПОРЯДОК ПРИЕМКИ РАБОТ</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4.1.</w:t>
        <w:tab/>
        <w:t>Приемка Работ на соответствие их объема и качества требованиям, установленным в Контракте, производится Заказчиком по окончании выполнения Работ по Контракту.</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4.2.</w:t>
        <w:tab/>
        <w:t>После выполнения Работ, предусмотренных Контрактом, Подрядчик в течение 1 (одного) рабочего дня уведомляет Заказчика о факте окончания выполнения Работ и направляет в адрес Заказчика Акта сдачи-приемки выполненных Работ в 2 (двух) экземплярах, счет, счет-фактуру (при налогообложении НДС, со ссылкой на дату и номер Контракта)</w:t>
      </w:r>
      <w:r>
        <w:rPr>
          <w:rStyle w:val="FootnoteReference"/>
          <w:rFonts w:ascii="Times New Roman" w:hAnsi="Times New Roman"/>
        </w:rPr>
        <w:footnoteReference w:id="3"/>
      </w:r>
      <w:r>
        <w:rPr>
          <w:rFonts w:cs="Times New Roman" w:ascii="Times New Roman" w:hAnsi="Times New Roman"/>
        </w:rPr>
        <w:t>.</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4.3.</w:t>
        <w:tab/>
        <w:t xml:space="preserve">Не позднее 3 (трех) рабочих дней со дня окончания выполнения Работ и получения от Подрядчика документов, указанных в пункте 4.2 Контракта, Заказчик </w:t>
      </w:r>
      <w:r>
        <w:rPr>
          <w:rFonts w:eastAsia="Calibri" w:cs="Times New Roman" w:ascii="Times New Roman" w:hAnsi="Times New Roman"/>
        </w:rPr>
        <w:t xml:space="preserve">осуществляет проверку выполненных Подрядчиком Работ на предмет соответствия </w:t>
      </w:r>
      <w:r>
        <w:rPr>
          <w:rFonts w:cs="Times New Roman" w:ascii="Times New Roman" w:hAnsi="Times New Roman"/>
        </w:rPr>
        <w:t>объема и качества</w:t>
      </w:r>
      <w:r>
        <w:rPr>
          <w:rFonts w:eastAsia="Calibri" w:cs="Times New Roman" w:ascii="Times New Roman" w:hAnsi="Times New Roman"/>
        </w:rPr>
        <w:t xml:space="preserve"> выполненных Работ требованиям и условиям Контракта, принимает выполненные Работы, подписывает Акта сдачи-приемки выполненных Работ и передает 1 (один) экземпляр Подрядчику, или отказывает в приемке, направляя </w:t>
      </w:r>
      <w:r>
        <w:rPr>
          <w:rFonts w:cs="Times New Roman" w:ascii="Times New Roman" w:hAnsi="Times New Roman"/>
        </w:rPr>
        <w:t>на бумажном носителе или в форме электронного документа</w:t>
      </w:r>
      <w:r>
        <w:rPr>
          <w:rFonts w:eastAsia="Calibri" w:cs="Times New Roman" w:ascii="Times New Roman" w:hAnsi="Times New Roman"/>
        </w:rPr>
        <w:t xml:space="preserve"> мотивированный отказ от подписания Акта сдачи-приемки выполненных Работ (далее – Мотивированный отказ) с перечнем выявленных недостатков и с указанием сроков их устранения.</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Для проверки представленных Подрядчиком результатов выполненных Работ в части их соответствия условиям Контракта Заказчик проводит экспертизу. Экспертиза проводится уполномоченным представителем Заказчиком лично либо привлеченными им экспертами, экспертными организациями.</w:t>
      </w:r>
      <w:r>
        <w:rPr>
          <w:rFonts w:eastAsia="Calibri" w:cs="Times New Roman" w:ascii="Times New Roman" w:hAnsi="Times New Roman"/>
        </w:rPr>
        <w:t xml:space="preserve"> </w:t>
      </w:r>
      <w:r>
        <w:rPr>
          <w:rFonts w:cs="Times New Roman" w:ascii="Times New Roman" w:hAnsi="Times New Roman"/>
        </w:rPr>
        <w:t>В случае привлечения эксперта, либо экспертной организации срок приемки продлевается на срок проведения экспертизы.</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4.4.</w:t>
        <w:tab/>
        <w:t>В сроки, указанные Заказчиком в Мотивированном отказе, Подрядчик обязан за свой счет и своими силами устранить обнаруженные недостатки. В этом случае Акта сдачи-приемки выполненных Работ Заказчик подписывает в течение 3 (трех) рабочих дней после устранения Подрядчиком указанных недостатков. Если Подрядчик в установленный срок не устранит недостатки, Заказчик вправе отказаться от исполнения Контракта и предъявить Подрядчику требование о возмещении понесенных убытков.</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4.5.</w:t>
        <w:tab/>
      </w:r>
      <w:r>
        <w:rPr>
          <w:rFonts w:cs="Times New Roman" w:ascii="Times New Roman" w:hAnsi="Times New Roman"/>
          <w:color w:val="000000"/>
        </w:rPr>
        <w:t>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4.6.</w:t>
        <w:tab/>
        <w:t xml:space="preserve">Заказчик, обнаруживший после приёмки выполненных Работ отступления от Контракта или иные недостатки, которые не могли быть установлены при обычном способе приёмки выполненных Работ (скрытые недостатки), а также недостатки качества выполненных Работ, в том числе такие, которые были умышленно скрыты </w:t>
      </w:r>
      <w:r>
        <w:rPr>
          <w:rFonts w:eastAsia="Calibri" w:cs="Times New Roman" w:ascii="Times New Roman" w:hAnsi="Times New Roman"/>
          <w:lang w:eastAsia="en-US"/>
        </w:rPr>
        <w:t>Подрядчиком</w:t>
      </w:r>
      <w:r>
        <w:rPr>
          <w:rFonts w:cs="Times New Roman" w:ascii="Times New Roman" w:hAnsi="Times New Roman"/>
        </w:rPr>
        <w:t xml:space="preserve">, обязан известить об этом </w:t>
      </w:r>
      <w:r>
        <w:rPr>
          <w:rFonts w:eastAsia="Calibri" w:cs="Times New Roman" w:ascii="Times New Roman" w:hAnsi="Times New Roman"/>
          <w:lang w:eastAsia="en-US"/>
        </w:rPr>
        <w:t>Подрядчика</w:t>
      </w:r>
      <w:r>
        <w:rPr>
          <w:rFonts w:cs="Times New Roman" w:ascii="Times New Roman" w:hAnsi="Times New Roman"/>
        </w:rPr>
        <w:t xml:space="preserve"> не позднее, чем через 10 (десять) дней со дня их обнаружения. </w:t>
      </w:r>
      <w:r>
        <w:rPr>
          <w:rFonts w:eastAsia="Calibri" w:cs="Times New Roman" w:ascii="Times New Roman" w:hAnsi="Times New Roman"/>
          <w:lang w:eastAsia="en-US"/>
        </w:rPr>
        <w:t>Подрядчик</w:t>
      </w:r>
      <w:r>
        <w:rPr>
          <w:rFonts w:eastAsia="Calibri" w:cs="Times New Roman" w:ascii="Times New Roman" w:hAnsi="Times New Roman"/>
          <w:spacing w:val="3"/>
          <w:lang w:eastAsia="en-US" w:bidi="hi-IN"/>
        </w:rPr>
        <w:t xml:space="preserve"> обязан устранить обнаруженные недостатки за свой счет в сроки, согласованные Сторонами, но не позднее 10 (десяти) дней с даты уведомления Подрядчика об обнаружении Заказчиком недостатков выполненных Работ.</w:t>
      </w:r>
    </w:p>
    <w:p>
      <w:pPr>
        <w:pStyle w:val="Normal"/>
        <w:jc w:val="center"/>
        <w:rPr>
          <w:b/>
          <w:sz w:val="20"/>
          <w:szCs w:val="20"/>
        </w:rPr>
      </w:pPr>
      <w:r>
        <w:rPr>
          <w:b/>
          <w:sz w:val="20"/>
          <w:szCs w:val="20"/>
        </w:rPr>
        <w:t>5. ПРАВА И ОБЯЗАННОСТИ СТОРОН</w:t>
      </w:r>
    </w:p>
    <w:p>
      <w:pPr>
        <w:pStyle w:val="Normal"/>
        <w:tabs>
          <w:tab w:val="clear" w:pos="708"/>
          <w:tab w:val="left" w:pos="1701" w:leader="none"/>
        </w:tabs>
        <w:ind w:firstLine="708"/>
        <w:jc w:val="both"/>
        <w:rPr>
          <w:b/>
          <w:sz w:val="20"/>
          <w:szCs w:val="20"/>
        </w:rPr>
      </w:pPr>
      <w:r>
        <w:rPr>
          <w:b/>
          <w:sz w:val="20"/>
          <w:szCs w:val="20"/>
        </w:rPr>
        <w:t>5.1.</w:t>
        <w:tab/>
        <w:t>Подрядчик обязан:</w:t>
      </w:r>
    </w:p>
    <w:p>
      <w:pPr>
        <w:pStyle w:val="Normal"/>
        <w:tabs>
          <w:tab w:val="clear" w:pos="708"/>
          <w:tab w:val="left" w:pos="1701" w:leader="none"/>
        </w:tabs>
        <w:ind w:firstLine="708"/>
        <w:jc w:val="both"/>
        <w:rPr>
          <w:sz w:val="20"/>
          <w:szCs w:val="20"/>
        </w:rPr>
      </w:pPr>
      <w:r>
        <w:rPr>
          <w:sz w:val="20"/>
          <w:szCs w:val="20"/>
        </w:rPr>
        <w:t>5.1.1.</w:t>
        <w:tab/>
        <w:t>Выполнить Работы в порядке и сроки, указанные в Контракте, и в полном объеме, в соответствии с условиями Контракта, обеспечив надлежащее качество в соответствии с требованиями действующего законодательства Российской Федерации;</w:t>
      </w:r>
    </w:p>
    <w:p>
      <w:pPr>
        <w:pStyle w:val="Normal"/>
        <w:tabs>
          <w:tab w:val="clear" w:pos="708"/>
          <w:tab w:val="left" w:pos="1701" w:leader="none"/>
        </w:tabs>
        <w:ind w:firstLine="708"/>
        <w:jc w:val="both"/>
        <w:rPr>
          <w:sz w:val="20"/>
          <w:szCs w:val="20"/>
        </w:rPr>
      </w:pPr>
      <w:r>
        <w:rPr>
          <w:sz w:val="20"/>
          <w:szCs w:val="20"/>
        </w:rPr>
        <w:t>5.1.2.</w:t>
        <w:tab/>
        <w:t>В течение 1 (одного) рабочего дня с даты заключения Контракта назначить уполномоченного представителя Подрядчика, который несет ответственность за выполнение Работ, для взаимодействия в рамках исполнения Контракта и предоставить Заказчику информацию об уполномоченном представителе Подрядчика (фамилия, имя, отчество, должность, контактный телефон, адрес электронной почты, полный объем представленных ему полномочий);</w:t>
      </w:r>
    </w:p>
    <w:p>
      <w:pPr>
        <w:pStyle w:val="Normal"/>
        <w:tabs>
          <w:tab w:val="clear" w:pos="708"/>
          <w:tab w:val="left" w:pos="1701" w:leader="none"/>
        </w:tabs>
        <w:ind w:firstLine="708"/>
        <w:jc w:val="both"/>
        <w:rPr>
          <w:sz w:val="20"/>
          <w:szCs w:val="20"/>
        </w:rPr>
      </w:pPr>
      <w:r>
        <w:rPr>
          <w:sz w:val="20"/>
          <w:szCs w:val="20"/>
        </w:rPr>
        <w:t>5.1.3.</w:t>
        <w:tab/>
        <w:t>При необходимости инструктировать сотрудников Заказчика по правилам эксплуатации оборудования;</w:t>
      </w:r>
    </w:p>
    <w:p>
      <w:pPr>
        <w:pStyle w:val="Normal"/>
        <w:tabs>
          <w:tab w:val="clear" w:pos="708"/>
          <w:tab w:val="left" w:pos="1701" w:leader="none"/>
        </w:tabs>
        <w:ind w:firstLine="708"/>
        <w:jc w:val="both"/>
        <w:rPr>
          <w:sz w:val="20"/>
          <w:szCs w:val="20"/>
        </w:rPr>
      </w:pPr>
      <w:r>
        <w:rPr>
          <w:sz w:val="20"/>
          <w:szCs w:val="20"/>
        </w:rPr>
        <w:t>5.1.4.</w:t>
        <w:tab/>
        <w:t>В срок, установленный в письменном запросе Заказчика, предоставлять информацию о ходе исполнения принятых на себя обязательств;</w:t>
      </w:r>
    </w:p>
    <w:p>
      <w:pPr>
        <w:pStyle w:val="Normal"/>
        <w:tabs>
          <w:tab w:val="clear" w:pos="708"/>
          <w:tab w:val="left" w:pos="1701" w:leader="none"/>
        </w:tabs>
        <w:ind w:firstLine="708"/>
        <w:jc w:val="both"/>
        <w:rPr>
          <w:sz w:val="20"/>
          <w:szCs w:val="20"/>
        </w:rPr>
      </w:pPr>
      <w:r>
        <w:rPr>
          <w:sz w:val="20"/>
          <w:szCs w:val="20"/>
        </w:rPr>
        <w:t>5.1.5.</w:t>
        <w:tab/>
        <w:t>Сдать Заказчику результаты выполненных Работ в порядке и сроки, предусмотренные Контрактом;</w:t>
      </w:r>
    </w:p>
    <w:p>
      <w:pPr>
        <w:pStyle w:val="Normal"/>
        <w:tabs>
          <w:tab w:val="clear" w:pos="708"/>
          <w:tab w:val="left" w:pos="1701" w:leader="none"/>
        </w:tabs>
        <w:ind w:firstLine="708"/>
        <w:jc w:val="both"/>
        <w:rPr>
          <w:sz w:val="20"/>
          <w:szCs w:val="20"/>
        </w:rPr>
      </w:pPr>
      <w:r>
        <w:rPr>
          <w:sz w:val="20"/>
          <w:szCs w:val="20"/>
        </w:rPr>
        <w:t>5.1.6.</w:t>
        <w:tab/>
        <w:t>Передать Заказчику в срок, установленный в Контракте, надлежащим образом оформленные документы, подтверждающие выполнение Работ, в соответствии с пунктом 4.2 Контракта;</w:t>
      </w:r>
    </w:p>
    <w:p>
      <w:pPr>
        <w:pStyle w:val="Normal"/>
        <w:tabs>
          <w:tab w:val="clear" w:pos="708"/>
          <w:tab w:val="left" w:pos="1701" w:leader="none"/>
        </w:tabs>
        <w:ind w:firstLine="708"/>
        <w:jc w:val="both"/>
        <w:rPr>
          <w:sz w:val="20"/>
          <w:szCs w:val="20"/>
        </w:rPr>
      </w:pPr>
      <w:r>
        <w:rPr>
          <w:sz w:val="20"/>
          <w:szCs w:val="20"/>
        </w:rPr>
        <w:t>5.1.7.</w:t>
        <w:tab/>
        <w:t>Устранять за свой счет все недостатки Работ, выявленные в процессе приемке выполненных Работ;</w:t>
      </w:r>
    </w:p>
    <w:p>
      <w:pPr>
        <w:pStyle w:val="Normal"/>
        <w:tabs>
          <w:tab w:val="clear" w:pos="708"/>
          <w:tab w:val="left" w:pos="1701" w:leader="none"/>
        </w:tabs>
        <w:ind w:firstLine="708"/>
        <w:jc w:val="both"/>
        <w:rPr>
          <w:sz w:val="20"/>
          <w:szCs w:val="20"/>
        </w:rPr>
      </w:pPr>
      <w:r>
        <w:rPr>
          <w:sz w:val="20"/>
          <w:szCs w:val="20"/>
        </w:rPr>
        <w:t>5.1.8.</w:t>
        <w:tab/>
        <w:t>Приостановить выполнение Работ в случае обнаружения не зависящих от Подрядчика обстоятельств, которые могут выполнить негативное влияние на качество результатов выполняемых Работ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выполнения Работ;</w:t>
      </w:r>
    </w:p>
    <w:p>
      <w:pPr>
        <w:pStyle w:val="Normal"/>
        <w:tabs>
          <w:tab w:val="clear" w:pos="708"/>
          <w:tab w:val="left" w:pos="1701" w:leader="none"/>
        </w:tabs>
        <w:ind w:firstLine="708"/>
        <w:jc w:val="both"/>
        <w:rPr>
          <w:sz w:val="20"/>
          <w:szCs w:val="20"/>
        </w:rPr>
      </w:pPr>
      <w:r>
        <w:rPr>
          <w:sz w:val="20"/>
          <w:szCs w:val="20"/>
        </w:rPr>
        <w:t>5.1.9.</w:t>
        <w:tab/>
        <w:t>Исполнять иные обязанности, предусмотренные действующим законодательством Российской Федерации и Контрактом.</w:t>
      </w:r>
    </w:p>
    <w:p>
      <w:pPr>
        <w:pStyle w:val="Normal"/>
        <w:tabs>
          <w:tab w:val="clear" w:pos="708"/>
          <w:tab w:val="left" w:pos="1701" w:leader="none"/>
        </w:tabs>
        <w:ind w:firstLine="708"/>
        <w:jc w:val="both"/>
        <w:rPr>
          <w:sz w:val="20"/>
          <w:szCs w:val="20"/>
        </w:rPr>
      </w:pPr>
      <w:r>
        <w:rPr>
          <w:b/>
          <w:sz w:val="20"/>
          <w:szCs w:val="20"/>
        </w:rPr>
        <w:t>5.2.</w:t>
        <w:tab/>
        <w:t>Подрядчик вправе:</w:t>
      </w:r>
    </w:p>
    <w:p>
      <w:pPr>
        <w:pStyle w:val="Normal"/>
        <w:tabs>
          <w:tab w:val="clear" w:pos="708"/>
          <w:tab w:val="left" w:pos="1701" w:leader="none"/>
        </w:tabs>
        <w:ind w:firstLine="708"/>
        <w:jc w:val="both"/>
        <w:rPr>
          <w:sz w:val="20"/>
          <w:szCs w:val="20"/>
        </w:rPr>
      </w:pPr>
      <w:r>
        <w:rPr>
          <w:sz w:val="20"/>
          <w:szCs w:val="20"/>
        </w:rPr>
        <w:t>5.2.1.</w:t>
        <w:tab/>
        <w:t>Требовать от Заказчика произвести приемку и оплату Работ в порядке и в сроки, предусмотренные Контрактом;</w:t>
      </w:r>
    </w:p>
    <w:p>
      <w:pPr>
        <w:pStyle w:val="Normal"/>
        <w:tabs>
          <w:tab w:val="clear" w:pos="708"/>
          <w:tab w:val="left" w:pos="1701" w:leader="none"/>
        </w:tabs>
        <w:ind w:firstLine="708"/>
        <w:jc w:val="both"/>
        <w:rPr>
          <w:sz w:val="20"/>
          <w:szCs w:val="20"/>
        </w:rPr>
      </w:pPr>
      <w:r>
        <w:rPr>
          <w:sz w:val="20"/>
          <w:szCs w:val="20"/>
        </w:rPr>
        <w:t>5.2.2.</w:t>
        <w:tab/>
      </w:r>
      <w:r>
        <w:rPr>
          <w:bCs/>
          <w:sz w:val="20"/>
          <w:szCs w:val="20"/>
        </w:rPr>
        <w:t>Письменно з</w:t>
      </w:r>
      <w:r>
        <w:rPr>
          <w:sz w:val="20"/>
          <w:szCs w:val="20"/>
        </w:rPr>
        <w:t>апрашивать и получать от Заказчика необходимую для выполнения Работ информацию, разъяснения и уточнения;</w:t>
      </w:r>
    </w:p>
    <w:p>
      <w:pPr>
        <w:pStyle w:val="Normal"/>
        <w:tabs>
          <w:tab w:val="clear" w:pos="708"/>
          <w:tab w:val="left" w:pos="1701" w:leader="none"/>
        </w:tabs>
        <w:ind w:firstLine="708"/>
        <w:jc w:val="both"/>
        <w:rPr>
          <w:sz w:val="20"/>
          <w:szCs w:val="20"/>
        </w:rPr>
      </w:pPr>
      <w:r>
        <w:rPr>
          <w:sz w:val="20"/>
          <w:szCs w:val="20"/>
        </w:rPr>
        <w:t>5.2.3.</w:t>
        <w:tab/>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tabs>
          <w:tab w:val="clear" w:pos="708"/>
          <w:tab w:val="left" w:pos="1701" w:leader="none"/>
        </w:tabs>
        <w:ind w:firstLine="708"/>
        <w:jc w:val="both"/>
        <w:rPr>
          <w:sz w:val="20"/>
          <w:szCs w:val="20"/>
        </w:rPr>
      </w:pPr>
      <w:r>
        <w:rPr>
          <w:sz w:val="20"/>
          <w:szCs w:val="20"/>
        </w:rPr>
        <w:t>5.2.4.</w:t>
        <w:tab/>
        <w:t>Пользоваться иными правами, предусмотренными Контрактом и действующим законодательством Российской Федерации.</w:t>
      </w:r>
    </w:p>
    <w:p>
      <w:pPr>
        <w:pStyle w:val="Normal"/>
        <w:tabs>
          <w:tab w:val="clear" w:pos="708"/>
          <w:tab w:val="left" w:pos="1701" w:leader="none"/>
        </w:tabs>
        <w:ind w:firstLine="708"/>
        <w:jc w:val="both"/>
        <w:rPr>
          <w:b/>
          <w:sz w:val="20"/>
          <w:szCs w:val="20"/>
        </w:rPr>
      </w:pPr>
      <w:bookmarkStart w:id="0" w:name="_Toc411936894"/>
      <w:bookmarkStart w:id="1" w:name="_Toc415650901"/>
      <w:bookmarkStart w:id="2" w:name="_Toc416258149"/>
      <w:r>
        <w:rPr>
          <w:b/>
          <w:sz w:val="20"/>
          <w:szCs w:val="20"/>
        </w:rPr>
        <w:t>5.3.</w:t>
        <w:tab/>
        <w:t>Заказчик обязан:</w:t>
      </w:r>
      <w:bookmarkEnd w:id="0"/>
      <w:bookmarkEnd w:id="1"/>
      <w:bookmarkEnd w:id="2"/>
    </w:p>
    <w:p>
      <w:pPr>
        <w:pStyle w:val="Normal"/>
        <w:tabs>
          <w:tab w:val="clear" w:pos="708"/>
          <w:tab w:val="left" w:pos="1701" w:leader="none"/>
        </w:tabs>
        <w:ind w:firstLine="708"/>
        <w:jc w:val="both"/>
        <w:rPr>
          <w:sz w:val="20"/>
          <w:szCs w:val="20"/>
        </w:rPr>
      </w:pPr>
      <w:r>
        <w:rPr>
          <w:sz w:val="20"/>
          <w:szCs w:val="20"/>
        </w:rPr>
        <w:t>5.3.1.</w:t>
        <w:tab/>
        <w:t>Содействовать Подрядчику при выполнении Работ;</w:t>
      </w:r>
    </w:p>
    <w:p>
      <w:pPr>
        <w:pStyle w:val="Normal"/>
        <w:tabs>
          <w:tab w:val="clear" w:pos="708"/>
          <w:tab w:val="left" w:pos="1701" w:leader="none"/>
        </w:tabs>
        <w:ind w:firstLine="708"/>
        <w:jc w:val="both"/>
        <w:rPr>
          <w:sz w:val="20"/>
          <w:szCs w:val="20"/>
        </w:rPr>
      </w:pPr>
      <w:r>
        <w:rPr>
          <w:sz w:val="20"/>
          <w:szCs w:val="20"/>
        </w:rPr>
        <w:t>5.3.2.</w:t>
        <w:tab/>
        <w:t>Принять у Подрядчика результат выполнения Работ в порядке и сроки, предусмотренные Контрактом;</w:t>
      </w:r>
    </w:p>
    <w:p>
      <w:pPr>
        <w:pStyle w:val="Normal"/>
        <w:tabs>
          <w:tab w:val="clear" w:pos="708"/>
          <w:tab w:val="left" w:pos="1701" w:leader="none"/>
        </w:tabs>
        <w:ind w:firstLine="708"/>
        <w:jc w:val="both"/>
        <w:rPr>
          <w:sz w:val="20"/>
          <w:szCs w:val="20"/>
        </w:rPr>
      </w:pPr>
      <w:r>
        <w:rPr>
          <w:sz w:val="20"/>
          <w:szCs w:val="20"/>
        </w:rPr>
        <w:t>5.3.3.</w:t>
        <w:tab/>
        <w:t>Произвести оплату Работ в порядке и в сроки, предусмотренные разделом 2 Контракта;</w:t>
      </w:r>
    </w:p>
    <w:p>
      <w:pPr>
        <w:pStyle w:val="Normal"/>
        <w:tabs>
          <w:tab w:val="clear" w:pos="708"/>
          <w:tab w:val="left" w:pos="1701" w:leader="none"/>
        </w:tabs>
        <w:ind w:firstLine="708"/>
        <w:jc w:val="both"/>
        <w:rPr>
          <w:sz w:val="20"/>
          <w:szCs w:val="20"/>
        </w:rPr>
      </w:pPr>
      <w:r>
        <w:rPr>
          <w:sz w:val="20"/>
          <w:szCs w:val="20"/>
        </w:rPr>
        <w:t>5.3.4.</w:t>
        <w:tab/>
        <w:t>Исполнять иные обязанности, предусмотренные действующим законодательством Российской Федерации и Контрактом.</w:t>
      </w:r>
    </w:p>
    <w:p>
      <w:pPr>
        <w:pStyle w:val="Normal"/>
        <w:tabs>
          <w:tab w:val="clear" w:pos="708"/>
          <w:tab w:val="left" w:pos="1701" w:leader="none"/>
        </w:tabs>
        <w:ind w:firstLine="708"/>
        <w:jc w:val="both"/>
        <w:rPr>
          <w:sz w:val="20"/>
          <w:szCs w:val="20"/>
        </w:rPr>
      </w:pPr>
      <w:r>
        <w:rPr>
          <w:b/>
          <w:sz w:val="20"/>
          <w:szCs w:val="20"/>
        </w:rPr>
        <w:t>5.4.</w:t>
        <w:tab/>
        <w:t>Заказчик вправе:</w:t>
      </w:r>
    </w:p>
    <w:p>
      <w:pPr>
        <w:pStyle w:val="Normal"/>
        <w:numPr>
          <w:ilvl w:val="2"/>
          <w:numId w:val="1"/>
        </w:numPr>
        <w:tabs>
          <w:tab w:val="clear" w:pos="708"/>
          <w:tab w:val="left" w:pos="1701" w:leader="none"/>
        </w:tabs>
        <w:ind w:firstLine="709" w:left="0"/>
        <w:jc w:val="both"/>
        <w:rPr>
          <w:sz w:val="20"/>
          <w:szCs w:val="20"/>
        </w:rPr>
      </w:pPr>
      <w:r>
        <w:rPr>
          <w:sz w:val="20"/>
          <w:szCs w:val="20"/>
        </w:rPr>
        <w:t>Требовать от Подрядчика полного и своевременного исполнения обязательств по Контракту;</w:t>
      </w:r>
    </w:p>
    <w:p>
      <w:pPr>
        <w:pStyle w:val="Normal"/>
        <w:numPr>
          <w:ilvl w:val="2"/>
          <w:numId w:val="1"/>
        </w:numPr>
        <w:tabs>
          <w:tab w:val="clear" w:pos="708"/>
          <w:tab w:val="left" w:pos="1701" w:leader="none"/>
        </w:tabs>
        <w:ind w:firstLine="709" w:left="0"/>
        <w:jc w:val="both"/>
        <w:rPr>
          <w:sz w:val="20"/>
          <w:szCs w:val="20"/>
        </w:rPr>
      </w:pPr>
      <w:r>
        <w:rPr>
          <w:sz w:val="20"/>
          <w:szCs w:val="20"/>
        </w:rPr>
        <w:t>Требовать от Подрядчика предоставления в установленные Контрактом сроки надлежащим образом оформленной отчетной документации, подтверждающей исполнение обязательств по Контракту, в соответствии с условиями Контракта;</w:t>
      </w:r>
    </w:p>
    <w:p>
      <w:pPr>
        <w:pStyle w:val="Normal"/>
        <w:numPr>
          <w:ilvl w:val="2"/>
          <w:numId w:val="1"/>
        </w:numPr>
        <w:tabs>
          <w:tab w:val="clear" w:pos="708"/>
          <w:tab w:val="left" w:pos="1701" w:leader="none"/>
        </w:tabs>
        <w:ind w:firstLine="709" w:left="0"/>
        <w:jc w:val="both"/>
        <w:rPr>
          <w:sz w:val="20"/>
          <w:szCs w:val="20"/>
        </w:rPr>
      </w:pPr>
      <w:r>
        <w:rPr>
          <w:sz w:val="20"/>
          <w:szCs w:val="20"/>
        </w:rPr>
        <w:t>Отказаться от приемки и оплаты Работ, не соответствующих условиям Контракта;</w:t>
      </w:r>
    </w:p>
    <w:p>
      <w:pPr>
        <w:pStyle w:val="Normal"/>
        <w:numPr>
          <w:ilvl w:val="2"/>
          <w:numId w:val="1"/>
        </w:numPr>
        <w:tabs>
          <w:tab w:val="clear" w:pos="708"/>
          <w:tab w:val="left" w:pos="1701" w:leader="none"/>
        </w:tabs>
        <w:ind w:firstLine="709" w:left="0"/>
        <w:jc w:val="both"/>
        <w:rPr>
          <w:sz w:val="20"/>
          <w:szCs w:val="20"/>
        </w:rPr>
      </w:pPr>
      <w:r>
        <w:rPr>
          <w:bCs/>
          <w:iCs/>
          <w:sz w:val="20"/>
          <w:szCs w:val="20"/>
        </w:rPr>
        <w:t>В любое время осуществлять контроль объема и качества выполняемых Работ, соблюдения сроков их выполнения, не вмешиваясь при этом в оперативно-хозяйственную деятельность Подрядчика;</w:t>
      </w:r>
    </w:p>
    <w:p>
      <w:pPr>
        <w:pStyle w:val="Normal"/>
        <w:numPr>
          <w:ilvl w:val="2"/>
          <w:numId w:val="1"/>
        </w:numPr>
        <w:tabs>
          <w:tab w:val="clear" w:pos="708"/>
          <w:tab w:val="left" w:pos="1701" w:leader="none"/>
        </w:tabs>
        <w:ind w:firstLine="709" w:left="0"/>
        <w:jc w:val="both"/>
        <w:rPr>
          <w:sz w:val="20"/>
          <w:szCs w:val="20"/>
        </w:rPr>
      </w:pPr>
      <w:r>
        <w:rPr>
          <w:sz w:val="20"/>
          <w:szCs w:val="20"/>
        </w:rPr>
        <w:t>Письменно запрашивать у Подрядчика информацию о ходе выполнения Работ;</w:t>
      </w:r>
    </w:p>
    <w:p>
      <w:pPr>
        <w:pStyle w:val="Normal"/>
        <w:numPr>
          <w:ilvl w:val="2"/>
          <w:numId w:val="1"/>
        </w:numPr>
        <w:tabs>
          <w:tab w:val="clear" w:pos="708"/>
          <w:tab w:val="left" w:pos="1701" w:leader="none"/>
        </w:tabs>
        <w:ind w:firstLine="709" w:left="0"/>
        <w:jc w:val="both"/>
        <w:rPr>
          <w:sz w:val="20"/>
          <w:szCs w:val="20"/>
        </w:rPr>
      </w:pPr>
      <w:r>
        <w:rPr>
          <w:sz w:val="20"/>
          <w:szCs w:val="20"/>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numPr>
          <w:ilvl w:val="2"/>
          <w:numId w:val="1"/>
        </w:numPr>
        <w:tabs>
          <w:tab w:val="clear" w:pos="708"/>
          <w:tab w:val="left" w:pos="1701" w:leader="none"/>
        </w:tabs>
        <w:ind w:firstLine="709" w:left="0"/>
        <w:jc w:val="both"/>
        <w:rPr>
          <w:sz w:val="20"/>
          <w:szCs w:val="20"/>
        </w:rPr>
      </w:pPr>
      <w:r>
        <w:rPr>
          <w:sz w:val="20"/>
          <w:szCs w:val="20"/>
        </w:rPr>
        <w:t>Пользоваться иными правами, предусмотренными Контрактом и действующим законодательством Российской Федерации.</w:t>
      </w:r>
    </w:p>
    <w:p>
      <w:pPr>
        <w:pStyle w:val="Normal"/>
        <w:tabs>
          <w:tab w:val="clear" w:pos="708"/>
          <w:tab w:val="left" w:pos="1701" w:leader="none"/>
        </w:tabs>
        <w:ind w:firstLine="708"/>
        <w:jc w:val="both"/>
        <w:rPr>
          <w:b/>
          <w:sz w:val="20"/>
          <w:szCs w:val="20"/>
        </w:rPr>
      </w:pPr>
      <w:r>
        <w:rPr>
          <w:b/>
          <w:sz w:val="20"/>
          <w:szCs w:val="20"/>
        </w:rPr>
        <w:t>5.5.</w:t>
        <w:tab/>
        <w:t>Подрядчик гарантирует, что на момент заключения Контракта:</w:t>
      </w:r>
    </w:p>
    <w:p>
      <w:pPr>
        <w:pStyle w:val="Normal"/>
        <w:tabs>
          <w:tab w:val="clear" w:pos="708"/>
          <w:tab w:val="left" w:pos="1701" w:leader="none"/>
        </w:tabs>
        <w:ind w:firstLine="708"/>
        <w:jc w:val="both"/>
        <w:rPr>
          <w:sz w:val="20"/>
          <w:szCs w:val="20"/>
        </w:rPr>
      </w:pPr>
      <w:r>
        <w:rPr>
          <w:sz w:val="20"/>
          <w:szCs w:val="20"/>
        </w:rPr>
        <w:t>5.5.1.</w:t>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pPr>
        <w:pStyle w:val="Normal"/>
        <w:tabs>
          <w:tab w:val="clear" w:pos="708"/>
          <w:tab w:val="left" w:pos="1701" w:leader="none"/>
        </w:tabs>
        <w:ind w:firstLine="708"/>
        <w:jc w:val="both"/>
        <w:rPr>
          <w:sz w:val="20"/>
          <w:szCs w:val="20"/>
        </w:rPr>
      </w:pPr>
      <w:r>
        <w:rPr>
          <w:sz w:val="20"/>
          <w:szCs w:val="20"/>
        </w:rPr>
        <w:t>5.5.2.</w:t>
        <w:tab/>
        <w:t>Не обременен обязательствами имущественного характера, способными помешать исполнению обязательств по Контракту.</w:t>
      </w:r>
    </w:p>
    <w:p>
      <w:pPr>
        <w:pStyle w:val="Normal"/>
        <w:tabs>
          <w:tab w:val="clear" w:pos="708"/>
          <w:tab w:val="left" w:pos="1701" w:leader="none"/>
        </w:tabs>
        <w:ind w:firstLine="708"/>
        <w:jc w:val="both"/>
        <w:rPr>
          <w:sz w:val="20"/>
          <w:szCs w:val="20"/>
        </w:rPr>
      </w:pPr>
      <w:r>
        <w:rPr>
          <w:sz w:val="20"/>
          <w:szCs w:val="20"/>
        </w:rPr>
        <w:t>5.5.3.</w:t>
        <w:tab/>
        <w:t xml:space="preserve">За последние два года не нарушал контрактных (договорных) обязательств </w:t>
        <w:br/>
        <w:t>и не причинял ущерба (либо погасил причиненный ущерб) по аналогичным контрактам (договорам).</w:t>
      </w:r>
    </w:p>
    <w:p>
      <w:pPr>
        <w:pStyle w:val="Normal"/>
        <w:tabs>
          <w:tab w:val="clear" w:pos="708"/>
          <w:tab w:val="left" w:pos="1701" w:leader="none"/>
        </w:tabs>
        <w:ind w:firstLine="708"/>
        <w:jc w:val="both"/>
        <w:rPr>
          <w:sz w:val="20"/>
          <w:szCs w:val="20"/>
        </w:rPr>
      </w:pPr>
      <w:r>
        <w:rPr>
          <w:sz w:val="20"/>
          <w:szCs w:val="20"/>
        </w:rPr>
        <w:t>5.5.4.</w:t>
        <w:tab/>
        <w:t>В отношении Подрядчика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Выполнением работы,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jc w:val="both"/>
        <w:rPr>
          <w:sz w:val="20"/>
          <w:szCs w:val="20"/>
        </w:rPr>
      </w:pPr>
      <w:r>
        <w:rPr>
          <w:sz w:val="20"/>
          <w:szCs w:val="20"/>
        </w:rPr>
      </w:r>
    </w:p>
    <w:p>
      <w:pPr>
        <w:pStyle w:val="ListParagraph"/>
        <w:numPr>
          <w:ilvl w:val="0"/>
          <w:numId w:val="1"/>
        </w:numPr>
        <w:jc w:val="center"/>
        <w:rPr>
          <w:b/>
          <w:sz w:val="20"/>
          <w:szCs w:val="20"/>
        </w:rPr>
      </w:pPr>
      <w:r>
        <w:rPr>
          <w:b/>
          <w:sz w:val="20"/>
          <w:szCs w:val="20"/>
        </w:rPr>
        <w:t>ГАРАНТИИ</w:t>
      </w:r>
    </w:p>
    <w:p>
      <w:pPr>
        <w:pStyle w:val="Normal"/>
        <w:tabs>
          <w:tab w:val="clear" w:pos="708"/>
          <w:tab w:val="left" w:pos="1701" w:leader="none"/>
        </w:tabs>
        <w:ind w:firstLine="709"/>
        <w:jc w:val="both"/>
        <w:rPr>
          <w:sz w:val="20"/>
          <w:szCs w:val="20"/>
        </w:rPr>
      </w:pPr>
      <w:r>
        <w:rPr>
          <w:sz w:val="20"/>
          <w:szCs w:val="20"/>
        </w:rPr>
        <w:t>6.1. Срок гарантии качества выполненных работ, а также на установленные запасные части составляет 3 (три) месяца с момента подписания акта сдачи-приемки выполненных Работ.</w:t>
      </w:r>
    </w:p>
    <w:p>
      <w:pPr>
        <w:pStyle w:val="Normal"/>
        <w:jc w:val="both"/>
        <w:rPr>
          <w:sz w:val="20"/>
          <w:szCs w:val="20"/>
        </w:rPr>
      </w:pPr>
      <w:r>
        <w:rPr>
          <w:sz w:val="20"/>
          <w:szCs w:val="20"/>
        </w:rPr>
        <w:tab/>
        <w:t xml:space="preserve">6.2. В случае нарушения работоспособности оборудования вследствие выполнения Работ ненадлежащего качества, Подрядчик обязан устранить соответствующие неполадки и дефекты за свой счет в срок, согласованный с Заказчиком, с момента получения претензии (срок определяется в зависимости от вида необходимых работ, но не может превышать срок, установленный для ремонта, установленный Техническим заданием). При этом, гарантийный срок продлевается на период времени, в течение которого оборудование не использовалось из-за обнаружения дефектов. </w:t>
      </w:r>
    </w:p>
    <w:p>
      <w:pPr>
        <w:sectPr>
          <w:footnotePr>
            <w:numFmt w:val="decimal"/>
          </w:footnotePr>
          <w:type w:val="nextPage"/>
          <w:pgSz w:w="11906" w:h="16838"/>
          <w:pgMar w:left="993" w:right="707" w:gutter="0" w:header="0" w:top="709" w:footer="0" w:bottom="1134"/>
          <w:pgNumType w:fmt="decimal"/>
          <w:formProt w:val="false"/>
          <w:textDirection w:val="lrTb"/>
          <w:docGrid w:type="default" w:linePitch="312" w:charSpace="0"/>
        </w:sectPr>
      </w:pPr>
    </w:p>
    <w:p>
      <w:pPr>
        <w:pStyle w:val="Normal"/>
        <w:tabs>
          <w:tab w:val="clear" w:pos="708"/>
          <w:tab w:val="left" w:pos="1701" w:leader="none"/>
        </w:tabs>
        <w:jc w:val="both"/>
        <w:rPr>
          <w:sz w:val="20"/>
          <w:szCs w:val="20"/>
        </w:rPr>
      </w:pPr>
      <w:r>
        <w:rPr>
          <w:sz w:val="20"/>
          <w:szCs w:val="20"/>
        </w:rPr>
      </w:r>
    </w:p>
    <w:p>
      <w:pPr>
        <w:pStyle w:val="ListParagraph"/>
        <w:numPr>
          <w:ilvl w:val="0"/>
          <w:numId w:val="1"/>
        </w:numPr>
        <w:jc w:val="center"/>
        <w:rPr>
          <w:b/>
          <w:sz w:val="20"/>
          <w:szCs w:val="20"/>
        </w:rPr>
      </w:pPr>
      <w:r>
        <w:rPr>
          <w:b/>
          <w:sz w:val="20"/>
          <w:szCs w:val="20"/>
        </w:rPr>
        <w:t>ОТВЕТСТВЕННОСТЬ СТОРОН</w:t>
      </w:r>
    </w:p>
    <w:p>
      <w:pPr>
        <w:pStyle w:val="Normal"/>
        <w:tabs>
          <w:tab w:val="clear" w:pos="708"/>
          <w:tab w:val="left" w:pos="1701" w:leader="none"/>
        </w:tabs>
        <w:ind w:firstLine="708"/>
        <w:jc w:val="both"/>
        <w:rPr>
          <w:sz w:val="20"/>
          <w:szCs w:val="20"/>
        </w:rPr>
      </w:pPr>
      <w:r>
        <w:rPr>
          <w:sz w:val="20"/>
          <w:szCs w:val="20"/>
        </w:rPr>
        <w:t>7.1.</w:t>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Normal"/>
        <w:tabs>
          <w:tab w:val="clear" w:pos="708"/>
          <w:tab w:val="left" w:pos="1701" w:leader="none"/>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Подрядчиком) обязательств, предусмотренных контрактом (за исключением просрочки исполнения обязательств заказчиком, поставщиком (подрядчиком, Подрядчиком), утвержденными Постановлением Правительства РФ от 30.08.2017 № 1042 (далее – Правила).</w:t>
      </w:r>
    </w:p>
    <w:p>
      <w:pPr>
        <w:pStyle w:val="Normal"/>
        <w:tabs>
          <w:tab w:val="clear" w:pos="708"/>
          <w:tab w:val="left" w:pos="1701" w:leader="none"/>
        </w:tabs>
        <w:ind w:firstLine="708"/>
        <w:jc w:val="both"/>
        <w:rPr>
          <w:sz w:val="20"/>
          <w:szCs w:val="20"/>
        </w:rPr>
      </w:pPr>
      <w:r>
        <w:rPr>
          <w:sz w:val="20"/>
          <w:szCs w:val="20"/>
        </w:rPr>
        <w:t>7.2.</w:t>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pPr>
        <w:pStyle w:val="Normal"/>
        <w:tabs>
          <w:tab w:val="clear" w:pos="708"/>
          <w:tab w:val="left" w:pos="1701" w:leader="none"/>
        </w:tabs>
        <w:ind w:firstLine="708"/>
        <w:jc w:val="both"/>
        <w:rPr>
          <w:sz w:val="20"/>
          <w:szCs w:val="20"/>
        </w:rPr>
      </w:pPr>
      <w:r>
        <w:rPr>
          <w:sz w:val="20"/>
          <w:szCs w:val="20"/>
        </w:rPr>
        <w:t>а)</w:t>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tabs>
          <w:tab w:val="clear" w:pos="708"/>
          <w:tab w:val="left" w:pos="1701" w:leader="none"/>
        </w:tabs>
        <w:ind w:firstLine="708"/>
        <w:jc w:val="both"/>
        <w:rPr>
          <w:color w:val="000000"/>
          <w:sz w:val="20"/>
          <w:szCs w:val="20"/>
        </w:rPr>
      </w:pPr>
      <w:r>
        <w:rPr>
          <w:sz w:val="20"/>
          <w:szCs w:val="20"/>
        </w:rPr>
        <w:t>б)</w:t>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widowControl w:val="false"/>
        <w:tabs>
          <w:tab w:val="clear" w:pos="708"/>
          <w:tab w:val="left" w:pos="1701" w:leader="none"/>
        </w:tabs>
        <w:ind w:firstLine="709"/>
        <w:jc w:val="both"/>
        <w:rPr>
          <w:color w:val="000000"/>
          <w:sz w:val="20"/>
          <w:szCs w:val="20"/>
        </w:rPr>
      </w:pPr>
      <w:r>
        <w:rPr>
          <w:color w:val="000000"/>
          <w:sz w:val="20"/>
          <w:szCs w:val="20"/>
        </w:rPr>
        <w:t>7.3.</w:t>
        <w:tab/>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pPr>
        <w:pStyle w:val="Normal"/>
        <w:tabs>
          <w:tab w:val="clear" w:pos="708"/>
          <w:tab w:val="left" w:pos="1701" w:leader="none"/>
        </w:tabs>
        <w:ind w:firstLine="708"/>
        <w:jc w:val="both"/>
        <w:rPr>
          <w:sz w:val="20"/>
          <w:szCs w:val="20"/>
        </w:rPr>
      </w:pPr>
      <w:r>
        <w:rPr>
          <w:color w:val="000000"/>
          <w:sz w:val="20"/>
          <w:szCs w:val="20"/>
        </w:rPr>
        <w:t>а)</w:t>
        <w:tab/>
      </w:r>
      <w:r>
        <w:rPr>
          <w:sz w:val="20"/>
          <w:szCs w:val="20"/>
        </w:rPr>
        <w:t>пени начисляются за каждый день просрочки исполнения Подрядчиком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Normal"/>
        <w:tabs>
          <w:tab w:val="clear" w:pos="708"/>
          <w:tab w:val="left" w:pos="1701" w:leader="none"/>
        </w:tabs>
        <w:ind w:firstLine="708"/>
        <w:jc w:val="both"/>
        <w:rPr>
          <w:sz w:val="20"/>
          <w:szCs w:val="20"/>
        </w:rPr>
      </w:pPr>
      <w:r>
        <w:rPr>
          <w:sz w:val="20"/>
          <w:szCs w:val="20"/>
        </w:rPr>
        <w:t>б)</w:t>
        <w:tab/>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________ рублей 00 копеек;</w:t>
      </w:r>
    </w:p>
    <w:p>
      <w:pPr>
        <w:pStyle w:val="Normal"/>
        <w:widowControl w:val="false"/>
        <w:tabs>
          <w:tab w:val="clear" w:pos="708"/>
          <w:tab w:val="left" w:pos="1701" w:leader="none"/>
        </w:tabs>
        <w:ind w:firstLine="709"/>
        <w:jc w:val="both"/>
        <w:rPr>
          <w:sz w:val="20"/>
          <w:szCs w:val="20"/>
        </w:rPr>
      </w:pPr>
      <w:r>
        <w:rPr>
          <w:sz w:val="20"/>
          <w:szCs w:val="20"/>
        </w:rPr>
        <w:t>в)</w:t>
        <w:tab/>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tabs>
          <w:tab w:val="clear" w:pos="708"/>
          <w:tab w:val="left" w:pos="1701" w:leader="none"/>
        </w:tabs>
        <w:ind w:firstLine="708"/>
        <w:jc w:val="both"/>
        <w:rPr>
          <w:sz w:val="20"/>
          <w:szCs w:val="20"/>
        </w:rPr>
      </w:pPr>
      <w:r>
        <w:rPr>
          <w:sz w:val="20"/>
          <w:szCs w:val="20"/>
        </w:rPr>
        <w:t>7.4.</w:t>
        <w:ta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tabs>
          <w:tab w:val="clear" w:pos="708"/>
          <w:tab w:val="left" w:pos="1701" w:leader="none"/>
        </w:tabs>
        <w:ind w:firstLine="708"/>
        <w:jc w:val="both"/>
        <w:rPr>
          <w:sz w:val="20"/>
          <w:szCs w:val="20"/>
        </w:rPr>
      </w:pPr>
      <w:r>
        <w:rPr>
          <w:sz w:val="20"/>
          <w:szCs w:val="20"/>
        </w:rPr>
        <w:t>7.5.</w:t>
        <w:tab/>
        <w:t>Общая сумма начисленной неустойки (штрафов, пеней) за неисполнение или ненадлежащее исполнение Подрядчиком обязательств, предусмотренных Контрактом, не может превышать цену Контракта.</w:t>
      </w:r>
    </w:p>
    <w:p>
      <w:pPr>
        <w:pStyle w:val="Normal"/>
        <w:tabs>
          <w:tab w:val="clear" w:pos="708"/>
          <w:tab w:val="left" w:pos="1701" w:leader="none"/>
        </w:tabs>
        <w:ind w:firstLine="708"/>
        <w:jc w:val="both"/>
        <w:rPr>
          <w:sz w:val="20"/>
          <w:szCs w:val="20"/>
        </w:rPr>
      </w:pPr>
      <w:r>
        <w:rPr>
          <w:sz w:val="20"/>
          <w:szCs w:val="20"/>
        </w:rPr>
        <w:t>7.6.</w:t>
        <w:tab/>
        <w:t>В случае неисполнения или ненадлежащего исполнения Подрядчиком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Подрядчика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tabs>
          <w:tab w:val="clear" w:pos="708"/>
          <w:tab w:val="left" w:pos="1701" w:leader="none"/>
        </w:tabs>
        <w:ind w:firstLine="708"/>
        <w:jc w:val="both"/>
        <w:rPr>
          <w:sz w:val="20"/>
          <w:szCs w:val="20"/>
        </w:rPr>
      </w:pPr>
      <w:r>
        <w:rPr>
          <w:sz w:val="20"/>
          <w:szCs w:val="20"/>
        </w:rPr>
        <w:t>7.7.</w:t>
        <w:tab/>
      </w:r>
      <w:r>
        <w:rPr>
          <w:color w:val="000000"/>
          <w:sz w:val="20"/>
          <w:szCs w:val="20"/>
        </w:rPr>
        <w:t>Уплата Стороной неустойки (штрафа, пени) не освобождает ее от исполнения обязательств по Контракту.</w:t>
      </w:r>
    </w:p>
    <w:p>
      <w:pPr>
        <w:pStyle w:val="Normal"/>
        <w:widowControl w:val="false"/>
        <w:tabs>
          <w:tab w:val="clear" w:pos="708"/>
          <w:tab w:val="left" w:pos="1701" w:leader="none"/>
        </w:tabs>
        <w:ind w:firstLine="709"/>
        <w:jc w:val="both"/>
        <w:rPr>
          <w:color w:val="000000"/>
          <w:sz w:val="20"/>
          <w:szCs w:val="20"/>
        </w:rPr>
      </w:pPr>
      <w:r>
        <w:rPr>
          <w:sz w:val="20"/>
          <w:szCs w:val="20"/>
        </w:rPr>
        <w:t>7.8.</w:t>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rPr>
          <w:color w:val="000000"/>
          <w:sz w:val="20"/>
          <w:szCs w:val="20"/>
        </w:rPr>
        <w:t>,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pPr>
        <w:pStyle w:val="Normal"/>
        <w:jc w:val="both"/>
        <w:rPr>
          <w:sz w:val="20"/>
          <w:szCs w:val="20"/>
        </w:rPr>
      </w:pPr>
      <w:r>
        <w:rPr>
          <w:sz w:val="20"/>
          <w:szCs w:val="20"/>
        </w:rPr>
      </w:r>
    </w:p>
    <w:p>
      <w:pPr>
        <w:pStyle w:val="ListParagraph"/>
        <w:numPr>
          <w:ilvl w:val="0"/>
          <w:numId w:val="1"/>
        </w:numPr>
        <w:jc w:val="center"/>
        <w:rPr>
          <w:b/>
          <w:sz w:val="20"/>
          <w:szCs w:val="20"/>
        </w:rPr>
      </w:pPr>
      <w:r>
        <w:rPr>
          <w:b/>
          <w:sz w:val="20"/>
          <w:szCs w:val="20"/>
        </w:rPr>
        <w:t>СРОК ДЕЙСТВИЯ, ПОРЯДОК ИЗМЕНЕНИЯ И РАСТОРЖЕНИЯ КОНТРАКТА</w:t>
      </w:r>
    </w:p>
    <w:p>
      <w:pPr>
        <w:pStyle w:val="Normal"/>
        <w:tabs>
          <w:tab w:val="clear" w:pos="708"/>
          <w:tab w:val="left" w:pos="1701" w:leader="none"/>
        </w:tabs>
        <w:ind w:firstLine="708"/>
        <w:jc w:val="both"/>
        <w:rPr>
          <w:sz w:val="20"/>
          <w:szCs w:val="20"/>
        </w:rPr>
      </w:pPr>
      <w:r>
        <w:rPr>
          <w:sz w:val="20"/>
          <w:szCs w:val="20"/>
        </w:rPr>
        <w:t>8.1.</w:t>
        <w:tab/>
        <w:t>Контракт вступает в силу со дня его подписания Сторонами.</w:t>
      </w:r>
    </w:p>
    <w:p>
      <w:pPr>
        <w:pStyle w:val="Normal"/>
        <w:tabs>
          <w:tab w:val="clear" w:pos="708"/>
          <w:tab w:val="left" w:pos="1701" w:leader="none"/>
        </w:tabs>
        <w:ind w:firstLine="708"/>
        <w:jc w:val="both"/>
        <w:rPr>
          <w:sz w:val="20"/>
          <w:szCs w:val="20"/>
        </w:rPr>
      </w:pPr>
      <w:r>
        <w:rPr>
          <w:sz w:val="20"/>
          <w:szCs w:val="20"/>
        </w:rPr>
        <w:t>8.2.</w:t>
        <w:tab/>
        <w:t xml:space="preserve">Контракт действует </w:t>
      </w:r>
      <w:r>
        <w:rPr>
          <w:b/>
          <w:sz w:val="20"/>
          <w:szCs w:val="20"/>
        </w:rPr>
        <w:t>по</w:t>
      </w:r>
      <w:r>
        <w:rPr>
          <w:sz w:val="20"/>
          <w:szCs w:val="20"/>
        </w:rPr>
        <w:t xml:space="preserve"> </w:t>
      </w:r>
      <w:r>
        <w:rPr>
          <w:b/>
          <w:sz w:val="20"/>
          <w:szCs w:val="20"/>
        </w:rPr>
        <w:t>31.12.2026 года</w:t>
      </w:r>
      <w:r>
        <w:rPr>
          <w:sz w:val="20"/>
          <w:szCs w:val="20"/>
        </w:rPr>
        <w:t>, но в любом случае до полного исполнения Сторонами обязательств по Контракту в полном объеме, в том числе и гарантийных обязательств.</w:t>
      </w:r>
    </w:p>
    <w:p>
      <w:pPr>
        <w:pStyle w:val="Normal"/>
        <w:tabs>
          <w:tab w:val="clear" w:pos="708"/>
          <w:tab w:val="left" w:pos="1701" w:leader="none"/>
        </w:tabs>
        <w:ind w:firstLine="708"/>
        <w:jc w:val="both"/>
        <w:rPr>
          <w:sz w:val="20"/>
          <w:szCs w:val="20"/>
        </w:rPr>
      </w:pPr>
      <w:r>
        <w:rPr>
          <w:sz w:val="20"/>
          <w:szCs w:val="20"/>
        </w:rPr>
        <w:t>8.3.</w:t>
        <w:tab/>
        <w:t>Контракт может быть расторгнут:</w:t>
      </w:r>
    </w:p>
    <w:p>
      <w:pPr>
        <w:pStyle w:val="Normal"/>
        <w:tabs>
          <w:tab w:val="clear" w:pos="708"/>
          <w:tab w:val="left" w:pos="1701" w:leader="none"/>
        </w:tabs>
        <w:ind w:firstLine="708"/>
        <w:jc w:val="both"/>
        <w:rPr>
          <w:sz w:val="20"/>
          <w:szCs w:val="20"/>
        </w:rPr>
      </w:pPr>
      <w:r>
        <w:rPr>
          <w:sz w:val="20"/>
          <w:szCs w:val="20"/>
        </w:rPr>
        <w:t>а)</w:t>
        <w:tab/>
        <w:t>по соглашению Сторон;</w:t>
      </w:r>
    </w:p>
    <w:p>
      <w:pPr>
        <w:pStyle w:val="Normal"/>
        <w:tabs>
          <w:tab w:val="clear" w:pos="708"/>
          <w:tab w:val="left" w:pos="1701" w:leader="none"/>
        </w:tabs>
        <w:ind w:firstLine="708"/>
        <w:jc w:val="both"/>
        <w:rPr>
          <w:sz w:val="20"/>
          <w:szCs w:val="20"/>
        </w:rPr>
      </w:pPr>
      <w:r>
        <w:rPr>
          <w:sz w:val="20"/>
          <w:szCs w:val="20"/>
        </w:rPr>
        <w:t>б)</w:t>
        <w:tab/>
        <w:t>по решению суда;</w:t>
      </w:r>
    </w:p>
    <w:p>
      <w:pPr>
        <w:pStyle w:val="Normal"/>
        <w:tabs>
          <w:tab w:val="clear" w:pos="708"/>
          <w:tab w:val="left" w:pos="1701" w:leader="none"/>
        </w:tabs>
        <w:ind w:firstLine="708"/>
        <w:jc w:val="both"/>
        <w:rPr>
          <w:sz w:val="20"/>
          <w:szCs w:val="20"/>
        </w:rPr>
      </w:pPr>
      <w:r>
        <w:rPr>
          <w:sz w:val="20"/>
          <w:szCs w:val="20"/>
        </w:rPr>
        <w:t>в)</w:t>
        <w:tab/>
        <w:t>в случае одностороннего отказа Стороны Контракта от исполнения Контракта в соответствии с гражданским законодательством.</w:t>
      </w:r>
    </w:p>
    <w:p>
      <w:pPr>
        <w:pStyle w:val="Normal"/>
        <w:tabs>
          <w:tab w:val="clear" w:pos="708"/>
          <w:tab w:val="left" w:pos="1701" w:leader="none"/>
        </w:tabs>
        <w:ind w:firstLine="708"/>
        <w:jc w:val="both"/>
        <w:rPr>
          <w:sz w:val="20"/>
          <w:szCs w:val="20"/>
        </w:rPr>
      </w:pPr>
      <w:r>
        <w:rPr>
          <w:rFonts w:eastAsia="Calibri"/>
          <w:sz w:val="20"/>
          <w:szCs w:val="20"/>
          <w:lang w:eastAsia="en-US"/>
        </w:rPr>
        <w:t>Факт расторжения Контракта не освобождает Стороны от обязанности урегулирования взаимных расчетов и от ответственности за его ненадлежащее исполнение.</w:t>
      </w:r>
    </w:p>
    <w:p>
      <w:pPr>
        <w:pStyle w:val="Normal"/>
        <w:tabs>
          <w:tab w:val="clear" w:pos="708"/>
          <w:tab w:val="left" w:pos="1701" w:leader="none"/>
        </w:tabs>
        <w:ind w:firstLine="708"/>
        <w:jc w:val="both"/>
        <w:rPr>
          <w:sz w:val="20"/>
          <w:szCs w:val="20"/>
        </w:rPr>
      </w:pPr>
      <w:r>
        <w:rPr>
          <w:sz w:val="20"/>
          <w:szCs w:val="20"/>
        </w:rPr>
        <w:t>8.4.</w:t>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pPr>
        <w:pStyle w:val="Normal"/>
        <w:widowControl w:val="false"/>
        <w:tabs>
          <w:tab w:val="clear" w:pos="708"/>
          <w:tab w:val="left" w:pos="1701" w:leader="none"/>
        </w:tabs>
        <w:ind w:firstLine="709"/>
        <w:jc w:val="both"/>
        <w:rPr>
          <w:sz w:val="20"/>
          <w:szCs w:val="20"/>
        </w:rPr>
      </w:pPr>
      <w:r>
        <w:rPr>
          <w:sz w:val="20"/>
          <w:szCs w:val="20"/>
        </w:rPr>
        <w:t>а)</w:t>
        <w:tab/>
        <w:t>нарушения Подрядчиком срока выполнения Работ более чем на 5 (пять) рабочих дней;</w:t>
      </w:r>
    </w:p>
    <w:p>
      <w:pPr>
        <w:pStyle w:val="Normal"/>
        <w:widowControl w:val="false"/>
        <w:tabs>
          <w:tab w:val="clear" w:pos="708"/>
          <w:tab w:val="left" w:pos="1701" w:leader="none"/>
        </w:tabs>
        <w:ind w:firstLine="709"/>
        <w:jc w:val="both"/>
        <w:rPr>
          <w:sz w:val="20"/>
          <w:szCs w:val="20"/>
        </w:rPr>
      </w:pPr>
      <w:r>
        <w:rPr>
          <w:sz w:val="20"/>
          <w:szCs w:val="20"/>
        </w:rPr>
        <w:t>б)</w:t>
        <w:tab/>
        <w:t>выполнения Работ ненадлежащего качества с недостатками, которые не могут быть устранены в приемлемый для Заказчика срок.</w:t>
      </w:r>
    </w:p>
    <w:p>
      <w:pPr>
        <w:pStyle w:val="Normal"/>
        <w:tabs>
          <w:tab w:val="clear" w:pos="708"/>
          <w:tab w:val="left" w:pos="1701" w:leader="none"/>
        </w:tabs>
        <w:ind w:firstLine="708"/>
        <w:jc w:val="both"/>
        <w:rPr>
          <w:sz w:val="20"/>
          <w:szCs w:val="20"/>
        </w:rPr>
      </w:pPr>
      <w:r>
        <w:rPr>
          <w:sz w:val="20"/>
          <w:szCs w:val="20"/>
        </w:rPr>
        <w:t>8.5.</w:t>
        <w:tab/>
      </w:r>
      <w:r>
        <w:rPr>
          <w:rFonts w:eastAsia="Calibri"/>
          <w:sz w:val="20"/>
          <w:szCs w:val="20"/>
          <w:lang w:eastAsia="en-US"/>
        </w:rPr>
        <w:t>Решение Стороны об одностороннем отказе от исполнения Контракта вступает в силу, и Контракт считается расторгнутым через 10 (десять) дней с даты надлежащего уведомления контрагента об одностороннем отказе от исполнения Контракта.</w:t>
      </w:r>
    </w:p>
    <w:p>
      <w:pPr>
        <w:pStyle w:val="Normal"/>
        <w:tabs>
          <w:tab w:val="clear" w:pos="708"/>
          <w:tab w:val="left" w:pos="1701" w:leader="none"/>
        </w:tabs>
        <w:ind w:firstLine="708"/>
        <w:jc w:val="both"/>
        <w:rPr>
          <w:sz w:val="20"/>
          <w:szCs w:val="20"/>
        </w:rPr>
      </w:pPr>
      <w:r>
        <w:rPr>
          <w:sz w:val="20"/>
          <w:szCs w:val="20"/>
        </w:rPr>
        <w:t>8.6.</w:t>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clear" w:pos="708"/>
          <w:tab w:val="left" w:pos="1701" w:leader="none"/>
        </w:tabs>
        <w:ind w:firstLine="708"/>
        <w:jc w:val="both"/>
        <w:rPr>
          <w:sz w:val="20"/>
          <w:szCs w:val="20"/>
        </w:rPr>
      </w:pPr>
      <w:r>
        <w:rPr>
          <w:sz w:val="20"/>
          <w:szCs w:val="20"/>
        </w:rPr>
        <w:t>8.7.</w:t>
        <w:tab/>
        <w:t>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pStyle w:val="Normal"/>
        <w:tabs>
          <w:tab w:val="clear" w:pos="708"/>
          <w:tab w:val="left" w:pos="1701" w:leader="none"/>
        </w:tabs>
        <w:ind w:firstLine="708"/>
        <w:jc w:val="both"/>
        <w:rPr>
          <w:sz w:val="20"/>
          <w:szCs w:val="20"/>
        </w:rPr>
      </w:pPr>
      <w:r>
        <w:rPr>
          <w:sz w:val="20"/>
          <w:szCs w:val="20"/>
        </w:rPr>
        <w:t>8.8.</w:t>
        <w:tab/>
        <w:t xml:space="preserve">Внесение изменений и дополнений, не противоречащих нормам </w:t>
      </w:r>
      <w:r>
        <w:rPr>
          <w:rFonts w:eastAsia="Calibri"/>
          <w:color w:val="000000"/>
          <w:sz w:val="20"/>
          <w:szCs w:val="20"/>
        </w:rPr>
        <w:t>действующего законодательства Российской Федерации,</w:t>
      </w:r>
      <w:r>
        <w:rPr>
          <w:sz w:val="20"/>
          <w:szCs w:val="20"/>
        </w:rPr>
        <w:t xml:space="preserve">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pPr>
        <w:pStyle w:val="Normal"/>
        <w:rPr>
          <w:sz w:val="20"/>
          <w:szCs w:val="20"/>
        </w:rPr>
      </w:pPr>
      <w:r>
        <w:rPr>
          <w:sz w:val="20"/>
          <w:szCs w:val="20"/>
        </w:rPr>
      </w:r>
    </w:p>
    <w:p>
      <w:pPr>
        <w:pStyle w:val="ListParagraph"/>
        <w:numPr>
          <w:ilvl w:val="0"/>
          <w:numId w:val="1"/>
        </w:numPr>
        <w:jc w:val="center"/>
        <w:rPr>
          <w:b/>
          <w:sz w:val="20"/>
          <w:szCs w:val="20"/>
        </w:rPr>
      </w:pPr>
      <w:r>
        <w:rPr>
          <w:b/>
          <w:sz w:val="20"/>
          <w:szCs w:val="20"/>
        </w:rPr>
        <w:t>ПОРЯДОК УРЕГУЛИРОВАНИЯ СПОРОВ</w:t>
      </w:r>
    </w:p>
    <w:p>
      <w:pPr>
        <w:pStyle w:val="Normal"/>
        <w:tabs>
          <w:tab w:val="clear" w:pos="708"/>
          <w:tab w:val="left" w:pos="1701" w:leader="none"/>
        </w:tabs>
        <w:ind w:firstLine="708"/>
        <w:jc w:val="both"/>
        <w:rPr>
          <w:sz w:val="20"/>
          <w:szCs w:val="20"/>
        </w:rPr>
      </w:pPr>
      <w:r>
        <w:rPr>
          <w:sz w:val="20"/>
          <w:szCs w:val="20"/>
        </w:rPr>
        <w:t>9.1.</w:t>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tabs>
          <w:tab w:val="clear" w:pos="708"/>
          <w:tab w:val="left" w:pos="1701" w:leader="none"/>
        </w:tabs>
        <w:ind w:firstLine="708"/>
        <w:jc w:val="both"/>
        <w:rPr>
          <w:sz w:val="20"/>
          <w:szCs w:val="20"/>
        </w:rPr>
      </w:pPr>
      <w:r>
        <w:rPr>
          <w:sz w:val="20"/>
          <w:szCs w:val="20"/>
        </w:rPr>
        <w:t>9.2.</w:t>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tabs>
          <w:tab w:val="clear" w:pos="708"/>
          <w:tab w:val="left" w:pos="1701" w:leader="none"/>
        </w:tabs>
        <w:ind w:firstLine="708"/>
        <w:jc w:val="both"/>
        <w:rPr>
          <w:sz w:val="20"/>
          <w:szCs w:val="20"/>
        </w:rPr>
      </w:pPr>
      <w:r>
        <w:rPr>
          <w:sz w:val="20"/>
          <w:szCs w:val="20"/>
        </w:rPr>
        <w:t>9.3.</w:t>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rPr>
          <w:sz w:val="20"/>
          <w:szCs w:val="20"/>
        </w:rPr>
      </w:pPr>
      <w:r>
        <w:rPr>
          <w:sz w:val="20"/>
          <w:szCs w:val="20"/>
        </w:rPr>
      </w:r>
    </w:p>
    <w:p>
      <w:pPr>
        <w:pStyle w:val="ListParagraph"/>
        <w:numPr>
          <w:ilvl w:val="0"/>
          <w:numId w:val="1"/>
        </w:numPr>
        <w:jc w:val="center"/>
        <w:rPr>
          <w:b/>
          <w:sz w:val="20"/>
          <w:szCs w:val="20"/>
        </w:rPr>
      </w:pPr>
      <w:r>
        <w:rPr>
          <w:b/>
          <w:sz w:val="20"/>
          <w:szCs w:val="20"/>
        </w:rPr>
        <w:t>ПРОЧИЕ УСЛОВИЯ</w:t>
      </w:r>
    </w:p>
    <w:p>
      <w:pPr>
        <w:pStyle w:val="Normal"/>
        <w:tabs>
          <w:tab w:val="clear" w:pos="708"/>
          <w:tab w:val="left" w:pos="1701" w:leader="none"/>
        </w:tabs>
        <w:ind w:firstLine="708"/>
        <w:jc w:val="both"/>
        <w:rPr>
          <w:sz w:val="20"/>
          <w:szCs w:val="20"/>
        </w:rPr>
      </w:pPr>
      <w:r>
        <w:rPr>
          <w:sz w:val="20"/>
          <w:szCs w:val="20"/>
        </w:rPr>
        <w:t>10.1.</w:t>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pPr>
        <w:pStyle w:val="Normal"/>
        <w:tabs>
          <w:tab w:val="clear" w:pos="708"/>
          <w:tab w:val="left" w:pos="1701" w:leader="none"/>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pPr>
        <w:pStyle w:val="Normal"/>
        <w:tabs>
          <w:tab w:val="clear" w:pos="708"/>
          <w:tab w:val="left" w:pos="1701" w:leader="none"/>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pPr>
        <w:pStyle w:val="Normal"/>
        <w:tabs>
          <w:tab w:val="clear" w:pos="708"/>
          <w:tab w:val="left" w:pos="1701" w:leader="none"/>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pPr>
        <w:pStyle w:val="Normal"/>
        <w:tabs>
          <w:tab w:val="clear" w:pos="708"/>
          <w:tab w:val="left" w:pos="1701" w:leader="none"/>
        </w:tabs>
        <w:ind w:firstLine="708"/>
        <w:jc w:val="both"/>
        <w:rPr>
          <w:rFonts w:eastAsia="Calibri"/>
          <w:sz w:val="20"/>
          <w:szCs w:val="20"/>
        </w:rPr>
      </w:pPr>
      <w:r>
        <w:rPr>
          <w:sz w:val="20"/>
          <w:szCs w:val="20"/>
        </w:rPr>
        <w:t>10.2.</w:t>
        <w:tab/>
      </w:r>
      <w:r>
        <w:rPr>
          <w:rFonts w:eastAsia="Calibri"/>
          <w:sz w:val="20"/>
          <w:szCs w:val="20"/>
        </w:rPr>
        <w:t xml:space="preserve">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w:t>
      </w:r>
      <w:r>
        <w:rPr>
          <w:sz w:val="20"/>
          <w:szCs w:val="20"/>
        </w:rPr>
        <w:t>за 15 (пятнадцать) рабочих дней до момента внесения вышеуказанных изменений</w:t>
      </w:r>
      <w:r>
        <w:rPr>
          <w:rFonts w:eastAsia="Calibri"/>
          <w:sz w:val="20"/>
          <w:szCs w:val="20"/>
        </w:rPr>
        <w:t>. При этом если Подрядчик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11 Контракта счет, несет Подрядчик.</w:t>
      </w:r>
    </w:p>
    <w:p>
      <w:pPr>
        <w:pStyle w:val="Normal"/>
        <w:tabs>
          <w:tab w:val="clear" w:pos="708"/>
          <w:tab w:val="left" w:pos="1701" w:leader="none"/>
        </w:tabs>
        <w:ind w:firstLine="708"/>
        <w:jc w:val="both"/>
        <w:rPr>
          <w:sz w:val="20"/>
          <w:szCs w:val="20"/>
        </w:rPr>
      </w:pPr>
      <w:r>
        <w:rPr>
          <w:rFonts w:eastAsia="Calibri"/>
          <w:sz w:val="20"/>
          <w:szCs w:val="20"/>
        </w:rPr>
        <w:t>10.3.</w:t>
        <w:tab/>
      </w:r>
      <w:r>
        <w:rPr>
          <w:sz w:val="20"/>
          <w:szCs w:val="20"/>
        </w:rPr>
        <w:t>Во всем, что не предусмотрено Контрактом, Стороны руководствуются законодательством Российской Федерации.</w:t>
      </w:r>
    </w:p>
    <w:p>
      <w:pPr>
        <w:pStyle w:val="Normal"/>
        <w:tabs>
          <w:tab w:val="clear" w:pos="708"/>
          <w:tab w:val="left" w:pos="1701" w:leader="none"/>
        </w:tabs>
        <w:ind w:firstLine="708"/>
        <w:jc w:val="both"/>
        <w:rPr>
          <w:sz w:val="20"/>
          <w:szCs w:val="20"/>
        </w:rPr>
      </w:pPr>
      <w:r>
        <w:rPr>
          <w:sz w:val="20"/>
          <w:szCs w:val="20"/>
        </w:rPr>
        <w:t>10.4.</w:t>
        <w:tab/>
        <w:t xml:space="preserve">Контракт составлен в форме электронного документа, подписанного усиленными электронными подписями лиц, имеющих право действовать от имени Сторон. </w:t>
      </w:r>
      <w:r>
        <w:rPr>
          <w:rFonts w:eastAsia="Calibri"/>
          <w:color w:val="000000"/>
          <w:sz w:val="20"/>
          <w:szCs w:val="20"/>
        </w:rPr>
        <w:t xml:space="preserve">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r>
        <w:rPr>
          <w:sz w:val="20"/>
          <w:szCs w:val="20"/>
        </w:rPr>
        <w:t>После заключения Контракта в порядке, предусмотренном статьей 51 Закона о контрактной системе, с учетом особенностей, предусмотренных частью 6 статьи 50 Закона о контрактной системе, Стороны вправе изготовить и подписать копии Контракта в письменной форме на бумажном носителе, по одному экземпляру для каждой из Сторон.</w:t>
      </w:r>
    </w:p>
    <w:p>
      <w:pPr>
        <w:pStyle w:val="Normal"/>
        <w:tabs>
          <w:tab w:val="clear" w:pos="708"/>
          <w:tab w:val="left" w:pos="1701" w:leader="none"/>
        </w:tabs>
        <w:ind w:firstLine="708"/>
        <w:jc w:val="both"/>
        <w:rPr>
          <w:sz w:val="20"/>
          <w:szCs w:val="20"/>
        </w:rPr>
      </w:pPr>
      <w:r>
        <w:rPr>
          <w:sz w:val="20"/>
          <w:szCs w:val="20"/>
        </w:rPr>
        <w:t>10.5.</w:t>
        <w:tab/>
        <w:t>Неотъемлемыми частями Контракта являются:</w:t>
      </w:r>
    </w:p>
    <w:p>
      <w:pPr>
        <w:pStyle w:val="Normal"/>
        <w:tabs>
          <w:tab w:val="clear" w:pos="708"/>
          <w:tab w:val="left" w:pos="1701" w:leader="none"/>
        </w:tabs>
        <w:ind w:firstLine="708"/>
        <w:jc w:val="both"/>
        <w:rPr>
          <w:sz w:val="20"/>
          <w:szCs w:val="20"/>
        </w:rPr>
      </w:pPr>
      <w:r>
        <w:rPr>
          <w:sz w:val="20"/>
          <w:szCs w:val="20"/>
        </w:rPr>
        <w:t>Приложение № 1 - Спецификация.</w:t>
      </w:r>
    </w:p>
    <w:p>
      <w:pPr>
        <w:pStyle w:val="Normal"/>
        <w:tabs>
          <w:tab w:val="clear" w:pos="708"/>
          <w:tab w:val="left" w:pos="1701" w:leader="none"/>
        </w:tabs>
        <w:ind w:firstLine="708"/>
        <w:jc w:val="both"/>
        <w:rPr>
          <w:sz w:val="20"/>
          <w:szCs w:val="20"/>
        </w:rPr>
      </w:pPr>
      <w:r>
        <w:rPr>
          <w:sz w:val="20"/>
          <w:szCs w:val="20"/>
        </w:rPr>
        <w:t>Приложение №2 – Техническое задание.</w:t>
      </w:r>
    </w:p>
    <w:p>
      <w:pPr>
        <w:pStyle w:val="Normal"/>
        <w:jc w:val="both"/>
        <w:rPr>
          <w:sz w:val="20"/>
          <w:szCs w:val="20"/>
        </w:rPr>
      </w:pPr>
      <w:r>
        <w:rPr>
          <w:sz w:val="20"/>
          <w:szCs w:val="20"/>
        </w:rPr>
      </w:r>
    </w:p>
    <w:p>
      <w:pPr>
        <w:pStyle w:val="ListParagraph"/>
        <w:numPr>
          <w:ilvl w:val="0"/>
          <w:numId w:val="1"/>
        </w:numPr>
        <w:jc w:val="center"/>
        <w:rPr>
          <w:b/>
          <w:sz w:val="20"/>
          <w:szCs w:val="20"/>
        </w:rPr>
      </w:pPr>
      <w:r>
        <w:rPr>
          <w:b/>
          <w:sz w:val="20"/>
          <w:szCs w:val="20"/>
        </w:rPr>
        <w:t>РЕКВИЗИТЫ И ПОДПИСИ СТОРОН</w:t>
      </w:r>
    </w:p>
    <w:p>
      <w:pPr>
        <w:pStyle w:val="ListParagraph"/>
        <w:ind w:left="360"/>
        <w:rPr>
          <w:b/>
          <w:sz w:val="20"/>
          <w:szCs w:val="20"/>
        </w:rPr>
      </w:pPr>
      <w:r>
        <w:rPr>
          <w:b/>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Подрядчик:</w:t>
            </w:r>
          </w:p>
        </w:tc>
      </w:tr>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Адрес местонахождения и почтовый адрес: 195257, Санкт-Петербург, ул. Вавиловых, дом 14, литера А</w:t>
            </w:r>
          </w:p>
          <w:p>
            <w:pPr>
              <w:pStyle w:val="msonormalmrcssattr"/>
              <w:spacing w:beforeAutospacing="0" w:before="0" w:afterAutospacing="0" w:after="0"/>
              <w:rPr/>
            </w:pPr>
            <w:r>
              <w:rPr>
                <w:color w:val="000000"/>
                <w:sz w:val="20"/>
                <w:szCs w:val="20"/>
                <w:u w:val="single"/>
              </w:rPr>
              <w:t>Банковские реквизиты:</w:t>
            </w:r>
          </w:p>
          <w:p>
            <w:pPr>
              <w:pStyle w:val="msonormalmrcssattr"/>
              <w:spacing w:beforeAutospacing="0" w:before="0" w:afterAutospacing="0" w:after="0"/>
              <w:rPr/>
            </w:pPr>
            <w:r>
              <w:rPr>
                <w:color w:val="000000"/>
                <w:sz w:val="20"/>
                <w:szCs w:val="20"/>
              </w:rPr>
              <w:t>Получатель: Комитет финансов Санкт-Петербурга (СПБ ГБУЗ «Елизаветинская больница» л/сч 0151118)</w:t>
            </w:r>
          </w:p>
          <w:p>
            <w:pPr>
              <w:pStyle w:val="msonormalmrcssattr"/>
              <w:spacing w:beforeAutospacing="0" w:before="0" w:afterAutospacing="0" w:after="0"/>
              <w:rPr/>
            </w:pPr>
            <w:r>
              <w:rPr>
                <w:color w:val="000000"/>
                <w:sz w:val="20"/>
                <w:szCs w:val="20"/>
              </w:rPr>
              <w:t>ИНН 7804041070, КПП 780401001</w:t>
            </w:r>
          </w:p>
          <w:p>
            <w:pPr>
              <w:pStyle w:val="msonormalmrcssattr"/>
              <w:spacing w:beforeAutospacing="0" w:before="0" w:afterAutospacing="0" w:after="0"/>
              <w:rPr/>
            </w:pPr>
            <w:r>
              <w:rPr>
                <w:color w:val="000000"/>
                <w:sz w:val="20"/>
                <w:szCs w:val="20"/>
              </w:rPr>
              <w:t>Банк получателя: ОКЦ № 1 Северо-Западное ГУ Банка России // УФК по г. Санкт-Петербургу, г. Санкт-Петербург</w:t>
            </w:r>
          </w:p>
          <w:p>
            <w:pPr>
              <w:pStyle w:val="msonormalmrcssattr"/>
              <w:spacing w:beforeAutospacing="0" w:before="0" w:afterAutospacing="0" w:after="0"/>
              <w:rPr/>
            </w:pPr>
            <w:r>
              <w:rPr>
                <w:color w:val="000000"/>
                <w:sz w:val="20"/>
                <w:szCs w:val="20"/>
              </w:rPr>
              <w:t>БИК: 014030106</w:t>
            </w:r>
          </w:p>
          <w:p>
            <w:pPr>
              <w:pStyle w:val="msonormalmrcssattr"/>
              <w:spacing w:beforeAutospacing="0" w:before="0" w:afterAutospacing="0" w:after="0"/>
              <w:rPr/>
            </w:pPr>
            <w:r>
              <w:rPr>
                <w:color w:val="000000"/>
                <w:sz w:val="20"/>
                <w:szCs w:val="20"/>
              </w:rPr>
              <w:t>Номер счета банка получателя: 40102810945370000005</w:t>
            </w:r>
          </w:p>
          <w:p>
            <w:pPr>
              <w:pStyle w:val="msonormalmrcssattr"/>
              <w:spacing w:beforeAutospacing="0" w:before="0" w:afterAutospacing="0" w:after="0"/>
              <w:rPr/>
            </w:pPr>
            <w:r>
              <w:rPr>
                <w:color w:val="000000"/>
                <w:sz w:val="20"/>
                <w:szCs w:val="20"/>
              </w:rPr>
              <w:t>Номер счета получателя: 03224643400000007200</w:t>
            </w:r>
          </w:p>
          <w:p>
            <w:pPr>
              <w:pStyle w:val="Normal"/>
              <w:rPr/>
            </w:pPr>
            <w:r>
              <w:rPr>
                <w:sz w:val="20"/>
                <w:szCs w:val="20"/>
              </w:rPr>
              <w:t>Тел./факс: (812) 555-15-05; (812) 555-57-73</w:t>
            </w:r>
          </w:p>
          <w:p>
            <w:pPr>
              <w:pStyle w:val="Normal"/>
              <w:rPr>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rFonts w:eastAsia="Calibri"/>
                <w:b/>
                <w:sz w:val="20"/>
                <w:szCs w:val="20"/>
                <w:lang w:val="en-US"/>
              </w:rPr>
            </w:pPr>
            <w:r>
              <w:rPr>
                <w:rFonts w:eastAsia="Calibri"/>
                <w:b/>
                <w:sz w:val="20"/>
                <w:szCs w:val="20"/>
                <w:lang w:val="en-US"/>
              </w:rPr>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______</w:t>
            </w:r>
          </w:p>
          <w:p>
            <w:pPr>
              <w:pStyle w:val="Normal"/>
              <w:rPr>
                <w:sz w:val="20"/>
                <w:szCs w:val="20"/>
              </w:rPr>
            </w:pPr>
            <w:r>
              <w:rPr>
                <w:sz w:val="20"/>
                <w:szCs w:val="20"/>
              </w:rPr>
              <w:t>__________</w:t>
            </w:r>
          </w:p>
          <w:p>
            <w:pPr>
              <w:pStyle w:val="Normal"/>
              <w:rPr>
                <w:sz w:val="20"/>
                <w:szCs w:val="20"/>
              </w:rPr>
            </w:pPr>
            <w:r>
              <w:rPr>
                <w:sz w:val="20"/>
                <w:szCs w:val="20"/>
              </w:rPr>
            </w:r>
          </w:p>
          <w:p>
            <w:pPr>
              <w:pStyle w:val="Normal"/>
              <w:rPr>
                <w:sz w:val="20"/>
                <w:szCs w:val="20"/>
              </w:rPr>
            </w:pPr>
            <w:r>
              <w:rPr>
                <w:sz w:val="20"/>
                <w:szCs w:val="20"/>
              </w:rPr>
              <w:t>________________________</w:t>
            </w:r>
          </w:p>
        </w:tc>
      </w:tr>
    </w:tbl>
    <w:p>
      <w:pPr>
        <w:pStyle w:val="Normal"/>
        <w:jc w:val="center"/>
        <w:rPr>
          <w:b/>
          <w:sz w:val="14"/>
          <w:szCs w:val="20"/>
        </w:rPr>
      </w:pPr>
      <w:r>
        <w:rPr>
          <w:b/>
          <w:sz w:val="14"/>
          <w:szCs w:val="20"/>
        </w:rPr>
        <w:t>Контракт подписан усиленными электронными подписями лиц, имеющих право действовать</w:t>
      </w:r>
    </w:p>
    <w:p>
      <w:pPr>
        <w:pStyle w:val="Normal"/>
        <w:jc w:val="center"/>
        <w:rPr>
          <w:b/>
          <w:sz w:val="14"/>
          <w:szCs w:val="20"/>
        </w:rPr>
      </w:pPr>
      <w:r>
        <w:rPr>
          <w:b/>
          <w:sz w:val="14"/>
          <w:szCs w:val="20"/>
        </w:rPr>
        <w:t>от имени Сторон, и заключен в соответствии со ст. 93 Закона о контрактной системе.</w:t>
      </w:r>
    </w:p>
    <w:p>
      <w:pPr>
        <w:pStyle w:val="Normal"/>
        <w:jc w:val="center"/>
        <w:rPr>
          <w:sz w:val="14"/>
          <w:szCs w:val="20"/>
        </w:rPr>
      </w:pPr>
      <w:r>
        <w:rPr>
          <w:sz w:val="14"/>
          <w:szCs w:val="20"/>
        </w:rPr>
      </w:r>
    </w:p>
    <w:p>
      <w:pPr>
        <w:sectPr>
          <w:footnotePr>
            <w:numFmt w:val="decimal"/>
          </w:footnotePr>
          <w:type w:val="continuous"/>
          <w:pgSz w:w="11906" w:h="16838"/>
          <w:pgMar w:left="993" w:right="707" w:gutter="0" w:header="0" w:top="709" w:footer="0" w:bottom="1134"/>
          <w:formProt w:val="false"/>
          <w:textDirection w:val="lrTb"/>
          <w:docGrid w:type="default" w:linePitch="312" w:charSpace="0"/>
        </w:sectPr>
      </w:pPr>
      <w:r>
        <w:br w:type="page"/>
      </w:r>
    </w:p>
    <w:p>
      <w:pPr>
        <w:pStyle w:val="Normal"/>
        <w:spacing w:before="0" w:after="0"/>
        <w:jc w:val="right"/>
        <w:rPr>
          <w:b/>
          <w:sz w:val="20"/>
          <w:szCs w:val="20"/>
        </w:rPr>
      </w:pPr>
      <w:r>
        <w:rPr>
          <w:b/>
          <w:sz w:val="20"/>
          <w:szCs w:val="20"/>
        </w:rPr>
        <w:t>Приложение № 1 к Контракту</w:t>
      </w:r>
    </w:p>
    <w:p>
      <w:pPr>
        <w:pStyle w:val="ListParagraph"/>
        <w:ind w:firstLine="142" w:left="-426"/>
        <w:jc w:val="right"/>
        <w:rPr>
          <w:b/>
          <w:sz w:val="20"/>
          <w:szCs w:val="20"/>
          <w:lang w:val="ru-RU"/>
        </w:rPr>
      </w:pPr>
      <w:r>
        <w:rPr>
          <w:b/>
          <w:sz w:val="20"/>
          <w:szCs w:val="20"/>
        </w:rPr>
        <w:t>от «</w:t>
      </w:r>
      <w:r>
        <w:rPr>
          <w:b/>
          <w:sz w:val="20"/>
          <w:szCs w:val="20"/>
          <w:lang w:val="ru-RU"/>
        </w:rPr>
        <w:t>___</w:t>
      </w:r>
      <w:r>
        <w:rPr>
          <w:b/>
          <w:sz w:val="20"/>
          <w:szCs w:val="20"/>
        </w:rPr>
        <w:t>»</w:t>
      </w:r>
      <w:r>
        <w:rPr>
          <w:b/>
          <w:sz w:val="20"/>
          <w:szCs w:val="20"/>
          <w:lang w:val="ru-RU"/>
        </w:rPr>
        <w:t xml:space="preserve"> __ </w:t>
      </w:r>
      <w:r>
        <w:rPr>
          <w:b/>
          <w:sz w:val="20"/>
          <w:szCs w:val="20"/>
        </w:rPr>
        <w:t>202</w:t>
      </w:r>
      <w:r>
        <w:rPr>
          <w:b/>
          <w:sz w:val="20"/>
          <w:szCs w:val="20"/>
          <w:lang w:val="ru-RU"/>
        </w:rPr>
        <w:t>6</w:t>
      </w:r>
      <w:r>
        <w:rPr>
          <w:b/>
          <w:sz w:val="20"/>
          <w:szCs w:val="20"/>
        </w:rPr>
        <w:t>г. №156/2026</w:t>
      </w:r>
    </w:p>
    <w:p>
      <w:pPr>
        <w:pStyle w:val="Normal"/>
        <w:jc w:val="right"/>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СПЕЦИФИКАЦИЯ</w:t>
      </w:r>
    </w:p>
    <w:p>
      <w:pPr>
        <w:pStyle w:val="Normal"/>
        <w:jc w:val="center"/>
        <w:rPr>
          <w:b/>
          <w:sz w:val="20"/>
          <w:szCs w:val="20"/>
        </w:rPr>
      </w:pPr>
      <w:r>
        <w:rPr>
          <w:b/>
          <w:sz w:val="20"/>
          <w:szCs w:val="20"/>
        </w:rPr>
      </w:r>
    </w:p>
    <w:tbl>
      <w:tblPr>
        <w:tblW w:w="10519" w:type="dxa"/>
        <w:jc w:val="left"/>
        <w:tblInd w:w="-318" w:type="dxa"/>
        <w:tblLayout w:type="fixed"/>
        <w:tblCellMar>
          <w:top w:w="0" w:type="dxa"/>
          <w:left w:w="108" w:type="dxa"/>
          <w:bottom w:w="0" w:type="dxa"/>
          <w:right w:w="108" w:type="dxa"/>
        </w:tblCellMar>
        <w:tblLook w:val="04a0" w:noHBand="0" w:noVBand="1" w:firstColumn="1" w:lastRow="0" w:lastColumn="0" w:firstRow="1"/>
      </w:tblPr>
      <w:tblGrid>
        <w:gridCol w:w="570"/>
        <w:gridCol w:w="4848"/>
        <w:gridCol w:w="709"/>
        <w:gridCol w:w="851"/>
        <w:gridCol w:w="852"/>
        <w:gridCol w:w="1420"/>
        <w:gridCol w:w="1268"/>
      </w:tblGrid>
      <w:tr>
        <w:trPr>
          <w:trHeight w:val="734" w:hRule="atLeast"/>
          <w:cantSplit w:val="true"/>
        </w:trPr>
        <w:tc>
          <w:tcPr>
            <w:tcW w:w="570" w:type="dxa"/>
            <w:tcBorders>
              <w:top w:val="single" w:sz="4" w:space="0" w:color="000000"/>
              <w:left w:val="single" w:sz="4" w:space="0" w:color="000000"/>
              <w:right w:val="single" w:sz="4" w:space="0" w:color="000000"/>
            </w:tcBorders>
            <w:shd w:color="auto" w:fill="auto" w:val="clear"/>
            <w:vAlign w:val="center"/>
          </w:tcPr>
          <w:p>
            <w:pPr>
              <w:pStyle w:val="Normal"/>
              <w:tabs>
                <w:tab w:val="clear" w:pos="708"/>
                <w:tab w:val="left" w:pos="360" w:leader="none"/>
              </w:tabs>
              <w:jc w:val="center"/>
              <w:rPr>
                <w:b/>
                <w:sz w:val="20"/>
                <w:szCs w:val="20"/>
              </w:rPr>
            </w:pPr>
            <w:r>
              <w:rPr>
                <w:b/>
                <w:sz w:val="20"/>
                <w:szCs w:val="20"/>
              </w:rPr>
              <w:t>№</w:t>
            </w:r>
          </w:p>
          <w:p>
            <w:pPr>
              <w:pStyle w:val="Normal"/>
              <w:tabs>
                <w:tab w:val="clear" w:pos="708"/>
                <w:tab w:val="left" w:pos="360" w:leader="none"/>
              </w:tabs>
              <w:jc w:val="center"/>
              <w:rPr>
                <w:b/>
                <w:sz w:val="20"/>
                <w:szCs w:val="20"/>
              </w:rPr>
            </w:pPr>
            <w:r>
              <w:rPr>
                <w:b/>
                <w:sz w:val="20"/>
                <w:szCs w:val="20"/>
              </w:rPr>
              <w:t>п/п</w:t>
            </w:r>
          </w:p>
        </w:tc>
        <w:tc>
          <w:tcPr>
            <w:tcW w:w="484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8"/>
                <w:tab w:val="left" w:pos="360" w:leader="none"/>
              </w:tabs>
              <w:jc w:val="center"/>
              <w:rPr>
                <w:b/>
                <w:sz w:val="20"/>
                <w:szCs w:val="20"/>
              </w:rPr>
            </w:pPr>
            <w:r>
              <w:rPr>
                <w:b/>
                <w:sz w:val="20"/>
                <w:szCs w:val="20"/>
              </w:rPr>
            </w:r>
          </w:p>
          <w:p>
            <w:pPr>
              <w:pStyle w:val="Normal"/>
              <w:tabs>
                <w:tab w:val="clear" w:pos="708"/>
                <w:tab w:val="left" w:pos="360" w:leader="none"/>
              </w:tabs>
              <w:jc w:val="center"/>
              <w:rPr>
                <w:b/>
                <w:sz w:val="20"/>
                <w:szCs w:val="20"/>
              </w:rPr>
            </w:pPr>
            <w:r>
              <w:rPr>
                <w:b/>
                <w:sz w:val="20"/>
                <w:szCs w:val="20"/>
              </w:rPr>
              <w:t>Наименование работ</w:t>
            </w:r>
          </w:p>
          <w:p>
            <w:pPr>
              <w:pStyle w:val="Normal"/>
              <w:tabs>
                <w:tab w:val="clear" w:pos="708"/>
                <w:tab w:val="left" w:pos="360" w:leader="none"/>
              </w:tabs>
              <w:jc w:val="center"/>
              <w:rPr>
                <w:b/>
                <w:sz w:val="20"/>
                <w:szCs w:val="20"/>
              </w:rPr>
            </w:pPr>
            <w:r>
              <w:rPr>
                <w:b/>
                <w:sz w:val="20"/>
                <w:szCs w:val="20"/>
              </w:rPr>
            </w:r>
          </w:p>
        </w:tc>
        <w:tc>
          <w:tcPr>
            <w:tcW w:w="709" w:type="dxa"/>
            <w:tcBorders>
              <w:top w:val="single" w:sz="4" w:space="0" w:color="000000"/>
              <w:left w:val="single" w:sz="4" w:space="0" w:color="000000"/>
              <w:right w:val="single" w:sz="4" w:space="0" w:color="000000"/>
            </w:tcBorders>
            <w:shd w:color="auto" w:fill="auto" w:val="clear"/>
            <w:vAlign w:val="center"/>
          </w:tcPr>
          <w:p>
            <w:pPr>
              <w:pStyle w:val="Normal"/>
              <w:jc w:val="center"/>
              <w:rPr>
                <w:b/>
                <w:bCs/>
                <w:sz w:val="20"/>
                <w:szCs w:val="20"/>
              </w:rPr>
            </w:pPr>
            <w:r>
              <w:rPr>
                <w:b/>
                <w:bCs/>
                <w:sz w:val="20"/>
                <w:szCs w:val="20"/>
              </w:rPr>
              <w:t>Ед. изм.</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b/>
                <w:sz w:val="20"/>
                <w:szCs w:val="20"/>
              </w:rPr>
            </w:pPr>
            <w:r>
              <w:rPr>
                <w:b/>
                <w:sz w:val="20"/>
                <w:szCs w:val="20"/>
              </w:rPr>
              <w:t>Кол-во</w:t>
            </w:r>
          </w:p>
        </w:tc>
        <w:tc>
          <w:tcPr>
            <w:tcW w:w="8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8"/>
                <w:tab w:val="left" w:pos="360" w:leader="none"/>
              </w:tabs>
              <w:jc w:val="center"/>
              <w:rPr>
                <w:b/>
                <w:sz w:val="20"/>
                <w:szCs w:val="20"/>
              </w:rPr>
            </w:pPr>
            <w:r>
              <w:rPr>
                <w:b/>
                <w:sz w:val="20"/>
                <w:szCs w:val="20"/>
              </w:rPr>
              <w:t>НДС, %</w:t>
            </w:r>
          </w:p>
        </w:tc>
        <w:tc>
          <w:tcPr>
            <w:tcW w:w="142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b/>
                <w:sz w:val="20"/>
                <w:szCs w:val="20"/>
              </w:rPr>
            </w:pPr>
            <w:r>
              <w:rPr>
                <w:b/>
                <w:sz w:val="20"/>
                <w:szCs w:val="20"/>
              </w:rPr>
              <w:t>Цена за ед/ руб.</w:t>
            </w:r>
          </w:p>
        </w:tc>
        <w:tc>
          <w:tcPr>
            <w:tcW w:w="126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b/>
                <w:sz w:val="20"/>
                <w:szCs w:val="20"/>
              </w:rPr>
            </w:pPr>
            <w:r>
              <w:rPr>
                <w:b/>
                <w:sz w:val="20"/>
                <w:szCs w:val="20"/>
              </w:rPr>
              <w:t>Стоимость,</w:t>
            </w:r>
          </w:p>
          <w:p>
            <w:pPr>
              <w:pStyle w:val="Normal"/>
              <w:tabs>
                <w:tab w:val="clear" w:pos="708"/>
                <w:tab w:val="left" w:pos="360" w:leader="none"/>
              </w:tabs>
              <w:jc w:val="center"/>
              <w:rPr>
                <w:b/>
                <w:sz w:val="20"/>
                <w:szCs w:val="20"/>
              </w:rPr>
            </w:pPr>
            <w:r>
              <w:rPr>
                <w:b/>
                <w:sz w:val="20"/>
                <w:szCs w:val="20"/>
              </w:rPr>
              <w:t>руб.</w:t>
            </w:r>
          </w:p>
        </w:tc>
      </w:tr>
      <w:tr>
        <w:trPr>
          <w:trHeight w:val="275" w:hRule="atLeast"/>
          <w:cantSplit w:val="true"/>
        </w:trPr>
        <w:tc>
          <w:tcPr>
            <w:tcW w:w="5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numPr>
                <w:ilvl w:val="0"/>
                <w:numId w:val="2"/>
              </w:numPr>
              <w:tabs>
                <w:tab w:val="clear" w:pos="708"/>
                <w:tab w:val="left" w:pos="360" w:leader="none"/>
              </w:tabs>
              <w:jc w:val="center"/>
              <w:rPr>
                <w:sz w:val="20"/>
                <w:szCs w:val="20"/>
              </w:rPr>
            </w:pPr>
            <w:r>
              <w:rPr>
                <w:sz w:val="20"/>
                <w:szCs w:val="20"/>
              </w:rPr>
            </w:r>
          </w:p>
        </w:tc>
        <w:tc>
          <w:tcPr>
            <w:tcW w:w="484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rPr>
                <w:sz w:val="20"/>
                <w:szCs w:val="20"/>
              </w:rPr>
            </w:pPr>
            <w:r>
              <w:rPr>
                <w:sz w:val="20"/>
                <w:szCs w:val="20"/>
              </w:rPr>
              <w:t>Выполнение работ по ремонту медицинского оборудования</w:t>
            </w:r>
            <w:r>
              <w:rPr>
                <w:color w:val="000000"/>
                <w:sz w:val="20"/>
                <w:szCs w:val="20"/>
              </w:rPr>
              <w:t xml:space="preserve"> (электрокардиостимулятор эндокардиальной стимуляции ЭКС-Сетал-1В)</w:t>
            </w:r>
          </w:p>
        </w:tc>
        <w:tc>
          <w:tcPr>
            <w:tcW w:w="70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sz w:val="20"/>
                <w:szCs w:val="20"/>
              </w:rPr>
            </w:pPr>
            <w:r>
              <w:rPr>
                <w:sz w:val="20"/>
                <w:szCs w:val="20"/>
              </w:rPr>
              <w:t>Усл. Ед.</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0"/>
                <w:szCs w:val="20"/>
              </w:rPr>
            </w:pPr>
            <w:r>
              <w:rPr>
                <w:sz w:val="20"/>
                <w:szCs w:val="20"/>
              </w:rPr>
              <w:t>1</w:t>
            </w:r>
          </w:p>
        </w:tc>
        <w:tc>
          <w:tcPr>
            <w:tcW w:w="8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8"/>
                <w:tab w:val="left" w:pos="360" w:leader="none"/>
              </w:tabs>
              <w:jc w:val="center"/>
              <w:rPr>
                <w:sz w:val="20"/>
                <w:szCs w:val="20"/>
              </w:rPr>
            </w:pPr>
            <w:r>
              <w:rPr>
                <w:sz w:val="20"/>
                <w:szCs w:val="20"/>
              </w:rPr>
            </w:r>
          </w:p>
        </w:tc>
        <w:tc>
          <w:tcPr>
            <w:tcW w:w="142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sz w:val="20"/>
                <w:szCs w:val="20"/>
              </w:rPr>
            </w:pPr>
            <w:r>
              <w:rPr>
                <w:sz w:val="20"/>
                <w:szCs w:val="20"/>
              </w:rPr>
            </w:r>
          </w:p>
        </w:tc>
        <w:tc>
          <w:tcPr>
            <w:tcW w:w="126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sz w:val="20"/>
                <w:szCs w:val="20"/>
              </w:rPr>
            </w:pPr>
            <w:r>
              <w:rPr>
                <w:sz w:val="20"/>
                <w:szCs w:val="20"/>
              </w:rPr>
            </w:r>
          </w:p>
        </w:tc>
      </w:tr>
      <w:tr>
        <w:trPr>
          <w:trHeight w:val="275" w:hRule="atLeast"/>
          <w:cantSplit w:val="true"/>
        </w:trPr>
        <w:tc>
          <w:tcPr>
            <w:tcW w:w="9250" w:type="dxa"/>
            <w:gridSpan w:val="6"/>
            <w:tcBorders>
              <w:top w:val="single" w:sz="4" w:space="0" w:color="000000"/>
              <w:left w:val="single" w:sz="4" w:space="0" w:color="000000"/>
              <w:bottom w:val="single" w:sz="4" w:space="0" w:color="000000"/>
              <w:right w:val="single" w:sz="4" w:space="0" w:color="000000"/>
            </w:tcBorders>
          </w:tcPr>
          <w:p>
            <w:pPr>
              <w:pStyle w:val="Normal"/>
              <w:tabs>
                <w:tab w:val="clear" w:pos="708"/>
                <w:tab w:val="left" w:pos="360" w:leader="none"/>
              </w:tabs>
              <w:jc w:val="right"/>
              <w:rPr>
                <w:b/>
                <w:sz w:val="20"/>
                <w:szCs w:val="20"/>
              </w:rPr>
            </w:pPr>
            <w:r>
              <w:rPr>
                <w:b/>
                <w:sz w:val="20"/>
                <w:szCs w:val="20"/>
              </w:rPr>
              <w:t>Итого</w:t>
            </w:r>
          </w:p>
        </w:tc>
        <w:tc>
          <w:tcPr>
            <w:tcW w:w="126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b/>
                <w:sz w:val="20"/>
                <w:szCs w:val="20"/>
              </w:rPr>
            </w:pPr>
            <w:r>
              <w:rPr>
                <w:b/>
                <w:sz w:val="20"/>
                <w:szCs w:val="20"/>
              </w:rPr>
            </w:r>
          </w:p>
        </w:tc>
      </w:tr>
    </w:tbl>
    <w:p>
      <w:pPr>
        <w:pStyle w:val="Normal"/>
        <w:tabs>
          <w:tab w:val="clear" w:pos="708"/>
          <w:tab w:val="left" w:pos="1701" w:leader="none"/>
        </w:tabs>
        <w:ind w:firstLine="567"/>
        <w:jc w:val="both"/>
        <w:rPr>
          <w:b/>
          <w:sz w:val="20"/>
          <w:szCs w:val="20"/>
        </w:rPr>
      </w:pPr>
      <w:r>
        <w:rPr>
          <w:b/>
          <w:sz w:val="20"/>
          <w:szCs w:val="20"/>
        </w:rPr>
      </w:r>
    </w:p>
    <w:p>
      <w:pPr>
        <w:pStyle w:val="Normal"/>
        <w:tabs>
          <w:tab w:val="clear" w:pos="708"/>
          <w:tab w:val="left" w:pos="1701" w:leader="none"/>
        </w:tabs>
        <w:ind w:firstLine="567"/>
        <w:jc w:val="both"/>
        <w:rPr>
          <w:b/>
          <w:sz w:val="20"/>
          <w:szCs w:val="20"/>
        </w:rPr>
      </w:pPr>
      <w:r>
        <w:rPr>
          <w:b/>
          <w:sz w:val="20"/>
          <w:szCs w:val="20"/>
        </w:rPr>
      </w:r>
    </w:p>
    <w:p>
      <w:pPr>
        <w:pStyle w:val="Normal"/>
        <w:tabs>
          <w:tab w:val="clear" w:pos="708"/>
          <w:tab w:val="left" w:pos="1701" w:leader="none"/>
        </w:tabs>
        <w:ind w:firstLine="567"/>
        <w:jc w:val="both"/>
        <w:rPr>
          <w:sz w:val="20"/>
          <w:szCs w:val="20"/>
        </w:rPr>
      </w:pPr>
      <w:r>
        <w:rPr>
          <w:b/>
          <w:sz w:val="20"/>
          <w:szCs w:val="20"/>
        </w:rPr>
        <w:t>Итого (цена Контракта)</w:t>
      </w:r>
      <w:r>
        <w:rPr>
          <w:sz w:val="20"/>
          <w:szCs w:val="20"/>
        </w:rPr>
        <w:t xml:space="preserve">: </w:t>
      </w:r>
      <w:r>
        <w:rPr>
          <w:b/>
          <w:sz w:val="20"/>
          <w:szCs w:val="20"/>
        </w:rPr>
        <w:t>______</w:t>
      </w:r>
      <w:r>
        <w:rPr>
          <w:sz w:val="20"/>
          <w:szCs w:val="20"/>
        </w:rPr>
        <w:t xml:space="preserve"> рублей </w:t>
      </w:r>
      <w:r>
        <w:rPr>
          <w:b/>
          <w:sz w:val="20"/>
          <w:szCs w:val="20"/>
        </w:rPr>
        <w:t>____</w:t>
      </w:r>
      <w:r>
        <w:rPr>
          <w:sz w:val="20"/>
          <w:szCs w:val="20"/>
        </w:rPr>
        <w:t xml:space="preserve"> копеек (_______ руб. __ коп.), в т.ч. НДС % - ___/НДС не облагается на основании пункта 2 статьи ___ Налогового кодекса Российской Федерации</w:t>
      </w:r>
    </w:p>
    <w:p>
      <w:pPr>
        <w:pStyle w:val="Normal"/>
        <w:tabs>
          <w:tab w:val="clear" w:pos="708"/>
          <w:tab w:val="left" w:pos="1701" w:leader="none"/>
        </w:tabs>
        <w:ind w:firstLine="567"/>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Подрядчик:</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______</w:t>
            </w:r>
          </w:p>
          <w:p>
            <w:pPr>
              <w:pStyle w:val="Normal"/>
              <w:rPr>
                <w:sz w:val="20"/>
                <w:szCs w:val="20"/>
              </w:rPr>
            </w:pPr>
            <w:r>
              <w:rPr>
                <w:sz w:val="20"/>
                <w:szCs w:val="20"/>
              </w:rPr>
              <w:t>__________</w:t>
            </w:r>
          </w:p>
          <w:p>
            <w:pPr>
              <w:pStyle w:val="Normal"/>
              <w:rPr>
                <w:sz w:val="20"/>
                <w:szCs w:val="20"/>
              </w:rPr>
            </w:pPr>
            <w:r>
              <w:rPr>
                <w:sz w:val="20"/>
                <w:szCs w:val="20"/>
              </w:rPr>
            </w:r>
          </w:p>
          <w:p>
            <w:pPr>
              <w:pStyle w:val="Normal"/>
              <w:rPr>
                <w:sz w:val="20"/>
                <w:szCs w:val="20"/>
              </w:rPr>
            </w:pPr>
            <w:r>
              <w:rPr>
                <w:sz w:val="20"/>
                <w:szCs w:val="20"/>
              </w:rPr>
              <w:t>________________________</w:t>
            </w:r>
          </w:p>
        </w:tc>
      </w:tr>
    </w:tbl>
    <w:p>
      <w:pPr>
        <w:pStyle w:val="Normal"/>
        <w:jc w:val="right"/>
        <w:rPr>
          <w:sz w:val="20"/>
          <w:szCs w:val="20"/>
        </w:rPr>
      </w:pPr>
      <w:r>
        <w:rPr>
          <w:sz w:val="20"/>
          <w:szCs w:val="20"/>
        </w:rPr>
      </w:r>
      <w:r>
        <w:br w:type="page"/>
      </w:r>
    </w:p>
    <w:p>
      <w:pPr>
        <w:pStyle w:val="Normal"/>
        <w:spacing w:before="0" w:after="0"/>
        <w:jc w:val="right"/>
        <w:rPr>
          <w:b/>
          <w:bCs/>
          <w:iCs/>
          <w:sz w:val="20"/>
          <w:szCs w:val="20"/>
          <w:lang w:eastAsia="zh-CN"/>
        </w:rPr>
      </w:pPr>
      <w:r>
        <w:rPr>
          <w:b/>
          <w:bCs/>
          <w:iCs/>
          <w:sz w:val="20"/>
          <w:szCs w:val="20"/>
          <w:lang w:eastAsia="zh-CN"/>
        </w:rPr>
        <w:t>Приложение №2</w:t>
      </w:r>
    </w:p>
    <w:p>
      <w:pPr>
        <w:pStyle w:val="Normal"/>
        <w:jc w:val="right"/>
        <w:rPr>
          <w:b/>
          <w:bCs/>
          <w:iCs/>
          <w:sz w:val="20"/>
          <w:szCs w:val="20"/>
          <w:lang w:eastAsia="zh-CN"/>
        </w:rPr>
      </w:pPr>
      <w:r>
        <w:rPr>
          <w:b/>
          <w:bCs/>
          <w:iCs/>
          <w:sz w:val="20"/>
          <w:szCs w:val="20"/>
          <w:lang w:eastAsia="zh-CN"/>
        </w:rPr>
        <w:t>к Контракту № 156/2026 от «___» ______ 2026 г.</w:t>
      </w:r>
    </w:p>
    <w:p>
      <w:pPr>
        <w:pStyle w:val="Normal"/>
        <w:ind w:right="23"/>
        <w:jc w:val="right"/>
        <w:rPr>
          <w:bCs/>
          <w:iCs/>
          <w:sz w:val="20"/>
          <w:szCs w:val="20"/>
          <w:lang w:eastAsia="hi-IN"/>
        </w:rPr>
      </w:pPr>
      <w:r>
        <w:rPr>
          <w:bCs/>
          <w:iCs/>
          <w:sz w:val="20"/>
          <w:szCs w:val="20"/>
          <w:lang w:eastAsia="hi-IN"/>
        </w:rPr>
      </w:r>
    </w:p>
    <w:p>
      <w:pPr>
        <w:pStyle w:val="Normal"/>
        <w:ind w:firstLine="426"/>
        <w:jc w:val="center"/>
        <w:rPr>
          <w:b/>
          <w:sz w:val="20"/>
        </w:rPr>
      </w:pPr>
      <w:r>
        <w:rPr>
          <w:b/>
          <w:sz w:val="20"/>
        </w:rPr>
        <w:t>Выполнение работ по ремонту медицинского оборудования.</w:t>
      </w:r>
    </w:p>
    <w:p>
      <w:pPr>
        <w:pStyle w:val="Normal"/>
        <w:ind w:firstLine="426"/>
        <w:jc w:val="center"/>
        <w:rPr>
          <w:b/>
          <w:sz w:val="20"/>
        </w:rPr>
      </w:pPr>
      <w:r>
        <w:rPr>
          <w:b/>
          <w:sz w:val="20"/>
        </w:rPr>
      </w:r>
    </w:p>
    <w:p>
      <w:pPr>
        <w:pStyle w:val="ListParagraph"/>
        <w:numPr>
          <w:ilvl w:val="0"/>
          <w:numId w:val="3"/>
        </w:numPr>
        <w:rPr>
          <w:b/>
          <w:sz w:val="20"/>
          <w:szCs w:val="20"/>
        </w:rPr>
      </w:pPr>
      <w:r>
        <w:rPr>
          <w:b/>
          <w:sz w:val="20"/>
          <w:szCs w:val="20"/>
        </w:rPr>
        <w:t>Перечень медицинских изделий (МИ), подлежащих ремонту, наименование и объем услуг.</w:t>
      </w:r>
    </w:p>
    <w:tbl>
      <w:tblPr>
        <w:tblW w:w="10632" w:type="dxa"/>
        <w:jc w:val="left"/>
        <w:tblInd w:w="109" w:type="dxa"/>
        <w:tblLayout w:type="fixed"/>
        <w:tblCellMar>
          <w:top w:w="0" w:type="dxa"/>
          <w:left w:w="108" w:type="dxa"/>
          <w:bottom w:w="0" w:type="dxa"/>
          <w:right w:w="108" w:type="dxa"/>
        </w:tblCellMar>
        <w:tblLook w:val="04a0" w:noHBand="0" w:noVBand="1" w:firstColumn="1" w:lastRow="0" w:lastColumn="0" w:firstRow="1"/>
      </w:tblPr>
      <w:tblGrid>
        <w:gridCol w:w="434"/>
        <w:gridCol w:w="2685"/>
        <w:gridCol w:w="1021"/>
        <w:gridCol w:w="653"/>
        <w:gridCol w:w="2025"/>
        <w:gridCol w:w="1864"/>
        <w:gridCol w:w="815"/>
        <w:gridCol w:w="1133"/>
      </w:tblGrid>
      <w:tr>
        <w:trPr>
          <w:trHeight w:val="20" w:hRule="atLeast"/>
        </w:trPr>
        <w:tc>
          <w:tcPr>
            <w:tcW w:w="4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b/>
                <w:bCs/>
                <w:sz w:val="20"/>
              </w:rPr>
            </w:pPr>
            <w:r>
              <w:rPr>
                <w:b/>
                <w:bCs/>
                <w:sz w:val="20"/>
              </w:rPr>
              <w:t>№</w:t>
            </w:r>
          </w:p>
        </w:tc>
        <w:tc>
          <w:tcPr>
            <w:tcW w:w="2685" w:type="dxa"/>
            <w:tcBorders>
              <w:top w:val="single" w:sz="4" w:space="0" w:color="000000"/>
              <w:bottom w:val="single" w:sz="4" w:space="0" w:color="000000"/>
              <w:right w:val="single" w:sz="4" w:space="0" w:color="000000"/>
            </w:tcBorders>
            <w:shd w:color="auto" w:fill="auto" w:val="clear"/>
            <w:vAlign w:val="center"/>
          </w:tcPr>
          <w:p>
            <w:pPr>
              <w:pStyle w:val="Normal"/>
              <w:jc w:val="center"/>
              <w:rPr>
                <w:b/>
                <w:bCs/>
                <w:sz w:val="20"/>
              </w:rPr>
            </w:pPr>
            <w:r>
              <w:rPr>
                <w:b/>
                <w:bCs/>
                <w:sz w:val="20"/>
              </w:rPr>
              <w:t>Наименование Услуг</w:t>
            </w:r>
          </w:p>
        </w:tc>
        <w:tc>
          <w:tcPr>
            <w:tcW w:w="10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b/>
                <w:bCs/>
                <w:sz w:val="20"/>
              </w:rPr>
            </w:pPr>
            <w:r>
              <w:rPr>
                <w:b/>
                <w:bCs/>
                <w:sz w:val="20"/>
              </w:rPr>
              <w:t>Ед. изм.</w:t>
            </w:r>
          </w:p>
        </w:tc>
        <w:tc>
          <w:tcPr>
            <w:tcW w:w="6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b/>
                <w:bCs/>
                <w:sz w:val="20"/>
              </w:rPr>
            </w:pPr>
            <w:r>
              <w:rPr>
                <w:b/>
                <w:bCs/>
                <w:sz w:val="20"/>
              </w:rPr>
              <w:t>Кол-во</w:t>
            </w:r>
          </w:p>
        </w:tc>
        <w:tc>
          <w:tcPr>
            <w:tcW w:w="2025" w:type="dxa"/>
            <w:tcBorders>
              <w:top w:val="single" w:sz="4" w:space="0" w:color="000000"/>
              <w:left w:val="single" w:sz="4" w:space="0" w:color="000000"/>
              <w:bottom w:val="single" w:sz="4" w:space="0" w:color="000000"/>
              <w:right w:val="single" w:sz="4" w:space="0" w:color="000000"/>
            </w:tcBorders>
          </w:tcPr>
          <w:p>
            <w:pPr>
              <w:pStyle w:val="Normal"/>
              <w:jc w:val="center"/>
              <w:rPr>
                <w:b/>
                <w:bCs/>
                <w:sz w:val="20"/>
              </w:rPr>
            </w:pPr>
            <w:r>
              <w:rPr>
                <w:b/>
                <w:bCs/>
                <w:sz w:val="20"/>
              </w:rPr>
              <w:t>Наименование оборудования</w:t>
            </w:r>
          </w:p>
        </w:tc>
        <w:tc>
          <w:tcPr>
            <w:tcW w:w="18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b/>
                <w:bCs/>
                <w:sz w:val="20"/>
              </w:rPr>
            </w:pPr>
            <w:r>
              <w:rPr>
                <w:b/>
                <w:bCs/>
                <w:sz w:val="20"/>
              </w:rPr>
              <w:t>Регистрационный номер МИ</w:t>
            </w:r>
          </w:p>
        </w:tc>
        <w:tc>
          <w:tcPr>
            <w:tcW w:w="815" w:type="dxa"/>
            <w:tcBorders>
              <w:top w:val="single" w:sz="4" w:space="0" w:color="000000"/>
              <w:bottom w:val="single" w:sz="4" w:space="0" w:color="000000"/>
              <w:right w:val="single" w:sz="4" w:space="0" w:color="000000"/>
            </w:tcBorders>
            <w:shd w:color="auto" w:fill="auto" w:val="clear"/>
            <w:vAlign w:val="center"/>
          </w:tcPr>
          <w:p>
            <w:pPr>
              <w:pStyle w:val="Normal"/>
              <w:jc w:val="center"/>
              <w:rPr>
                <w:b/>
                <w:bCs/>
                <w:sz w:val="20"/>
              </w:rPr>
            </w:pPr>
            <w:r>
              <w:rPr>
                <w:b/>
                <w:bCs/>
                <w:sz w:val="20"/>
              </w:rPr>
              <w:t>Вид МИ</w:t>
            </w:r>
          </w:p>
        </w:tc>
        <w:tc>
          <w:tcPr>
            <w:tcW w:w="1133" w:type="dxa"/>
            <w:tcBorders>
              <w:top w:val="single" w:sz="4" w:space="0" w:color="000000"/>
              <w:bottom w:val="single" w:sz="4" w:space="0" w:color="000000"/>
              <w:right w:val="single" w:sz="4" w:space="0" w:color="000000"/>
            </w:tcBorders>
            <w:shd w:color="auto" w:fill="auto" w:val="clear"/>
            <w:vAlign w:val="center"/>
          </w:tcPr>
          <w:p>
            <w:pPr>
              <w:pStyle w:val="Normal"/>
              <w:tabs>
                <w:tab w:val="clear" w:pos="708"/>
                <w:tab w:val="left" w:pos="810" w:leader="none"/>
              </w:tabs>
              <w:jc w:val="center"/>
              <w:rPr>
                <w:b/>
                <w:bCs/>
                <w:sz w:val="20"/>
              </w:rPr>
            </w:pPr>
            <w:r>
              <w:rPr>
                <w:b/>
                <w:bCs/>
                <w:sz w:val="20"/>
              </w:rPr>
              <w:t>Класс риска применения МИ</w:t>
            </w:r>
          </w:p>
        </w:tc>
      </w:tr>
      <w:tr>
        <w:trPr>
          <w:trHeight w:val="20" w:hRule="atLeast"/>
        </w:trPr>
        <w:tc>
          <w:tcPr>
            <w:tcW w:w="434" w:type="dxa"/>
            <w:tcBorders>
              <w:left w:val="single" w:sz="4" w:space="0" w:color="000000"/>
              <w:bottom w:val="single" w:sz="4" w:space="0" w:color="000000"/>
              <w:right w:val="single" w:sz="4" w:space="0" w:color="000000"/>
            </w:tcBorders>
            <w:shd w:color="auto" w:fill="auto" w:val="clear"/>
            <w:vAlign w:val="center"/>
          </w:tcPr>
          <w:p>
            <w:pPr>
              <w:pStyle w:val="Normal"/>
              <w:jc w:val="center"/>
              <w:rPr>
                <w:sz w:val="20"/>
              </w:rPr>
            </w:pPr>
            <w:r>
              <w:rPr>
                <w:sz w:val="20"/>
              </w:rPr>
              <w:t>1</w:t>
            </w:r>
          </w:p>
        </w:tc>
        <w:tc>
          <w:tcPr>
            <w:tcW w:w="2685" w:type="dxa"/>
            <w:tcBorders>
              <w:top w:val="single" w:sz="4" w:space="0" w:color="000000"/>
              <w:bottom w:val="single" w:sz="4" w:space="0" w:color="000000"/>
              <w:right w:val="single" w:sz="4" w:space="0" w:color="000000"/>
            </w:tcBorders>
            <w:shd w:color="auto" w:fill="auto" w:val="clear"/>
            <w:vAlign w:val="center"/>
          </w:tcPr>
          <w:p>
            <w:pPr>
              <w:pStyle w:val="Normal"/>
              <w:rPr>
                <w:sz w:val="20"/>
              </w:rPr>
            </w:pPr>
            <w:r>
              <w:rPr>
                <w:sz w:val="20"/>
              </w:rPr>
              <w:t>Ремонт электрокардиостимулятора эндокардиальной стимуляции ЭКС-Сетал-1В</w:t>
            </w:r>
          </w:p>
        </w:tc>
        <w:tc>
          <w:tcPr>
            <w:tcW w:w="10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sz w:val="20"/>
              </w:rPr>
            </w:pPr>
            <w:r>
              <w:rPr>
                <w:sz w:val="20"/>
              </w:rPr>
              <w:t>условная единица</w:t>
            </w:r>
          </w:p>
        </w:tc>
        <w:tc>
          <w:tcPr>
            <w:tcW w:w="6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color w:val="000000"/>
                <w:sz w:val="20"/>
              </w:rPr>
            </w:pPr>
            <w:r>
              <w:rPr>
                <w:color w:val="000000"/>
                <w:sz w:val="20"/>
              </w:rPr>
              <w:t>1</w:t>
            </w:r>
          </w:p>
        </w:tc>
        <w:tc>
          <w:tcPr>
            <w:tcW w:w="2025" w:type="dxa"/>
            <w:tcBorders>
              <w:top w:val="single" w:sz="4" w:space="0" w:color="000000"/>
              <w:left w:val="single" w:sz="4" w:space="0" w:color="000000"/>
              <w:bottom w:val="single" w:sz="4" w:space="0" w:color="000000"/>
              <w:right w:val="single" w:sz="4" w:space="0" w:color="000000"/>
            </w:tcBorders>
          </w:tcPr>
          <w:p>
            <w:pPr>
              <w:pStyle w:val="Normal"/>
              <w:rPr>
                <w:sz w:val="20"/>
              </w:rPr>
            </w:pPr>
            <w:r>
              <w:rPr>
                <w:sz w:val="20"/>
              </w:rPr>
              <w:t>Носимый модуль для чрескожной трансвенозной стимуляции</w:t>
            </w:r>
          </w:p>
          <w:p>
            <w:pPr>
              <w:pStyle w:val="Normal"/>
              <w:rPr>
                <w:sz w:val="20"/>
              </w:rPr>
            </w:pPr>
            <w:r>
              <w:rPr>
                <w:sz w:val="20"/>
              </w:rPr>
              <w:t>Инв. номер 1 010 643 543</w:t>
            </w:r>
          </w:p>
          <w:p>
            <w:pPr>
              <w:pStyle w:val="Normal"/>
              <w:rPr>
                <w:sz w:val="20"/>
              </w:rPr>
            </w:pPr>
            <w:r>
              <w:rPr>
                <w:sz w:val="20"/>
              </w:rPr>
              <w:t xml:space="preserve">Зав. номер </w:t>
            </w:r>
            <w:r>
              <w:rPr>
                <w:rFonts w:cs="Arial" w:ascii="Arial" w:hAnsi="Arial"/>
                <w:sz w:val="16"/>
                <w:szCs w:val="16"/>
              </w:rPr>
              <w:t>0111020</w:t>
            </w:r>
          </w:p>
        </w:tc>
        <w:tc>
          <w:tcPr>
            <w:tcW w:w="18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sz w:val="20"/>
              </w:rPr>
            </w:pPr>
            <w:r>
              <w:rPr>
                <w:sz w:val="20"/>
              </w:rPr>
              <w:t>ФСР 2011/10113</w:t>
            </w:r>
          </w:p>
        </w:tc>
        <w:tc>
          <w:tcPr>
            <w:tcW w:w="815" w:type="dxa"/>
            <w:tcBorders>
              <w:bottom w:val="single" w:sz="4" w:space="0" w:color="000000"/>
              <w:right w:val="single" w:sz="4" w:space="0" w:color="000000"/>
            </w:tcBorders>
            <w:shd w:color="auto" w:fill="auto" w:val="clear"/>
            <w:vAlign w:val="center"/>
          </w:tcPr>
          <w:p>
            <w:pPr>
              <w:pStyle w:val="Normal"/>
              <w:jc w:val="center"/>
              <w:rPr>
                <w:sz w:val="20"/>
              </w:rPr>
            </w:pPr>
            <w:r>
              <w:rPr>
                <w:color w:val="000000"/>
                <w:sz w:val="20"/>
                <w:shd w:fill="F6F6F6" w:val="clear"/>
              </w:rPr>
              <w:t>266430</w:t>
            </w:r>
          </w:p>
        </w:tc>
        <w:tc>
          <w:tcPr>
            <w:tcW w:w="1133" w:type="dxa"/>
            <w:tcBorders>
              <w:bottom w:val="single" w:sz="4" w:space="0" w:color="000000"/>
              <w:right w:val="single" w:sz="4" w:space="0" w:color="000000"/>
            </w:tcBorders>
            <w:shd w:color="auto" w:fill="auto" w:val="clear"/>
            <w:vAlign w:val="center"/>
          </w:tcPr>
          <w:p>
            <w:pPr>
              <w:pStyle w:val="Normal"/>
              <w:ind w:left="227" w:right="283"/>
              <w:jc w:val="center"/>
              <w:rPr>
                <w:sz w:val="20"/>
              </w:rPr>
            </w:pPr>
            <w:r>
              <w:rPr>
                <w:sz w:val="20"/>
              </w:rPr>
              <w:t>2б</w:t>
            </w:r>
          </w:p>
        </w:tc>
      </w:tr>
    </w:tbl>
    <w:p>
      <w:pPr>
        <w:pStyle w:val="NoSpacing"/>
        <w:rPr>
          <w:rFonts w:ascii="Times New Roman" w:hAnsi="Times New Roman"/>
          <w:sz w:val="20"/>
          <w:szCs w:val="20"/>
        </w:rPr>
      </w:pPr>
      <w:r>
        <w:rPr>
          <w:rFonts w:ascii="Times New Roman" w:hAnsi="Times New Roman"/>
          <w:sz w:val="20"/>
          <w:szCs w:val="20"/>
        </w:rPr>
      </w:r>
    </w:p>
    <w:p>
      <w:pPr>
        <w:pStyle w:val="ListParagraph"/>
        <w:numPr>
          <w:ilvl w:val="0"/>
          <w:numId w:val="3"/>
        </w:numPr>
        <w:spacing w:lineRule="auto" w:line="276"/>
        <w:rPr>
          <w:b/>
          <w:sz w:val="20"/>
        </w:rPr>
      </w:pPr>
      <w:r>
        <w:rPr>
          <w:b/>
          <w:sz w:val="20"/>
        </w:rPr>
        <w:t>Требования к техническим и функциональным характеристикам услуг:</w:t>
      </w:r>
    </w:p>
    <w:tbl>
      <w:tblPr>
        <w:tblW w:w="10490" w:type="dxa"/>
        <w:jc w:val="left"/>
        <w:tblInd w:w="109" w:type="dxa"/>
        <w:tblLayout w:type="fixed"/>
        <w:tblCellMar>
          <w:top w:w="0" w:type="dxa"/>
          <w:left w:w="108" w:type="dxa"/>
          <w:bottom w:w="0" w:type="dxa"/>
          <w:right w:w="108" w:type="dxa"/>
        </w:tblCellMar>
        <w:tblLook w:val="04a0" w:noHBand="0" w:noVBand="1" w:firstColumn="1" w:lastRow="0" w:lastColumn="0" w:firstRow="1"/>
      </w:tblPr>
      <w:tblGrid>
        <w:gridCol w:w="424"/>
        <w:gridCol w:w="5105"/>
        <w:gridCol w:w="4961"/>
      </w:tblGrid>
      <w:tr>
        <w:trPr/>
        <w:tc>
          <w:tcPr>
            <w:tcW w:w="424" w:type="dxa"/>
            <w:tcBorders/>
          </w:tcPr>
          <w:p>
            <w:pPr>
              <w:pStyle w:val="Normal"/>
              <w:rPr>
                <w:b/>
                <w:sz w:val="20"/>
              </w:rPr>
            </w:pPr>
            <w:r>
              <w:rPr>
                <w:b/>
                <w:sz w:val="20"/>
              </w:rPr>
              <w:t>№</w:t>
            </w:r>
          </w:p>
        </w:tc>
        <w:tc>
          <w:tcPr>
            <w:tcW w:w="5105" w:type="dxa"/>
            <w:tcBorders/>
          </w:tcPr>
          <w:p>
            <w:pPr>
              <w:pStyle w:val="Normal"/>
              <w:rPr>
                <w:b/>
                <w:sz w:val="20"/>
              </w:rPr>
            </w:pPr>
            <w:r>
              <w:rPr>
                <w:b/>
                <w:sz w:val="20"/>
              </w:rPr>
              <w:t>Перечень работ</w:t>
            </w:r>
          </w:p>
        </w:tc>
        <w:tc>
          <w:tcPr>
            <w:tcW w:w="4961" w:type="dxa"/>
            <w:tcBorders/>
          </w:tcPr>
          <w:p>
            <w:pPr>
              <w:pStyle w:val="Normal"/>
              <w:rPr>
                <w:b/>
                <w:sz w:val="20"/>
              </w:rPr>
            </w:pPr>
            <w:r>
              <w:rPr>
                <w:b/>
                <w:sz w:val="20"/>
              </w:rPr>
              <w:t>Перечень запасных частей, подлежащих к замене</w:t>
            </w:r>
          </w:p>
        </w:tc>
      </w:tr>
      <w:tr>
        <w:trPr>
          <w:trHeight w:val="987" w:hRule="atLeast"/>
        </w:trPr>
        <w:tc>
          <w:tcPr>
            <w:tcW w:w="424" w:type="dxa"/>
            <w:tcBorders/>
          </w:tcPr>
          <w:p>
            <w:pPr>
              <w:pStyle w:val="Normal"/>
              <w:jc w:val="both"/>
              <w:rPr>
                <w:sz w:val="20"/>
              </w:rPr>
            </w:pPr>
            <w:r>
              <w:rPr>
                <w:sz w:val="20"/>
              </w:rPr>
              <w:t>1</w:t>
            </w:r>
          </w:p>
        </w:tc>
        <w:tc>
          <w:tcPr>
            <w:tcW w:w="5105" w:type="dxa"/>
            <w:tcBorders/>
          </w:tcPr>
          <w:p>
            <w:pPr>
              <w:pStyle w:val="Normal"/>
              <w:jc w:val="both"/>
              <w:rPr>
                <w:sz w:val="20"/>
              </w:rPr>
            </w:pPr>
            <w:r>
              <w:rPr>
                <w:sz w:val="20"/>
              </w:rPr>
              <w:t>Замена электронных компонентов</w:t>
            </w:r>
          </w:p>
          <w:p>
            <w:pPr>
              <w:pStyle w:val="Normal"/>
              <w:jc w:val="both"/>
              <w:rPr>
                <w:sz w:val="20"/>
              </w:rPr>
            </w:pPr>
            <w:r>
              <w:rPr>
                <w:sz w:val="20"/>
              </w:rPr>
              <w:t>Замена корпуса и пленочной клавиатуры</w:t>
            </w:r>
          </w:p>
          <w:p>
            <w:pPr>
              <w:pStyle w:val="Normal"/>
              <w:jc w:val="both"/>
              <w:rPr>
                <w:sz w:val="20"/>
              </w:rPr>
            </w:pPr>
            <w:r>
              <w:rPr>
                <w:sz w:val="20"/>
              </w:rPr>
              <w:t>Настройка, тестирование.</w:t>
            </w:r>
          </w:p>
        </w:tc>
        <w:tc>
          <w:tcPr>
            <w:tcW w:w="4961" w:type="dxa"/>
            <w:tcBorders/>
          </w:tcPr>
          <w:p>
            <w:pPr>
              <w:pStyle w:val="Normal"/>
              <w:jc w:val="both"/>
              <w:rPr>
                <w:sz w:val="20"/>
              </w:rPr>
            </w:pPr>
            <w:r>
              <w:rPr>
                <w:sz w:val="20"/>
              </w:rPr>
              <w:t>Электронные компоненты, корпус, пленочная клавиатура</w:t>
            </w:r>
          </w:p>
        </w:tc>
      </w:tr>
    </w:tbl>
    <w:p>
      <w:pPr>
        <w:pStyle w:val="ListParagraph"/>
        <w:numPr>
          <w:ilvl w:val="0"/>
          <w:numId w:val="4"/>
        </w:numPr>
        <w:tabs>
          <w:tab w:val="clear" w:pos="708"/>
          <w:tab w:val="left" w:pos="851" w:leader="none"/>
        </w:tabs>
        <w:jc w:val="both"/>
        <w:rPr>
          <w:b/>
          <w:sz w:val="20"/>
          <w:szCs w:val="20"/>
        </w:rPr>
      </w:pPr>
      <w:r>
        <w:rPr>
          <w:b/>
          <w:sz w:val="20"/>
          <w:szCs w:val="20"/>
        </w:rPr>
        <w:t>Сроки выполнения работ.</w:t>
      </w:r>
    </w:p>
    <w:p>
      <w:pPr>
        <w:pStyle w:val="NoSpacing"/>
        <w:jc w:val="both"/>
        <w:rPr>
          <w:rFonts w:ascii="Times New Roman" w:hAnsi="Times New Roman"/>
          <w:sz w:val="20"/>
          <w:szCs w:val="20"/>
        </w:rPr>
      </w:pPr>
      <w:r>
        <w:rPr>
          <w:rFonts w:ascii="Times New Roman" w:hAnsi="Times New Roman"/>
          <w:sz w:val="20"/>
          <w:szCs w:val="20"/>
        </w:rPr>
        <w:t>Работы выполняются Подрядчиком в течении 15 (пятнадцати) рабочих дней с даты подписания Контракта.</w:t>
      </w:r>
    </w:p>
    <w:p>
      <w:pPr>
        <w:pStyle w:val="ListParagraph"/>
        <w:tabs>
          <w:tab w:val="clear" w:pos="708"/>
          <w:tab w:val="left" w:pos="851" w:leader="none"/>
        </w:tabs>
        <w:ind w:left="786"/>
        <w:jc w:val="both"/>
        <w:rPr>
          <w:b/>
          <w:sz w:val="20"/>
          <w:szCs w:val="20"/>
        </w:rPr>
      </w:pPr>
      <w:r>
        <w:rPr>
          <w:b/>
          <w:sz w:val="20"/>
          <w:szCs w:val="20"/>
        </w:rPr>
        <w:t>Место выполнения работ.</w:t>
      </w:r>
    </w:p>
    <w:p>
      <w:pPr>
        <w:pStyle w:val="ListParagraph"/>
        <w:tabs>
          <w:tab w:val="clear" w:pos="708"/>
          <w:tab w:val="left" w:pos="851" w:leader="none"/>
        </w:tabs>
        <w:ind w:hanging="786" w:left="786"/>
        <w:jc w:val="both"/>
        <w:rPr>
          <w:b/>
          <w:sz w:val="20"/>
          <w:szCs w:val="20"/>
        </w:rPr>
      </w:pPr>
      <w:r>
        <w:rPr>
          <w:sz w:val="20"/>
          <w:szCs w:val="20"/>
        </w:rPr>
        <w:t>Техническая база производителя оборудования. Все транспортные расходы оплачиваются Подрядчиком.</w:t>
      </w:r>
    </w:p>
    <w:p>
      <w:pPr>
        <w:pStyle w:val="ListParagraph"/>
        <w:numPr>
          <w:ilvl w:val="0"/>
          <w:numId w:val="5"/>
        </w:numPr>
        <w:jc w:val="both"/>
        <w:rPr>
          <w:b/>
          <w:sz w:val="20"/>
          <w:szCs w:val="20"/>
        </w:rPr>
      </w:pPr>
      <w:r>
        <w:rPr>
          <w:b/>
          <w:sz w:val="20"/>
          <w:szCs w:val="20"/>
        </w:rPr>
        <w:t>Требования к наличию разрешительных документов.</w:t>
      </w:r>
    </w:p>
    <w:p>
      <w:pPr>
        <w:pStyle w:val="ListParagraph"/>
        <w:numPr>
          <w:ilvl w:val="0"/>
          <w:numId w:val="0"/>
        </w:numPr>
        <w:tabs>
          <w:tab w:val="clear" w:pos="708"/>
          <w:tab w:val="left" w:pos="426" w:leader="none"/>
          <w:tab w:val="left" w:pos="851" w:leader="none"/>
        </w:tabs>
        <w:ind w:firstLine="426" w:left="0"/>
        <w:jc w:val="both"/>
        <w:outlineLvl w:val="1"/>
        <w:rPr>
          <w:b/>
          <w:sz w:val="20"/>
          <w:szCs w:val="20"/>
        </w:rPr>
      </w:pPr>
      <w:r>
        <w:rPr>
          <w:b/>
          <w:sz w:val="20"/>
          <w:szCs w:val="20"/>
        </w:rPr>
        <w:t>Перечень документов, подтверждающих соответствие участника размещения заказа требованию, копии которых участник размещения заказа обязан предоставить в составе заявки:</w:t>
      </w:r>
    </w:p>
    <w:p>
      <w:pPr>
        <w:pStyle w:val="ListParagraph"/>
        <w:tabs>
          <w:tab w:val="clear" w:pos="708"/>
          <w:tab w:val="left" w:pos="851" w:leader="none"/>
        </w:tabs>
        <w:ind w:firstLine="426" w:left="0"/>
        <w:jc w:val="both"/>
        <w:rPr>
          <w:sz w:val="20"/>
          <w:szCs w:val="20"/>
        </w:rPr>
      </w:pPr>
      <w:r>
        <w:rPr>
          <w:sz w:val="20"/>
          <w:szCs w:val="20"/>
        </w:rPr>
        <w:t>-выписку из реестра лицензий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на вид деятельности: техническое обслуживание групп медицинской техники класса 2б потенциального риска применения: сердечно-сосудистые медицинские изделия;</w:t>
      </w:r>
    </w:p>
    <w:p>
      <w:pPr>
        <w:pStyle w:val="ListParagraph"/>
        <w:tabs>
          <w:tab w:val="clear" w:pos="708"/>
          <w:tab w:val="left" w:pos="851" w:leader="none"/>
        </w:tabs>
        <w:ind w:firstLine="426" w:left="0"/>
        <w:jc w:val="both"/>
        <w:rPr>
          <w:sz w:val="20"/>
          <w:szCs w:val="20"/>
        </w:rPr>
      </w:pPr>
      <w:r>
        <w:rPr>
          <w:sz w:val="20"/>
          <w:szCs w:val="20"/>
        </w:rPr>
        <w:t>- копия документа, подтверждающего наличие действующей системы менеджмента качества в соответствии с с ГОСТ ISO 9001-2015 или ГОСТ ISO 13485-2017, в соответствии с ГОСТ Р 57501-2017 «Национальный стандарт Российской Федерации. Техническое обслуживание медицинских изделий. Требования для государственных закупок».</w:t>
      </w:r>
    </w:p>
    <w:p>
      <w:pPr>
        <w:pStyle w:val="ListParagraph"/>
        <w:numPr>
          <w:ilvl w:val="0"/>
          <w:numId w:val="5"/>
        </w:numPr>
        <w:tabs>
          <w:tab w:val="clear" w:pos="708"/>
          <w:tab w:val="left" w:pos="426" w:leader="none"/>
          <w:tab w:val="left" w:pos="851" w:leader="none"/>
        </w:tabs>
        <w:suppressAutoHyphens w:val="false"/>
        <w:jc w:val="both"/>
        <w:outlineLvl w:val="1"/>
        <w:rPr>
          <w:b/>
          <w:sz w:val="20"/>
          <w:szCs w:val="20"/>
        </w:rPr>
      </w:pPr>
      <w:r>
        <w:rPr>
          <w:b/>
          <w:sz w:val="20"/>
          <w:szCs w:val="20"/>
        </w:rPr>
        <w:t>Требования к квалификации персонала Подрядчика.</w:t>
      </w:r>
    </w:p>
    <w:p>
      <w:pPr>
        <w:pStyle w:val="ListParagraph"/>
        <w:tabs>
          <w:tab w:val="clear" w:pos="708"/>
          <w:tab w:val="left" w:pos="851" w:leader="none"/>
        </w:tabs>
        <w:ind w:firstLine="426" w:left="0"/>
        <w:jc w:val="both"/>
        <w:rPr>
          <w:sz w:val="20"/>
          <w:szCs w:val="20"/>
        </w:rPr>
      </w:pPr>
      <w:r>
        <w:rPr>
          <w:sz w:val="20"/>
          <w:szCs w:val="20"/>
        </w:rPr>
        <w:t>Подрядчик должен иметь специалистов по всем видам МИ, указанным в перечне МИ, подлежащих ремонту. Квалификация специалистов должна быть подтверждена соответствующими удостоверяющими документами в соответствии с действующим законодательством</w:t>
      </w:r>
    </w:p>
    <w:p>
      <w:pPr>
        <w:pStyle w:val="ListParagraph"/>
        <w:tabs>
          <w:tab w:val="clear" w:pos="708"/>
          <w:tab w:val="left" w:pos="851" w:leader="none"/>
        </w:tabs>
        <w:ind w:firstLine="426" w:left="0"/>
        <w:jc w:val="both"/>
        <w:rPr>
          <w:sz w:val="20"/>
          <w:szCs w:val="20"/>
        </w:rPr>
      </w:pPr>
      <w:r>
        <w:rPr>
          <w:sz w:val="20"/>
          <w:szCs w:val="20"/>
        </w:rPr>
        <w:t>Подрядчик в течение двух рабочих дней с момента заключения контракта предоставляет список сотрудников, которые непосредственно будут оказывать услуги по техническому обслуживанию и ремонту МИ с указанием реквизитов удостоверений (сертификатов) об обучении, (обучение, профессиональную подготовку, повышение квалификации).</w:t>
      </w:r>
    </w:p>
    <w:p>
      <w:pPr>
        <w:pStyle w:val="ListParagraph"/>
        <w:tabs>
          <w:tab w:val="clear" w:pos="708"/>
          <w:tab w:val="left" w:pos="851" w:leader="none"/>
        </w:tabs>
        <w:ind w:firstLine="426" w:left="0"/>
        <w:jc w:val="both"/>
        <w:rPr>
          <w:sz w:val="20"/>
          <w:szCs w:val="20"/>
        </w:rPr>
      </w:pPr>
      <w:r>
        <w:rPr>
          <w:sz w:val="20"/>
          <w:szCs w:val="20"/>
        </w:rPr>
        <w:t>Сотрудники Подрядчика должны быть аттестованы по правилам электробезопасности (Основание ПТЭЭП Гл.1.4. п.1.4.30, п. 5.2. «ГОСТ Р 57501-2017. Национальный стандарт Российской Федерации. Техническое обслуживание медицинских изделий. Требования для государственных закупок»).</w:t>
      </w:r>
    </w:p>
    <w:p>
      <w:pPr>
        <w:pStyle w:val="Normal"/>
        <w:ind w:firstLine="510" w:left="45"/>
        <w:jc w:val="both"/>
        <w:rPr>
          <w:rFonts w:eastAsia="Calibri"/>
          <w:sz w:val="20"/>
          <w:lang w:eastAsia="en-US"/>
        </w:rPr>
      </w:pPr>
      <w:r>
        <w:rPr>
          <w:rFonts w:eastAsia="Calibri"/>
          <w:sz w:val="20"/>
          <w:lang w:eastAsia="en-US"/>
        </w:rPr>
        <w:t>Список сотрудников Подрядчик предоставляет по следующей форме:</w:t>
      </w:r>
    </w:p>
    <w:tbl>
      <w:tblPr>
        <w:tblW w:w="5000" w:type="pct"/>
        <w:jc w:val="left"/>
        <w:tblInd w:w="113" w:type="dxa"/>
        <w:tblLayout w:type="fixed"/>
        <w:tblCellMar>
          <w:top w:w="0" w:type="dxa"/>
          <w:left w:w="108" w:type="dxa"/>
          <w:bottom w:w="0" w:type="dxa"/>
          <w:right w:w="108" w:type="dxa"/>
        </w:tblCellMar>
        <w:tblLook w:val="01e0" w:noHBand="0" w:noVBand="0" w:firstColumn="1" w:lastRow="1" w:lastColumn="1" w:firstRow="1"/>
      </w:tblPr>
      <w:tblGrid>
        <w:gridCol w:w="554"/>
        <w:gridCol w:w="1759"/>
        <w:gridCol w:w="1416"/>
        <w:gridCol w:w="6332"/>
      </w:tblGrid>
      <w:tr>
        <w:trPr/>
        <w:tc>
          <w:tcPr>
            <w:tcW w:w="554" w:type="dxa"/>
            <w:tcBorders>
              <w:top w:val="single" w:sz="4" w:space="0" w:color="000000"/>
              <w:left w:val="single" w:sz="4" w:space="0" w:color="000000"/>
              <w:bottom w:val="single" w:sz="4" w:space="0" w:color="000000"/>
              <w:right w:val="single" w:sz="4" w:space="0" w:color="000000"/>
            </w:tcBorders>
            <w:vAlign w:val="center"/>
          </w:tcPr>
          <w:p>
            <w:pPr>
              <w:pStyle w:val="Normal"/>
              <w:ind w:firstLine="97" w:left="45"/>
              <w:jc w:val="both"/>
              <w:rPr>
                <w:rFonts w:eastAsia="Calibri"/>
                <w:sz w:val="20"/>
                <w:lang w:eastAsia="en-US"/>
              </w:rPr>
            </w:pPr>
            <w:r>
              <w:rPr>
                <w:rFonts w:eastAsia="Calibri"/>
                <w:sz w:val="20"/>
                <w:lang w:eastAsia="en-US"/>
              </w:rPr>
              <w:t xml:space="preserve">№ </w:t>
            </w:r>
            <w:r>
              <w:rPr>
                <w:rFonts w:eastAsia="Calibri"/>
                <w:sz w:val="20"/>
                <w:lang w:eastAsia="en-US"/>
              </w:rPr>
              <w:t>п/п</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ind w:firstLine="97" w:left="45"/>
              <w:jc w:val="both"/>
              <w:rPr>
                <w:rFonts w:eastAsia="Calibri"/>
                <w:sz w:val="20"/>
                <w:lang w:eastAsia="en-US"/>
              </w:rPr>
            </w:pPr>
            <w:r>
              <w:rPr>
                <w:rFonts w:eastAsia="Calibri"/>
                <w:sz w:val="20"/>
                <w:lang w:eastAsia="en-US"/>
              </w:rPr>
              <w:t>Наименование оборудования</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ind w:firstLine="97" w:left="45"/>
              <w:jc w:val="both"/>
              <w:rPr>
                <w:rFonts w:eastAsia="Calibri"/>
                <w:sz w:val="20"/>
                <w:lang w:eastAsia="en-US"/>
              </w:rPr>
            </w:pPr>
            <w:r>
              <w:rPr>
                <w:rFonts w:eastAsia="Calibri"/>
                <w:sz w:val="20"/>
                <w:lang w:eastAsia="en-US"/>
              </w:rPr>
              <w:t>Ф.И.О. сотрудника, должность</w:t>
            </w:r>
          </w:p>
        </w:tc>
        <w:tc>
          <w:tcPr>
            <w:tcW w:w="6332" w:type="dxa"/>
            <w:tcBorders>
              <w:top w:val="single" w:sz="4" w:space="0" w:color="000000"/>
              <w:left w:val="single" w:sz="4" w:space="0" w:color="000000"/>
              <w:bottom w:val="single" w:sz="4" w:space="0" w:color="000000"/>
              <w:right w:val="single" w:sz="4" w:space="0" w:color="000000"/>
            </w:tcBorders>
            <w:vAlign w:val="center"/>
          </w:tcPr>
          <w:p>
            <w:pPr>
              <w:pStyle w:val="Normal"/>
              <w:ind w:firstLine="97" w:left="45"/>
              <w:jc w:val="both"/>
              <w:rPr>
                <w:rFonts w:eastAsia="Calibri"/>
                <w:sz w:val="20"/>
                <w:lang w:eastAsia="en-US"/>
              </w:rPr>
            </w:pPr>
            <w:r>
              <w:rPr>
                <w:rFonts w:eastAsia="Calibri"/>
                <w:sz w:val="20"/>
                <w:lang w:eastAsia="en-US"/>
              </w:rPr>
              <w:t>Реквизиты документа, подтверждающего повышение квалификации (название, №, дата выдачи, какой организацией выдан)</w:t>
            </w:r>
          </w:p>
        </w:tc>
      </w:tr>
      <w:tr>
        <w:trPr/>
        <w:tc>
          <w:tcPr>
            <w:tcW w:w="554" w:type="dxa"/>
            <w:tcBorders>
              <w:top w:val="single" w:sz="4" w:space="0" w:color="000000"/>
              <w:left w:val="single" w:sz="4" w:space="0" w:color="000000"/>
              <w:bottom w:val="single" w:sz="4" w:space="0" w:color="000000"/>
              <w:right w:val="single" w:sz="4" w:space="0" w:color="000000"/>
            </w:tcBorders>
          </w:tcPr>
          <w:p>
            <w:pPr>
              <w:pStyle w:val="Normal"/>
              <w:ind w:firstLine="97" w:left="45"/>
              <w:jc w:val="both"/>
              <w:rPr>
                <w:rFonts w:eastAsia="Calibri"/>
                <w:sz w:val="20"/>
                <w:lang w:eastAsia="en-US"/>
              </w:rPr>
            </w:pPr>
            <w:r>
              <w:rPr>
                <w:rFonts w:eastAsia="Calibri"/>
                <w:sz w:val="20"/>
                <w:lang w:eastAsia="en-US"/>
              </w:rPr>
            </w:r>
          </w:p>
        </w:tc>
        <w:tc>
          <w:tcPr>
            <w:tcW w:w="1759" w:type="dxa"/>
            <w:tcBorders>
              <w:top w:val="single" w:sz="4" w:space="0" w:color="000000"/>
              <w:left w:val="single" w:sz="4" w:space="0" w:color="000000"/>
              <w:bottom w:val="single" w:sz="4" w:space="0" w:color="000000"/>
              <w:right w:val="single" w:sz="4" w:space="0" w:color="000000"/>
            </w:tcBorders>
          </w:tcPr>
          <w:p>
            <w:pPr>
              <w:pStyle w:val="Normal"/>
              <w:jc w:val="both"/>
              <w:rPr>
                <w:rFonts w:eastAsia="Calibri"/>
                <w:color w:val="000000"/>
                <w:sz w:val="20"/>
                <w:lang w:eastAsia="en-US"/>
              </w:rPr>
            </w:pPr>
            <w:r>
              <w:rPr>
                <w:rFonts w:eastAsia="Calibri"/>
                <w:color w:val="000000"/>
                <w:sz w:val="20"/>
                <w:lang w:eastAsia="en-US"/>
              </w:rPr>
            </w:r>
          </w:p>
        </w:tc>
        <w:tc>
          <w:tcPr>
            <w:tcW w:w="1416" w:type="dxa"/>
            <w:tcBorders>
              <w:top w:val="single" w:sz="4" w:space="0" w:color="000000"/>
              <w:left w:val="single" w:sz="4" w:space="0" w:color="000000"/>
              <w:bottom w:val="single" w:sz="4" w:space="0" w:color="000000"/>
              <w:right w:val="single" w:sz="4" w:space="0" w:color="000000"/>
            </w:tcBorders>
          </w:tcPr>
          <w:p>
            <w:pPr>
              <w:pStyle w:val="Normal"/>
              <w:ind w:firstLine="97" w:left="45"/>
              <w:jc w:val="both"/>
              <w:rPr>
                <w:rFonts w:eastAsia="Calibri"/>
                <w:sz w:val="20"/>
                <w:lang w:eastAsia="en-US"/>
              </w:rPr>
            </w:pPr>
            <w:r>
              <w:rPr>
                <w:rFonts w:eastAsia="Calibri"/>
                <w:sz w:val="20"/>
                <w:lang w:eastAsia="en-US"/>
              </w:rPr>
            </w:r>
          </w:p>
        </w:tc>
        <w:tc>
          <w:tcPr>
            <w:tcW w:w="6332" w:type="dxa"/>
            <w:tcBorders>
              <w:top w:val="single" w:sz="4" w:space="0" w:color="000000"/>
              <w:left w:val="single" w:sz="4" w:space="0" w:color="000000"/>
              <w:bottom w:val="single" w:sz="4" w:space="0" w:color="000000"/>
              <w:right w:val="single" w:sz="4" w:space="0" w:color="000000"/>
            </w:tcBorders>
          </w:tcPr>
          <w:p>
            <w:pPr>
              <w:pStyle w:val="Normal"/>
              <w:ind w:firstLine="97" w:left="45"/>
              <w:jc w:val="both"/>
              <w:rPr>
                <w:rFonts w:eastAsia="Calibri"/>
                <w:sz w:val="20"/>
                <w:lang w:eastAsia="en-US"/>
              </w:rPr>
            </w:pPr>
            <w:r>
              <w:rPr>
                <w:rFonts w:eastAsia="Calibri"/>
                <w:sz w:val="20"/>
                <w:lang w:eastAsia="en-US"/>
              </w:rPr>
            </w:r>
          </w:p>
        </w:tc>
      </w:tr>
    </w:tbl>
    <w:p>
      <w:pPr>
        <w:pStyle w:val="ListParagraph"/>
        <w:tabs>
          <w:tab w:val="clear" w:pos="708"/>
          <w:tab w:val="left" w:pos="851" w:leader="none"/>
        </w:tabs>
        <w:ind w:firstLine="426" w:left="0"/>
        <w:jc w:val="both"/>
        <w:rPr>
          <w:sz w:val="20"/>
          <w:szCs w:val="20"/>
        </w:rPr>
      </w:pPr>
      <w:r>
        <w:rPr>
          <w:sz w:val="20"/>
          <w:szCs w:val="20"/>
        </w:rPr>
      </w:r>
    </w:p>
    <w:p>
      <w:pPr>
        <w:pStyle w:val="ListParagraph"/>
        <w:numPr>
          <w:ilvl w:val="0"/>
          <w:numId w:val="5"/>
        </w:numPr>
        <w:tabs>
          <w:tab w:val="clear" w:pos="708"/>
          <w:tab w:val="left" w:pos="426" w:leader="none"/>
          <w:tab w:val="left" w:pos="851" w:leader="none"/>
        </w:tabs>
        <w:suppressAutoHyphens w:val="false"/>
        <w:spacing w:lineRule="exact" w:line="190" w:before="0" w:after="2"/>
        <w:ind w:firstLine="426" w:left="0"/>
        <w:jc w:val="both"/>
        <w:outlineLvl w:val="1"/>
        <w:rPr>
          <w:b/>
          <w:sz w:val="20"/>
          <w:szCs w:val="20"/>
        </w:rPr>
      </w:pPr>
      <w:r>
        <w:rPr>
          <w:b/>
          <w:sz w:val="20"/>
          <w:szCs w:val="20"/>
        </w:rPr>
        <w:t>Требования к контрольно-измерительному и технологическому испытательному оборудованию.</w:t>
      </w:r>
    </w:p>
    <w:p>
      <w:pPr>
        <w:pStyle w:val="ListParagraph"/>
        <w:tabs>
          <w:tab w:val="clear" w:pos="708"/>
          <w:tab w:val="left" w:pos="851" w:leader="none"/>
        </w:tabs>
        <w:ind w:firstLine="426" w:left="0"/>
        <w:jc w:val="both"/>
        <w:rPr>
          <w:color w:val="000000"/>
          <w:sz w:val="20"/>
          <w:szCs w:val="20"/>
          <w:lang w:eastAsia="ru-RU"/>
        </w:rPr>
      </w:pPr>
      <w:r>
        <w:rPr>
          <w:color w:val="000000"/>
          <w:sz w:val="20"/>
          <w:szCs w:val="20"/>
          <w:lang w:eastAsia="ru-RU"/>
        </w:rPr>
        <w:t xml:space="preserve">              </w:t>
      </w:r>
      <w:r>
        <w:rPr>
          <w:color w:val="000000"/>
          <w:sz w:val="20"/>
          <w:szCs w:val="20"/>
          <w:lang w:eastAsia="ru-RU"/>
        </w:rPr>
        <w:t>Подрядчик должен иметь контрольно-измерительное, технологическое и испытательное оборудование в номенклатуре и количестве, достаточном для проведения всех видов работ по ремонту МИ.</w:t>
      </w:r>
      <w:r>
        <w:rPr>
          <w:sz w:val="20"/>
          <w:szCs w:val="20"/>
        </w:rPr>
        <w:t xml:space="preserve"> </w:t>
      </w:r>
      <w:r>
        <w:rPr>
          <w:color w:val="000000"/>
          <w:sz w:val="20"/>
          <w:szCs w:val="20"/>
          <w:lang w:eastAsia="ru-RU"/>
        </w:rPr>
        <w:t>Средства измерения должны быть поверены. Технологическое испытательное оборудование, требующее аттестации, должно быть аттестовано по ГОСТ Р 8.568.</w:t>
      </w:r>
    </w:p>
    <w:p>
      <w:pPr>
        <w:pStyle w:val="ListParagraph"/>
        <w:numPr>
          <w:ilvl w:val="0"/>
          <w:numId w:val="5"/>
        </w:numPr>
        <w:tabs>
          <w:tab w:val="clear" w:pos="708"/>
          <w:tab w:val="left" w:pos="426" w:leader="none"/>
          <w:tab w:val="left" w:pos="851" w:leader="none"/>
        </w:tabs>
        <w:suppressAutoHyphens w:val="false"/>
        <w:spacing w:lineRule="exact" w:line="190" w:before="0" w:after="2"/>
        <w:ind w:firstLine="426" w:left="0"/>
        <w:jc w:val="both"/>
        <w:outlineLvl w:val="1"/>
        <w:rPr>
          <w:b/>
          <w:sz w:val="20"/>
          <w:szCs w:val="20"/>
        </w:rPr>
      </w:pPr>
      <w:r>
        <w:rPr>
          <w:rFonts w:eastAsia="Calibri"/>
          <w:b/>
          <w:sz w:val="20"/>
          <w:szCs w:val="20"/>
        </w:rPr>
        <w:t>Перечень документов, нормативных документов, определяющих требования к услугам по ремонту медицинского оборудования</w:t>
      </w:r>
    </w:p>
    <w:tbl>
      <w:tblPr>
        <w:tblW w:w="10470" w:type="dxa"/>
        <w:jc w:val="left"/>
        <w:tblInd w:w="221" w:type="dxa"/>
        <w:tblLayout w:type="fixed"/>
        <w:tblCellMar>
          <w:top w:w="0" w:type="dxa"/>
          <w:left w:w="108" w:type="dxa"/>
          <w:bottom w:w="0" w:type="dxa"/>
          <w:right w:w="108" w:type="dxa"/>
        </w:tblCellMar>
        <w:tblLook w:val="04a0" w:noHBand="0" w:noVBand="1" w:firstColumn="1" w:lastRow="0" w:lastColumn="0" w:firstRow="1"/>
      </w:tblPr>
      <w:tblGrid>
        <w:gridCol w:w="2714"/>
        <w:gridCol w:w="7755"/>
      </w:tblGrid>
      <w:tr>
        <w:trPr/>
        <w:tc>
          <w:tcPr>
            <w:tcW w:w="2714" w:type="dxa"/>
            <w:tcBorders>
              <w:top w:val="single" w:sz="4" w:space="0" w:color="000000"/>
              <w:left w:val="single" w:sz="4" w:space="0" w:color="000000"/>
              <w:bottom w:val="single" w:sz="4" w:space="0" w:color="000000"/>
              <w:right w:val="single" w:sz="4" w:space="0" w:color="000000"/>
            </w:tcBorders>
          </w:tcPr>
          <w:p>
            <w:pPr>
              <w:pStyle w:val="Normal"/>
              <w:spacing w:lineRule="auto" w:line="252"/>
              <w:jc w:val="center"/>
              <w:rPr>
                <w:rFonts w:eastAsia="Calibri"/>
                <w:b/>
                <w:sz w:val="20"/>
                <w:lang w:eastAsia="en-US"/>
              </w:rPr>
            </w:pPr>
            <w:r>
              <w:rPr>
                <w:rFonts w:eastAsia="Calibri"/>
                <w:b/>
                <w:sz w:val="20"/>
                <w:lang w:eastAsia="en-US"/>
              </w:rPr>
              <w:t>Обозначение</w:t>
            </w:r>
          </w:p>
        </w:tc>
        <w:tc>
          <w:tcPr>
            <w:tcW w:w="7755" w:type="dxa"/>
            <w:tcBorders>
              <w:top w:val="single" w:sz="4" w:space="0" w:color="000000"/>
              <w:left w:val="single" w:sz="4" w:space="0" w:color="000000"/>
              <w:bottom w:val="single" w:sz="4" w:space="0" w:color="000000"/>
              <w:right w:val="single" w:sz="4" w:space="0" w:color="000000"/>
            </w:tcBorders>
          </w:tcPr>
          <w:p>
            <w:pPr>
              <w:pStyle w:val="Normal"/>
              <w:spacing w:lineRule="auto" w:line="252"/>
              <w:jc w:val="center"/>
              <w:rPr>
                <w:rFonts w:eastAsia="Calibri"/>
                <w:b/>
                <w:sz w:val="20"/>
                <w:lang w:eastAsia="en-US"/>
              </w:rPr>
            </w:pPr>
            <w:r>
              <w:rPr>
                <w:rFonts w:eastAsia="Calibri"/>
                <w:b/>
                <w:sz w:val="20"/>
                <w:lang w:eastAsia="en-US"/>
              </w:rPr>
              <w:t>Наименование</w:t>
            </w:r>
          </w:p>
        </w:tc>
      </w:tr>
      <w:tr>
        <w:trPr/>
        <w:tc>
          <w:tcPr>
            <w:tcW w:w="2714" w:type="dxa"/>
            <w:tcBorders>
              <w:top w:val="single" w:sz="4" w:space="0" w:color="000000"/>
              <w:left w:val="single" w:sz="4" w:space="0" w:color="000000"/>
              <w:bottom w:val="single" w:sz="4" w:space="0" w:color="000000"/>
              <w:right w:val="single" w:sz="4" w:space="0" w:color="000000"/>
            </w:tcBorders>
          </w:tcPr>
          <w:p>
            <w:pPr>
              <w:pStyle w:val="Normal"/>
              <w:spacing w:lineRule="auto" w:line="252"/>
              <w:rPr>
                <w:rFonts w:eastAsia="Calibri"/>
                <w:sz w:val="20"/>
                <w:lang w:eastAsia="en-US"/>
              </w:rPr>
            </w:pPr>
            <w:r>
              <w:rPr>
                <w:rFonts w:eastAsia="Calibri"/>
                <w:sz w:val="20"/>
                <w:lang w:eastAsia="en-US"/>
              </w:rPr>
              <w:t>ГОСТ Р 57501-2017</w:t>
            </w:r>
          </w:p>
        </w:tc>
        <w:tc>
          <w:tcPr>
            <w:tcW w:w="7755" w:type="dxa"/>
            <w:tcBorders>
              <w:top w:val="single" w:sz="4" w:space="0" w:color="000000"/>
              <w:left w:val="single" w:sz="4" w:space="0" w:color="000000"/>
              <w:bottom w:val="single" w:sz="4" w:space="0" w:color="000000"/>
              <w:right w:val="single" w:sz="4" w:space="0" w:color="000000"/>
            </w:tcBorders>
          </w:tcPr>
          <w:p>
            <w:pPr>
              <w:pStyle w:val="Normal"/>
              <w:spacing w:lineRule="auto" w:line="252"/>
              <w:rPr>
                <w:rFonts w:eastAsia="Calibri"/>
                <w:sz w:val="20"/>
                <w:lang w:eastAsia="en-US"/>
              </w:rPr>
            </w:pPr>
            <w:r>
              <w:rPr>
                <w:rFonts w:eastAsia="Calibri"/>
                <w:sz w:val="20"/>
                <w:lang w:eastAsia="en-US"/>
              </w:rPr>
              <w:t>Техническое обслуживание медицинских изделий. Требования для государственных закупок</w:t>
            </w:r>
          </w:p>
        </w:tc>
      </w:tr>
      <w:tr>
        <w:trPr/>
        <w:tc>
          <w:tcPr>
            <w:tcW w:w="2714" w:type="dxa"/>
            <w:tcBorders>
              <w:top w:val="single" w:sz="4" w:space="0" w:color="000000"/>
              <w:left w:val="single" w:sz="4" w:space="0" w:color="000000"/>
              <w:bottom w:val="single" w:sz="4" w:space="0" w:color="000000"/>
              <w:right w:val="single" w:sz="4" w:space="0" w:color="000000"/>
            </w:tcBorders>
          </w:tcPr>
          <w:p>
            <w:pPr>
              <w:pStyle w:val="Normal"/>
              <w:spacing w:lineRule="auto" w:line="252"/>
              <w:rPr>
                <w:rFonts w:eastAsia="Calibri"/>
                <w:sz w:val="20"/>
                <w:lang w:eastAsia="en-US"/>
              </w:rPr>
            </w:pPr>
            <w:r>
              <w:rPr>
                <w:rFonts w:eastAsia="Calibri"/>
                <w:sz w:val="20"/>
                <w:lang w:eastAsia="en-US"/>
              </w:rPr>
              <w:t>ГОСТ Р 58451-2019</w:t>
            </w:r>
          </w:p>
        </w:tc>
        <w:tc>
          <w:tcPr>
            <w:tcW w:w="7755" w:type="dxa"/>
            <w:tcBorders>
              <w:top w:val="single" w:sz="4" w:space="0" w:color="000000"/>
              <w:left w:val="single" w:sz="4" w:space="0" w:color="000000"/>
              <w:bottom w:val="single" w:sz="4" w:space="0" w:color="000000"/>
              <w:right w:val="single" w:sz="4" w:space="0" w:color="000000"/>
            </w:tcBorders>
          </w:tcPr>
          <w:p>
            <w:pPr>
              <w:pStyle w:val="Normal"/>
              <w:spacing w:lineRule="auto" w:line="252"/>
              <w:rPr>
                <w:rFonts w:eastAsia="Calibri"/>
                <w:sz w:val="20"/>
                <w:lang w:eastAsia="en-US"/>
              </w:rPr>
            </w:pPr>
            <w:r>
              <w:rPr>
                <w:rFonts w:eastAsia="Calibri"/>
                <w:sz w:val="20"/>
                <w:lang w:eastAsia="en-US"/>
              </w:rPr>
              <w:t>Изделия медицинские. Обслуживание техническое. Основные положения</w:t>
            </w:r>
          </w:p>
        </w:tc>
      </w:tr>
      <w:tr>
        <w:trPr/>
        <w:tc>
          <w:tcPr>
            <w:tcW w:w="2714" w:type="dxa"/>
            <w:tcBorders>
              <w:top w:val="single" w:sz="4" w:space="0" w:color="000000"/>
              <w:left w:val="single" w:sz="4" w:space="0" w:color="000000"/>
              <w:bottom w:val="single" w:sz="4" w:space="0" w:color="000000"/>
              <w:right w:val="single" w:sz="4" w:space="0" w:color="000000"/>
            </w:tcBorders>
          </w:tcPr>
          <w:p>
            <w:pPr>
              <w:pStyle w:val="Normal"/>
              <w:spacing w:lineRule="auto" w:line="252"/>
              <w:rPr>
                <w:rFonts w:eastAsia="Calibri"/>
                <w:sz w:val="20"/>
                <w:lang w:eastAsia="en-US"/>
              </w:rPr>
            </w:pPr>
            <w:r>
              <w:rPr>
                <w:rFonts w:eastAsia="Calibri"/>
                <w:sz w:val="20"/>
                <w:lang w:eastAsia="en-US"/>
              </w:rPr>
              <w:t>ГОСТ Р 56606-2015</w:t>
            </w:r>
          </w:p>
        </w:tc>
        <w:tc>
          <w:tcPr>
            <w:tcW w:w="7755" w:type="dxa"/>
            <w:tcBorders>
              <w:top w:val="single" w:sz="4" w:space="0" w:color="000000"/>
              <w:left w:val="single" w:sz="4" w:space="0" w:color="000000"/>
              <w:bottom w:val="single" w:sz="4" w:space="0" w:color="000000"/>
              <w:right w:val="single" w:sz="4" w:space="0" w:color="000000"/>
            </w:tcBorders>
          </w:tcPr>
          <w:p>
            <w:pPr>
              <w:pStyle w:val="Normal"/>
              <w:spacing w:lineRule="auto" w:line="252"/>
              <w:rPr>
                <w:rFonts w:eastAsia="Calibri"/>
                <w:sz w:val="20"/>
                <w:lang w:val="en-US" w:eastAsia="en-US"/>
              </w:rPr>
            </w:pPr>
            <w:r>
              <w:rPr>
                <w:rFonts w:eastAsia="Calibri"/>
                <w:sz w:val="20"/>
                <w:lang w:eastAsia="en-US"/>
              </w:rPr>
              <w:t>Контроль технического состояния и функционирования медицинских изделий. Основные положения</w:t>
            </w:r>
          </w:p>
        </w:tc>
      </w:tr>
      <w:tr>
        <w:trPr/>
        <w:tc>
          <w:tcPr>
            <w:tcW w:w="2714" w:type="dxa"/>
            <w:tcBorders>
              <w:top w:val="single" w:sz="4" w:space="0" w:color="000000"/>
              <w:left w:val="single" w:sz="4" w:space="0" w:color="000000"/>
              <w:bottom w:val="single" w:sz="4" w:space="0" w:color="000000"/>
              <w:right w:val="single" w:sz="4" w:space="0" w:color="000000"/>
            </w:tcBorders>
          </w:tcPr>
          <w:p>
            <w:pPr>
              <w:pStyle w:val="Normal"/>
              <w:spacing w:lineRule="auto" w:line="252"/>
              <w:rPr>
                <w:rFonts w:eastAsia="Calibri"/>
                <w:sz w:val="20"/>
                <w:lang w:eastAsia="en-US"/>
              </w:rPr>
            </w:pPr>
            <w:r>
              <w:rPr>
                <w:rFonts w:eastAsia="Calibri"/>
                <w:sz w:val="20"/>
                <w:lang w:eastAsia="en-US"/>
              </w:rPr>
              <w:t>Федеральный закон № 99-ФЗ от 04.05.2011 г.</w:t>
            </w:r>
          </w:p>
        </w:tc>
        <w:tc>
          <w:tcPr>
            <w:tcW w:w="7755" w:type="dxa"/>
            <w:tcBorders>
              <w:top w:val="single" w:sz="4" w:space="0" w:color="000000"/>
              <w:left w:val="single" w:sz="4" w:space="0" w:color="000000"/>
              <w:bottom w:val="single" w:sz="4" w:space="0" w:color="000000"/>
              <w:right w:val="single" w:sz="4" w:space="0" w:color="000000"/>
            </w:tcBorders>
          </w:tcPr>
          <w:p>
            <w:pPr>
              <w:pStyle w:val="Normal"/>
              <w:spacing w:lineRule="auto" w:line="252"/>
              <w:rPr>
                <w:rFonts w:eastAsia="Calibri"/>
                <w:sz w:val="20"/>
                <w:lang w:eastAsia="en-US"/>
              </w:rPr>
            </w:pPr>
            <w:r>
              <w:rPr>
                <w:rFonts w:eastAsia="Calibri"/>
                <w:sz w:val="20"/>
                <w:lang w:eastAsia="en-US"/>
              </w:rPr>
              <w:t>«О лицензировании отдельных видов деятельности»</w:t>
            </w:r>
          </w:p>
        </w:tc>
      </w:tr>
      <w:tr>
        <w:trPr/>
        <w:tc>
          <w:tcPr>
            <w:tcW w:w="2714" w:type="dxa"/>
            <w:tcBorders>
              <w:top w:val="single" w:sz="4" w:space="0" w:color="000000"/>
              <w:left w:val="single" w:sz="4" w:space="0" w:color="000000"/>
              <w:bottom w:val="single" w:sz="4" w:space="0" w:color="000000"/>
              <w:right w:val="single" w:sz="4" w:space="0" w:color="000000"/>
            </w:tcBorders>
          </w:tcPr>
          <w:p>
            <w:pPr>
              <w:pStyle w:val="Normal"/>
              <w:spacing w:lineRule="auto" w:line="252"/>
              <w:rPr>
                <w:rFonts w:eastAsia="Calibri"/>
                <w:sz w:val="20"/>
                <w:lang w:eastAsia="en-US"/>
              </w:rPr>
            </w:pPr>
            <w:r>
              <w:rPr>
                <w:rFonts w:eastAsia="Calibri"/>
                <w:sz w:val="20"/>
                <w:lang w:eastAsia="en-US"/>
              </w:rPr>
              <w:t>Постановление Правительства РФ от 30.11.2021 г. №2129</w:t>
            </w:r>
          </w:p>
        </w:tc>
        <w:tc>
          <w:tcPr>
            <w:tcW w:w="7755" w:type="dxa"/>
            <w:tcBorders>
              <w:top w:val="single" w:sz="4" w:space="0" w:color="000000"/>
              <w:left w:val="single" w:sz="4" w:space="0" w:color="000000"/>
              <w:bottom w:val="single" w:sz="4" w:space="0" w:color="000000"/>
              <w:right w:val="single" w:sz="4" w:space="0" w:color="000000"/>
            </w:tcBorders>
          </w:tcPr>
          <w:p>
            <w:pPr>
              <w:pStyle w:val="Normal"/>
              <w:spacing w:lineRule="auto" w:line="252"/>
              <w:rPr>
                <w:rFonts w:eastAsia="Calibri"/>
                <w:sz w:val="20"/>
                <w:lang w:eastAsia="en-US"/>
              </w:rPr>
            </w:pPr>
            <w:r>
              <w:rPr>
                <w:rFonts w:eastAsia="Calibri"/>
                <w:sz w:val="20"/>
                <w:lang w:eastAsia="en-US"/>
              </w:rPr>
              <w:t>«Положение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w:t>
            </w:r>
          </w:p>
        </w:tc>
      </w:tr>
      <w:tr>
        <w:trPr/>
        <w:tc>
          <w:tcPr>
            <w:tcW w:w="2714" w:type="dxa"/>
            <w:tcBorders>
              <w:top w:val="single" w:sz="4" w:space="0" w:color="000000"/>
              <w:left w:val="single" w:sz="4" w:space="0" w:color="000000"/>
              <w:bottom w:val="single" w:sz="4" w:space="0" w:color="000000"/>
              <w:right w:val="single" w:sz="4" w:space="0" w:color="000000"/>
            </w:tcBorders>
          </w:tcPr>
          <w:p>
            <w:pPr>
              <w:pStyle w:val="Normal"/>
              <w:spacing w:lineRule="auto" w:line="252"/>
              <w:ind w:right="57"/>
              <w:rPr>
                <w:kern w:val="2"/>
                <w:sz w:val="20"/>
                <w:lang w:eastAsia="en-US"/>
              </w:rPr>
            </w:pPr>
            <w:r>
              <w:rPr>
                <w:kern w:val="2"/>
                <w:sz w:val="20"/>
                <w:lang w:eastAsia="en-US"/>
              </w:rPr>
              <w:t>ГОСТ 20911-89</w:t>
            </w:r>
          </w:p>
        </w:tc>
        <w:tc>
          <w:tcPr>
            <w:tcW w:w="7755" w:type="dxa"/>
            <w:tcBorders>
              <w:top w:val="single" w:sz="4" w:space="0" w:color="000000"/>
              <w:left w:val="single" w:sz="4" w:space="0" w:color="000000"/>
              <w:bottom w:val="single" w:sz="4" w:space="0" w:color="000000"/>
              <w:right w:val="single" w:sz="4" w:space="0" w:color="000000"/>
            </w:tcBorders>
          </w:tcPr>
          <w:p>
            <w:pPr>
              <w:pStyle w:val="Normal"/>
              <w:spacing w:lineRule="auto" w:line="252"/>
              <w:ind w:right="57"/>
              <w:rPr>
                <w:kern w:val="2"/>
                <w:sz w:val="20"/>
                <w:lang w:eastAsia="en-US"/>
              </w:rPr>
            </w:pPr>
            <w:r>
              <w:rPr>
                <w:kern w:val="2"/>
                <w:sz w:val="20"/>
                <w:lang w:eastAsia="en-US"/>
              </w:rPr>
              <w:t>Техническая диагностика. Термины и определения</w:t>
            </w:r>
          </w:p>
        </w:tc>
      </w:tr>
      <w:tr>
        <w:trPr/>
        <w:tc>
          <w:tcPr>
            <w:tcW w:w="2714" w:type="dxa"/>
            <w:tcBorders>
              <w:top w:val="single" w:sz="4" w:space="0" w:color="000000"/>
              <w:left w:val="single" w:sz="4" w:space="0" w:color="000000"/>
              <w:bottom w:val="single" w:sz="4" w:space="0" w:color="000000"/>
              <w:right w:val="single" w:sz="4" w:space="0" w:color="000000"/>
            </w:tcBorders>
          </w:tcPr>
          <w:p>
            <w:pPr>
              <w:pStyle w:val="Normal"/>
              <w:spacing w:lineRule="auto" w:line="252"/>
              <w:ind w:right="57"/>
              <w:rPr>
                <w:kern w:val="2"/>
                <w:sz w:val="20"/>
                <w:lang w:eastAsia="en-US"/>
              </w:rPr>
            </w:pPr>
            <w:r>
              <w:rPr>
                <w:kern w:val="2"/>
                <w:sz w:val="20"/>
                <w:lang w:eastAsia="en-US"/>
              </w:rPr>
              <w:t>ГОСТ 18322-2016</w:t>
            </w:r>
          </w:p>
        </w:tc>
        <w:tc>
          <w:tcPr>
            <w:tcW w:w="7755" w:type="dxa"/>
            <w:tcBorders>
              <w:top w:val="single" w:sz="4" w:space="0" w:color="000000"/>
              <w:left w:val="single" w:sz="4" w:space="0" w:color="000000"/>
              <w:bottom w:val="single" w:sz="4" w:space="0" w:color="000000"/>
              <w:right w:val="single" w:sz="4" w:space="0" w:color="000000"/>
            </w:tcBorders>
          </w:tcPr>
          <w:p>
            <w:pPr>
              <w:pStyle w:val="Normal"/>
              <w:spacing w:lineRule="auto" w:line="252"/>
              <w:ind w:right="57"/>
              <w:rPr>
                <w:kern w:val="2"/>
                <w:sz w:val="20"/>
                <w:lang w:eastAsia="en-US"/>
              </w:rPr>
            </w:pPr>
            <w:r>
              <w:rPr>
                <w:sz w:val="20"/>
                <w:lang w:eastAsia="en-US"/>
              </w:rPr>
              <w:t>Система технического обслуживания и ремонта техники. Термины и определения</w:t>
            </w:r>
          </w:p>
        </w:tc>
      </w:tr>
      <w:tr>
        <w:trPr/>
        <w:tc>
          <w:tcPr>
            <w:tcW w:w="2714" w:type="dxa"/>
            <w:tcBorders>
              <w:top w:val="single" w:sz="4" w:space="0" w:color="000000"/>
              <w:left w:val="single" w:sz="4" w:space="0" w:color="000000"/>
              <w:bottom w:val="single" w:sz="4" w:space="0" w:color="000000"/>
              <w:right w:val="single" w:sz="4" w:space="0" w:color="000000"/>
            </w:tcBorders>
          </w:tcPr>
          <w:p>
            <w:pPr>
              <w:pStyle w:val="Normal"/>
              <w:spacing w:lineRule="auto" w:line="252"/>
              <w:ind w:right="57"/>
              <w:rPr>
                <w:kern w:val="2"/>
                <w:sz w:val="20"/>
                <w:lang w:eastAsia="en-US"/>
              </w:rPr>
            </w:pPr>
            <w:r>
              <w:rPr>
                <w:kern w:val="2"/>
                <w:sz w:val="20"/>
                <w:lang w:eastAsia="en-US"/>
              </w:rPr>
              <w:t>ГОСТ Р 50326-2020</w:t>
            </w:r>
          </w:p>
        </w:tc>
        <w:tc>
          <w:tcPr>
            <w:tcW w:w="7755" w:type="dxa"/>
            <w:tcBorders>
              <w:top w:val="single" w:sz="4" w:space="0" w:color="000000"/>
              <w:left w:val="single" w:sz="4" w:space="0" w:color="000000"/>
              <w:bottom w:val="single" w:sz="4" w:space="0" w:color="000000"/>
              <w:right w:val="single" w:sz="4" w:space="0" w:color="000000"/>
            </w:tcBorders>
          </w:tcPr>
          <w:p>
            <w:pPr>
              <w:pStyle w:val="Normal"/>
              <w:spacing w:lineRule="auto" w:line="252"/>
              <w:ind w:right="57"/>
              <w:rPr>
                <w:kern w:val="2"/>
                <w:sz w:val="20"/>
                <w:lang w:eastAsia="en-US"/>
              </w:rPr>
            </w:pPr>
            <w:r>
              <w:rPr>
                <w:kern w:val="2"/>
                <w:sz w:val="20"/>
                <w:lang w:eastAsia="en-US"/>
              </w:rPr>
              <w:t>Основные принципы безопасности электрического оборудования, применяемого в медицинской практике</w:t>
            </w:r>
          </w:p>
        </w:tc>
      </w:tr>
      <w:tr>
        <w:trPr/>
        <w:tc>
          <w:tcPr>
            <w:tcW w:w="10469"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52"/>
              <w:ind w:right="57"/>
              <w:rPr>
                <w:kern w:val="2"/>
                <w:sz w:val="20"/>
                <w:lang w:eastAsia="en-US"/>
              </w:rPr>
            </w:pPr>
            <w:r>
              <w:rPr>
                <w:sz w:val="20"/>
                <w:lang w:eastAsia="en-US"/>
              </w:rPr>
              <w:t>Эксплуатационная и техническая документация на МИ (паспорт, формуляр, руководство по эксплуатации, руководство по ремонту).</w:t>
            </w:r>
          </w:p>
        </w:tc>
      </w:tr>
      <w:tr>
        <w:trPr/>
        <w:tc>
          <w:tcPr>
            <w:tcW w:w="10469"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52"/>
              <w:ind w:right="57"/>
              <w:rPr>
                <w:kern w:val="2"/>
                <w:sz w:val="20"/>
                <w:highlight w:val="yellow"/>
                <w:lang w:eastAsia="en-US"/>
              </w:rPr>
            </w:pPr>
            <w:r>
              <w:rPr>
                <w:sz w:val="20"/>
                <w:lang w:eastAsia="en-US"/>
              </w:rPr>
              <w:t>Иные действующие нормативные документы.</w:t>
            </w:r>
          </w:p>
        </w:tc>
      </w:tr>
      <w:tr>
        <w:trPr/>
        <w:tc>
          <w:tcPr>
            <w:tcW w:w="10469"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52" w:before="0" w:after="0"/>
              <w:contextualSpacing/>
              <w:rPr>
                <w:sz w:val="20"/>
                <w:lang w:eastAsia="en-US"/>
              </w:rPr>
            </w:pPr>
            <w:r>
              <w:rPr>
                <w:sz w:val="20"/>
                <w:lang w:eastAsia="en-US"/>
              </w:rPr>
              <w:t>В случае, если один из перечисленных документов утратил силу вследствие отмены или замены на иной документ, Подрядчик обязан руководствоваться действующей редакцией такого нормативно-технического документа, ГОСТ и т.п.</w:t>
            </w:r>
          </w:p>
        </w:tc>
      </w:tr>
    </w:tbl>
    <w:p>
      <w:pPr>
        <w:pStyle w:val="ListParagraph"/>
        <w:numPr>
          <w:ilvl w:val="0"/>
          <w:numId w:val="5"/>
        </w:numPr>
        <w:tabs>
          <w:tab w:val="clear" w:pos="708"/>
          <w:tab w:val="left" w:pos="426" w:leader="none"/>
          <w:tab w:val="left" w:pos="851" w:leader="none"/>
        </w:tabs>
        <w:suppressAutoHyphens w:val="false"/>
        <w:spacing w:lineRule="exact" w:line="190" w:before="0" w:after="2"/>
        <w:ind w:firstLine="426" w:left="0"/>
        <w:outlineLvl w:val="1"/>
        <w:rPr>
          <w:b/>
          <w:sz w:val="20"/>
          <w:szCs w:val="20"/>
        </w:rPr>
      </w:pPr>
      <w:r>
        <w:rPr>
          <w:b/>
          <w:sz w:val="20"/>
          <w:szCs w:val="20"/>
        </w:rPr>
        <w:t>Требования к обеспечению качества ремонта медицинских изделий.</w:t>
      </w:r>
    </w:p>
    <w:p>
      <w:pPr>
        <w:pStyle w:val="ListParagraph"/>
        <w:tabs>
          <w:tab w:val="clear" w:pos="708"/>
          <w:tab w:val="left" w:pos="851" w:leader="none"/>
        </w:tabs>
        <w:ind w:firstLine="426" w:left="0"/>
        <w:jc w:val="both"/>
        <w:rPr>
          <w:sz w:val="20"/>
          <w:szCs w:val="20"/>
        </w:rPr>
      </w:pPr>
      <w:r>
        <w:rPr>
          <w:sz w:val="20"/>
          <w:szCs w:val="20"/>
        </w:rPr>
        <w:t>Обязательные требования:</w:t>
      </w:r>
    </w:p>
    <w:p>
      <w:pPr>
        <w:pStyle w:val="Normal"/>
        <w:tabs>
          <w:tab w:val="clear" w:pos="708"/>
          <w:tab w:val="left" w:pos="851" w:leader="none"/>
        </w:tabs>
        <w:spacing w:before="0" w:after="0"/>
        <w:contextualSpacing/>
        <w:jc w:val="both"/>
        <w:rPr>
          <w:sz w:val="20"/>
        </w:rPr>
      </w:pPr>
      <w:r>
        <w:rPr>
          <w:sz w:val="20"/>
        </w:rPr>
        <w:t xml:space="preserve"> </w:t>
      </w:r>
      <w:r>
        <w:rPr>
          <w:sz w:val="20"/>
        </w:rPr>
        <w:t xml:space="preserve">- Наличие у Подрядчика действующей системы менеджмента качества в соответствии с ГОСТ ISO 9001-2015 или ГОСТ ISO 13485-2017; </w:t>
      </w:r>
    </w:p>
    <w:p>
      <w:pPr>
        <w:pStyle w:val="Normal"/>
        <w:tabs>
          <w:tab w:val="clear" w:pos="708"/>
          <w:tab w:val="left" w:pos="851" w:leader="none"/>
        </w:tabs>
        <w:spacing w:before="0" w:after="0"/>
        <w:contextualSpacing/>
        <w:jc w:val="both"/>
        <w:rPr>
          <w:sz w:val="20"/>
        </w:rPr>
      </w:pPr>
      <w:r>
        <w:rPr>
          <w:i/>
          <w:sz w:val="20"/>
        </w:rPr>
        <w:t xml:space="preserve">- </w:t>
      </w:r>
      <w:r>
        <w:rPr>
          <w:sz w:val="20"/>
        </w:rPr>
        <w:t xml:space="preserve">Проведение ремонта согласно действующей технической и эксплуатационной документации изготовителя (производителя) МИ; </w:t>
      </w:r>
    </w:p>
    <w:p>
      <w:pPr>
        <w:pStyle w:val="Normal"/>
        <w:jc w:val="both"/>
        <w:rPr>
          <w:rFonts w:eastAsia="Arial"/>
          <w:sz w:val="20"/>
          <w:lang w:bidi="ru-RU"/>
        </w:rPr>
      </w:pPr>
      <w:r>
        <w:rPr>
          <w:sz w:val="20"/>
        </w:rPr>
        <w:t xml:space="preserve"> </w:t>
      </w:r>
      <w:r>
        <w:rPr>
          <w:sz w:val="20"/>
        </w:rPr>
        <w:t xml:space="preserve">- </w:t>
      </w:r>
      <w:r>
        <w:rPr>
          <w:rFonts w:eastAsia="Arial"/>
          <w:sz w:val="20"/>
          <w:lang w:bidi="ru-RU"/>
        </w:rPr>
        <w:t>Наличие у Подрядчика материально-технической базы, обеспечивающей необходимое качество и оперативность при оказании услуг по проведению ремонта медицинского оборудования (автотранспорт, инструмент, оборудование, измерительную и калибровочную технику и т.д.).</w:t>
      </w:r>
    </w:p>
    <w:p>
      <w:pPr>
        <w:pStyle w:val="Normal"/>
        <w:tabs>
          <w:tab w:val="clear" w:pos="708"/>
          <w:tab w:val="left" w:pos="851" w:leader="none"/>
        </w:tabs>
        <w:spacing w:before="0" w:after="0"/>
        <w:contextualSpacing/>
        <w:jc w:val="both"/>
        <w:rPr>
          <w:sz w:val="20"/>
        </w:rPr>
      </w:pPr>
      <w:r>
        <w:rPr>
          <w:i/>
          <w:sz w:val="20"/>
        </w:rPr>
        <w:t xml:space="preserve"> </w:t>
      </w:r>
      <w:r>
        <w:rPr>
          <w:i/>
          <w:sz w:val="20"/>
        </w:rPr>
        <w:t xml:space="preserve">- </w:t>
      </w:r>
      <w:r>
        <w:rPr>
          <w:sz w:val="20"/>
        </w:rPr>
        <w:t xml:space="preserve">Использование запасных частей, в том числе расходных материалов, предусмотренных действующей технической и эксплуатационной документацией изготовителя (производителя) МИ. </w:t>
      </w:r>
    </w:p>
    <w:p>
      <w:pPr>
        <w:pStyle w:val="Normal"/>
        <w:tabs>
          <w:tab w:val="clear" w:pos="708"/>
          <w:tab w:val="left" w:pos="0" w:leader="none"/>
        </w:tabs>
        <w:spacing w:before="0" w:after="0"/>
        <w:contextualSpacing/>
        <w:jc w:val="both"/>
        <w:rPr>
          <w:sz w:val="20"/>
        </w:rPr>
      </w:pPr>
      <w:r>
        <w:rPr>
          <w:sz w:val="20"/>
        </w:rPr>
        <w:t xml:space="preserve">- Работы по проведению ремонта оказываются комплектами инструментов и средствами измерений Подрядчика в соответствии с рекомендациями, регламентом и методиками, разработанными и утвержденными фирмой-изготовителем оборудования, подлежащего ремонту. </w:t>
      </w:r>
    </w:p>
    <w:p>
      <w:pPr>
        <w:pStyle w:val="Normal"/>
        <w:tabs>
          <w:tab w:val="clear" w:pos="708"/>
          <w:tab w:val="left" w:pos="0" w:leader="none"/>
        </w:tabs>
        <w:spacing w:before="0" w:after="0"/>
        <w:contextualSpacing/>
        <w:jc w:val="both"/>
        <w:rPr>
          <w:sz w:val="20"/>
        </w:rPr>
      </w:pPr>
      <w:r>
        <w:rPr>
          <w:sz w:val="20"/>
        </w:rPr>
        <w:t>- Подрядчик должен иметь полный комплект действующей нормативной, технической и эксплуатационной документации, необходимой для оказания услуг по ремонту медицинского изделия. Подрядчик, по требованию Заказчика, обязан предоставить копии действующей нормативной, технической и эксплуатационной документации в срок не более 5 (пяти) рабочих дней со момента получения такого требования.</w:t>
      </w:r>
    </w:p>
    <w:p>
      <w:pPr>
        <w:pStyle w:val="Normal"/>
        <w:tabs>
          <w:tab w:val="clear" w:pos="708"/>
          <w:tab w:val="left" w:pos="0" w:leader="none"/>
        </w:tabs>
        <w:spacing w:before="0" w:after="0"/>
        <w:contextualSpacing/>
        <w:jc w:val="both"/>
        <w:rPr>
          <w:sz w:val="20"/>
        </w:rPr>
      </w:pPr>
      <w:r>
        <w:rPr>
          <w:sz w:val="20"/>
        </w:rPr>
      </w:r>
    </w:p>
    <w:p>
      <w:pPr>
        <w:pStyle w:val="Normal"/>
        <w:tabs>
          <w:tab w:val="clear" w:pos="708"/>
          <w:tab w:val="left" w:pos="0" w:leader="none"/>
        </w:tabs>
        <w:spacing w:before="0" w:after="0"/>
        <w:contextualSpacing/>
        <w:jc w:val="both"/>
        <w:rPr>
          <w:sz w:val="20"/>
        </w:rPr>
      </w:pPr>
      <w:r>
        <w:rPr>
          <w:sz w:val="20"/>
        </w:rPr>
        <w:t xml:space="preserve"> </w:t>
      </w:r>
      <w:r>
        <w:rPr>
          <w:sz w:val="20"/>
        </w:rPr>
        <w:t xml:space="preserve">9. </w:t>
      </w:r>
      <w:r>
        <w:rPr>
          <w:b/>
          <w:sz w:val="20"/>
        </w:rPr>
        <w:t>Срок предоставления гарантий качества работ</w:t>
      </w:r>
    </w:p>
    <w:p>
      <w:pPr>
        <w:pStyle w:val="Normal"/>
        <w:tabs>
          <w:tab w:val="clear" w:pos="708"/>
          <w:tab w:val="left" w:pos="0" w:leader="none"/>
        </w:tabs>
        <w:spacing w:before="0" w:after="0"/>
        <w:contextualSpacing/>
        <w:jc w:val="both"/>
        <w:rPr>
          <w:sz w:val="20"/>
        </w:rPr>
      </w:pPr>
      <w:r>
        <w:rPr>
          <w:sz w:val="20"/>
          <w:szCs w:val="20"/>
        </w:rPr>
        <w:t>Срок гарантии качества выполненных работ (оказанных услуг), а также на установленные запасные части соста</w:t>
      </w:r>
      <w:r>
        <w:rPr>
          <w:sz w:val="20"/>
        </w:rPr>
        <w:t>вляет 3 (три) месяца с момента подписания акта выполненных работ.</w:t>
      </w:r>
    </w:p>
    <w:p>
      <w:pPr>
        <w:pStyle w:val="Normal"/>
        <w:tabs>
          <w:tab w:val="clear" w:pos="708"/>
          <w:tab w:val="left" w:pos="0" w:leader="none"/>
        </w:tabs>
        <w:spacing w:before="0" w:after="0"/>
        <w:contextualSpacing/>
        <w:jc w:val="both"/>
        <w:rPr>
          <w:sz w:val="20"/>
        </w:rPr>
      </w:pPr>
      <w:r>
        <w:rPr>
          <w:sz w:val="20"/>
        </w:rPr>
        <w:t xml:space="preserve">      </w:t>
      </w:r>
      <w:r>
        <w:rPr>
          <w:sz w:val="20"/>
        </w:rPr>
        <w:t>В случае нарушения работоспособности оборудования вследствие оказания услуг ненадлежащего качества, Подрядчик обязан устранить соответствующие неполадки и дефекты за свой счет в срок, согласованный с Заказчиком, с момента получения претензии (срок определяется в зависимости от вида необходимых работ, но не может превышать 10 (десяти) рабочих дней). При этом, гарантийный срок продлевается на период времени, в течение которого оборудование не использовалось из-за обнаружения дефектов.</w:t>
      </w:r>
    </w:p>
    <w:p>
      <w:pPr>
        <w:pStyle w:val="Normal"/>
        <w:tabs>
          <w:tab w:val="clear" w:pos="708"/>
          <w:tab w:val="left" w:pos="0" w:leader="none"/>
        </w:tabs>
        <w:spacing w:before="0" w:after="0"/>
        <w:contextualSpacing/>
        <w:rPr>
          <w:sz w:val="20"/>
        </w:rPr>
      </w:pPr>
      <w:r>
        <w:rPr>
          <w:sz w:val="20"/>
        </w:rPr>
      </w:r>
    </w:p>
    <w:p>
      <w:pPr>
        <w:pStyle w:val="Normal"/>
        <w:tabs>
          <w:tab w:val="clear" w:pos="708"/>
          <w:tab w:val="left" w:pos="851" w:leader="none"/>
        </w:tabs>
        <w:rPr>
          <w:sz w:val="20"/>
        </w:rPr>
      </w:pPr>
      <w:r>
        <w:rPr>
          <w:sz w:val="20"/>
        </w:rPr>
      </w:r>
    </w:p>
    <w:p>
      <w:pPr>
        <w:pStyle w:val="Normal"/>
        <w:widowControl w:val="false"/>
        <w:ind w:firstLine="567"/>
        <w:jc w:val="right"/>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Подрядчик:</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______</w:t>
            </w:r>
          </w:p>
          <w:p>
            <w:pPr>
              <w:pStyle w:val="Normal"/>
              <w:rPr>
                <w:sz w:val="20"/>
                <w:szCs w:val="20"/>
              </w:rPr>
            </w:pPr>
            <w:r>
              <w:rPr>
                <w:sz w:val="20"/>
                <w:szCs w:val="20"/>
              </w:rPr>
              <w:t>__________</w:t>
            </w:r>
          </w:p>
          <w:p>
            <w:pPr>
              <w:pStyle w:val="Normal"/>
              <w:rPr>
                <w:sz w:val="20"/>
                <w:szCs w:val="20"/>
              </w:rPr>
            </w:pPr>
            <w:r>
              <w:rPr>
                <w:sz w:val="20"/>
                <w:szCs w:val="20"/>
              </w:rPr>
              <w:t>________________________</w:t>
            </w:r>
          </w:p>
        </w:tc>
      </w:tr>
    </w:tbl>
    <w:p>
      <w:pPr>
        <w:pStyle w:val="Normal"/>
        <w:widowControl w:val="false"/>
        <w:ind w:firstLine="567"/>
        <w:jc w:val="right"/>
        <w:rPr>
          <w:sz w:val="20"/>
          <w:szCs w:val="20"/>
        </w:rPr>
      </w:pPr>
      <w:r>
        <w:rPr>
          <w:sz w:val="20"/>
          <w:szCs w:val="20"/>
        </w:rPr>
      </w:r>
    </w:p>
    <w:sectPr>
      <w:footerReference w:type="even" r:id="rId2"/>
      <w:footerReference w:type="default" r:id="rId3"/>
      <w:footnotePr>
        <w:numFmt w:val="decimal"/>
      </w:footnotePr>
      <w:type w:val="nextPage"/>
      <w:pgSz w:w="11906" w:h="16838"/>
      <w:pgMar w:left="993" w:right="851" w:gutter="0" w:header="0" w:top="1135" w:footer="708" w:bottom="1134"/>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Cambria">
    <w:charset w:val="01"/>
    <w:family w:val="roman"/>
    <w:pitch w:val="default"/>
  </w:font>
  <w:font w:name="Calibri">
    <w:charset w:val="01"/>
    <w:family w:val="swiss"/>
    <w:pitch w:val="default"/>
  </w:font>
  <w:font w:name="CordiaUPC">
    <w:charset w:val="01"/>
    <w:family w:val="swiss"/>
    <w:pitch w:val="default"/>
  </w:font>
  <w:font w:name="Arial">
    <w:charset w:val="01"/>
    <w:family w:val="swiss"/>
    <w:pitch w:val="default"/>
  </w:font>
  <w:font w:name="Segoe UI">
    <w:charset w:val="01"/>
    <w:family w:val="swiss"/>
    <w:pitch w:val="default"/>
  </w:font>
  <w:font w:name="Courier New">
    <w:charset w:val="01"/>
    <w:family w:val="auto"/>
    <w:pitch w:val="default"/>
  </w:font>
  <w:font w:name="PT Astra Serif">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9</w:t>
    </w:r>
    <w:r>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widowControl w:val="false"/>
        <w:jc w:val="both"/>
        <w:rPr/>
      </w:pPr>
      <w:r>
        <w:rPr>
          <w:rStyle w:val="Style22"/>
        </w:rPr>
        <w:footnoteRef/>
      </w:r>
      <w:r>
        <w:rPr>
          <w:sz w:val="16"/>
        </w:rPr>
        <w:t xml:space="preserve"> </w:t>
      </w:r>
      <w:r>
        <w:rPr>
          <w:sz w:val="16"/>
        </w:rPr>
        <w:t>Указывается в случае, если выполнение Работ не подлежит налогообложению (освобождается от налогообложения) на территории Российской Федерации или Подрядчик применяет упрощенную систему налогообложения.</w:t>
      </w:r>
    </w:p>
  </w:footnote>
  <w:footnote w:id="3">
    <w:p>
      <w:pPr>
        <w:pStyle w:val="FootnoteText"/>
        <w:widowControl w:val="false"/>
        <w:jc w:val="both"/>
        <w:rPr>
          <w:sz w:val="16"/>
        </w:rPr>
      </w:pPr>
      <w:r>
        <w:rPr>
          <w:rStyle w:val="Style22"/>
        </w:rPr>
        <w:footnoteRef/>
      </w:r>
      <w:r>
        <w:rPr/>
        <w:t xml:space="preserve"> </w:t>
      </w:r>
      <w:r>
        <w:rPr>
          <w:sz w:val="16"/>
        </w:rPr>
        <w:t>Не предоставляется в случае применения Подрядчиком</w:t>
      </w:r>
      <w:bookmarkStart w:id="3" w:name="_GoBack_Копия_1_Копия_1_Копия_1_Копия_1_"/>
      <w:bookmarkEnd w:id="3"/>
      <w:r>
        <w:rPr>
          <w:sz w:val="16"/>
        </w:rPr>
        <w:t xml:space="preserve"> упрощенной системы налогообложения.</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5"/>
      <w:numFmt w:val="decimal"/>
      <w:lvlText w:val="%1."/>
      <w:lvlJc w:val="left"/>
      <w:pPr>
        <w:tabs>
          <w:tab w:val="num" w:pos="0"/>
        </w:tabs>
        <w:ind w:left="360" w:hanging="360"/>
      </w:pPr>
      <w:rPr/>
    </w:lvl>
    <w:lvl w:ilvl="1">
      <w:start w:val="4"/>
      <w:numFmt w:val="decimal"/>
      <w:lvlText w:val="%1.%2."/>
      <w:lvlJc w:val="left"/>
      <w:pPr>
        <w:tabs>
          <w:tab w:val="num" w:pos="0"/>
        </w:tabs>
        <w:ind w:left="360" w:hanging="360"/>
      </w:pPr>
      <w:rPr/>
    </w:lvl>
    <w:lvl w:ilvl="2">
      <w:start w:val="1"/>
      <w:numFmt w:val="decimal"/>
      <w:lvlText w:val="%1.%2.%3."/>
      <w:lvlJc w:val="left"/>
      <w:pPr>
        <w:tabs>
          <w:tab w:val="num" w:pos="0"/>
        </w:tabs>
        <w:ind w:left="360" w:hanging="36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720" w:hanging="720"/>
      </w:pPr>
      <w:rPr/>
    </w:lvl>
    <w:lvl w:ilvl="5">
      <w:start w:val="1"/>
      <w:numFmt w:val="decimal"/>
      <w:lvlText w:val="%1.%2.%3.%4.%5.%6."/>
      <w:lvlJc w:val="left"/>
      <w:pPr>
        <w:tabs>
          <w:tab w:val="num" w:pos="0"/>
        </w:tabs>
        <w:ind w:left="720" w:hanging="720"/>
      </w:pPr>
      <w:rPr/>
    </w:lvl>
    <w:lvl w:ilvl="6">
      <w:start w:val="1"/>
      <w:numFmt w:val="decimal"/>
      <w:lvlText w:val="%1.%2.%3.%4.%5.%6.%7."/>
      <w:lvlJc w:val="left"/>
      <w:pPr>
        <w:tabs>
          <w:tab w:val="num" w:pos="0"/>
        </w:tabs>
        <w:ind w:left="1080" w:hanging="1080"/>
      </w:pPr>
      <w:rPr/>
    </w:lvl>
    <w:lvl w:ilvl="7">
      <w:start w:val="1"/>
      <w:numFmt w:val="decimal"/>
      <w:lvlText w:val="%1.%2.%3.%4.%5.%6.%7.%8."/>
      <w:lvlJc w:val="left"/>
      <w:pPr>
        <w:tabs>
          <w:tab w:val="num" w:pos="0"/>
        </w:tabs>
        <w:ind w:left="1080" w:hanging="1080"/>
      </w:pPr>
      <w:rPr/>
    </w:lvl>
    <w:lvl w:ilvl="8">
      <w:start w:val="1"/>
      <w:numFmt w:val="decimal"/>
      <w:lvlText w:val="%1.%2.%3.%4.%5.%6.%7.%8.%9."/>
      <w:lvlJc w:val="left"/>
      <w:pPr>
        <w:tabs>
          <w:tab w:val="num" w:pos="0"/>
        </w:tabs>
        <w:ind w:left="1080" w:hanging="1080"/>
      </w:pPr>
      <w:rPr/>
    </w:lvl>
  </w:abstractNum>
  <w:abstractNum w:abstractNumId="2">
    <w:lvl w:ilvl="0">
      <w:start w:val="1"/>
      <w:numFmt w:val="decimal"/>
      <w:lvlText w:val="%1."/>
      <w:lvlJc w:val="left"/>
      <w:pPr>
        <w:tabs>
          <w:tab w:val="num" w:pos="0"/>
        </w:tabs>
        <w:ind w:left="57" w:hanging="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786" w:hanging="360"/>
      </w:pPr>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4">
    <w:lvl w:ilvl="0">
      <w:start w:val="3"/>
      <w:numFmt w:val="decimal"/>
      <w:lvlText w:val="%1."/>
      <w:lvlJc w:val="left"/>
      <w:pPr>
        <w:tabs>
          <w:tab w:val="num" w:pos="0"/>
        </w:tabs>
        <w:ind w:left="786" w:hanging="360"/>
      </w:pPr>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5">
    <w:lvl w:ilvl="0">
      <w:start w:val="4"/>
      <w:numFmt w:val="decimal"/>
      <w:lvlText w:val="%1."/>
      <w:lvlJc w:val="left"/>
      <w:pPr>
        <w:tabs>
          <w:tab w:val="num" w:pos="0"/>
        </w:tabs>
        <w:ind w:left="786" w:hanging="360"/>
      </w:pPr>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embedSystemFonts/>
  <w:defaultTabStop w:val="708"/>
  <w:autoHyphenation w:val="true"/>
  <w:hyphenationZone w:val="0"/>
  <w:footnotePr>
    <w:numFmt w:val="decimal"/>
    <w:footnote w:id="0"/>
    <w:footnote w:id="1"/>
  </w:footnotePr>
  <w:compat>
    <w:doNotBreakWrappedTables/>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Body Text 2" w:uiPriority="99"/>
    <w:lsdException w:name="Hyperlink" w:uiPriority="99"/>
    <w:lsdException w:name="Strong" w:uiPriority="22" w:qFormat="1"/>
    <w:lsdException w:name="Emphasis"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a2581c"/>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Style14" w:customStyle="1">
    <w:name w:val="Основной текст Знак"/>
    <w:qFormat/>
    <w:locked/>
    <w:rsid w:val="00a2581c"/>
    <w:rPr>
      <w:rFonts w:eastAsia="Calibri"/>
      <w:sz w:val="24"/>
      <w:szCs w:val="24"/>
      <w:lang w:val="x-none" w:eastAsia="x-none" w:bidi="ar-SA"/>
    </w:rPr>
  </w:style>
  <w:style w:type="character" w:styleId="Style15" w:customStyle="1">
    <w:name w:val="Заголовок Знак"/>
    <w:qFormat/>
    <w:rsid w:val="00a2581c"/>
    <w:rPr>
      <w:rFonts w:ascii="Cambria" w:hAnsi="Cambria" w:eastAsia="Calibri"/>
      <w:b/>
      <w:bCs/>
      <w:kern w:val="2"/>
      <w:sz w:val="32"/>
      <w:szCs w:val="32"/>
      <w:lang w:val="ru-RU" w:eastAsia="ru-RU" w:bidi="ar-SA"/>
    </w:rPr>
  </w:style>
  <w:style w:type="character" w:styleId="2" w:customStyle="1">
    <w:name w:val="Заголовок №2_"/>
    <w:link w:val="26"/>
    <w:qFormat/>
    <w:locked/>
    <w:rsid w:val="00a2581c"/>
    <w:rPr>
      <w:b/>
      <w:shd w:fill="FFFFFF" w:val="clear"/>
      <w:lang w:bidi="ar-SA"/>
    </w:rPr>
  </w:style>
  <w:style w:type="character" w:styleId="21" w:customStyle="1">
    <w:name w:val="Основной текст (2)_"/>
    <w:link w:val="27"/>
    <w:qFormat/>
    <w:locked/>
    <w:rsid w:val="00a2581c"/>
    <w:rPr>
      <w:i/>
      <w:shd w:fill="FFFFFF" w:val="clear"/>
      <w:lang w:bidi="ar-SA"/>
    </w:rPr>
  </w:style>
  <w:style w:type="character" w:styleId="22" w:customStyle="1">
    <w:name w:val="Основной текст (2) + Не курсив"/>
    <w:qFormat/>
    <w:rsid w:val="00a2581c"/>
    <w:rPr>
      <w:rFonts w:cs="Times New Roman"/>
      <w:i/>
      <w:iCs/>
      <w:shd w:fill="FFFFFF" w:val="clear"/>
      <w:lang w:bidi="ar-SA"/>
    </w:rPr>
  </w:style>
  <w:style w:type="character" w:styleId="2pt" w:customStyle="1">
    <w:name w:val="Основной текст + Интервал 2 pt"/>
    <w:qFormat/>
    <w:rsid w:val="00a2581c"/>
    <w:rPr>
      <w:spacing w:val="50"/>
    </w:rPr>
  </w:style>
  <w:style w:type="character" w:styleId="7" w:customStyle="1">
    <w:name w:val="Основной текст + Курсив7"/>
    <w:qFormat/>
    <w:rsid w:val="00a2581c"/>
    <w:rPr>
      <w:i/>
    </w:rPr>
  </w:style>
  <w:style w:type="character" w:styleId="6" w:customStyle="1">
    <w:name w:val="Основной текст + Курсив6"/>
    <w:qFormat/>
    <w:rsid w:val="00a2581c"/>
    <w:rPr>
      <w:i/>
    </w:rPr>
  </w:style>
  <w:style w:type="character" w:styleId="5" w:customStyle="1">
    <w:name w:val="Основной текст + Курсив5"/>
    <w:qFormat/>
    <w:rsid w:val="00a2581c"/>
    <w:rPr>
      <w:i/>
    </w:rPr>
  </w:style>
  <w:style w:type="character" w:styleId="24" w:customStyle="1">
    <w:name w:val="Основной текст (2) + Не курсив4"/>
    <w:qFormat/>
    <w:rsid w:val="00a2581c"/>
    <w:rPr>
      <w:rFonts w:cs="Times New Roman"/>
      <w:i/>
      <w:iCs/>
      <w:shd w:fill="FFFFFF" w:val="clear"/>
      <w:lang w:bidi="ar-SA"/>
    </w:rPr>
  </w:style>
  <w:style w:type="character" w:styleId="4" w:customStyle="1">
    <w:name w:val="Основной текст + Курсив4"/>
    <w:qFormat/>
    <w:rsid w:val="00a2581c"/>
    <w:rPr>
      <w:i/>
    </w:rPr>
  </w:style>
  <w:style w:type="character" w:styleId="211" w:customStyle="1">
    <w:name w:val="Основной текст (2) + Не курсив1"/>
    <w:qFormat/>
    <w:rsid w:val="00a2581c"/>
    <w:rPr>
      <w:rFonts w:cs="Times New Roman"/>
      <w:i/>
      <w:iCs/>
      <w:shd w:fill="FFFFFF" w:val="clear"/>
      <w:lang w:bidi="ar-SA"/>
    </w:rPr>
  </w:style>
  <w:style w:type="character" w:styleId="11" w:customStyle="1">
    <w:name w:val="11"/>
    <w:qFormat/>
    <w:rsid w:val="00a2581c"/>
    <w:rPr>
      <w:spacing w:val="-2"/>
    </w:rPr>
  </w:style>
  <w:style w:type="character" w:styleId="Style16" w:customStyle="1">
    <w:name w:val="Основной текст с отступом Знак"/>
    <w:qFormat/>
    <w:rsid w:val="00a2581c"/>
    <w:rPr>
      <w:rFonts w:ascii="Calibri" w:hAnsi="Calibri"/>
      <w:sz w:val="22"/>
      <w:szCs w:val="22"/>
      <w:lang w:val="ru-RU" w:eastAsia="ru-RU" w:bidi="ar-SA"/>
    </w:rPr>
  </w:style>
  <w:style w:type="character" w:styleId="3" w:customStyle="1">
    <w:name w:val="Основной текст (3)_"/>
    <w:link w:val="31"/>
    <w:qFormat/>
    <w:locked/>
    <w:rsid w:val="00a2581c"/>
    <w:rPr>
      <w:b/>
      <w:shd w:fill="FFFFFF" w:val="clear"/>
      <w:lang w:bidi="ar-SA"/>
    </w:rPr>
  </w:style>
  <w:style w:type="character" w:styleId="Style17" w:customStyle="1">
    <w:name w:val="Основной текст + Курсив"/>
    <w:qFormat/>
    <w:rsid w:val="00a2581c"/>
    <w:rPr>
      <w:i/>
    </w:rPr>
  </w:style>
  <w:style w:type="character" w:styleId="1" w:customStyle="1">
    <w:name w:val="Заголовок №1_"/>
    <w:link w:val="14"/>
    <w:qFormat/>
    <w:locked/>
    <w:rsid w:val="00a2581c"/>
    <w:rPr>
      <w:b/>
      <w:shd w:fill="FFFFFF" w:val="clear"/>
      <w:lang w:bidi="ar-SA"/>
    </w:rPr>
  </w:style>
  <w:style w:type="character" w:styleId="12" w:customStyle="1">
    <w:name w:val="Основной текст + Курсив1"/>
    <w:qFormat/>
    <w:rsid w:val="00a2581c"/>
    <w:rPr>
      <w:i/>
    </w:rPr>
  </w:style>
  <w:style w:type="character" w:styleId="Hyperlink">
    <w:name w:val="Hyperlink"/>
    <w:uiPriority w:val="99"/>
    <w:unhideWhenUsed/>
    <w:rsid w:val="00145caf"/>
    <w:rPr>
      <w:color w:val="0000FF"/>
      <w:u w:val="single"/>
    </w:rPr>
  </w:style>
  <w:style w:type="character" w:styleId="Style18" w:customStyle="1">
    <w:name w:val="Абзац списка Знак"/>
    <w:link w:val="ListParagraph"/>
    <w:uiPriority w:val="34"/>
    <w:qFormat/>
    <w:locked/>
    <w:rsid w:val="006029da"/>
    <w:rPr>
      <w:sz w:val="24"/>
      <w:szCs w:val="24"/>
    </w:rPr>
  </w:style>
  <w:style w:type="character" w:styleId="Strong">
    <w:name w:val="Strong"/>
    <w:uiPriority w:val="22"/>
    <w:qFormat/>
    <w:rsid w:val="001e3211"/>
    <w:rPr>
      <w:b/>
      <w:bCs/>
    </w:rPr>
  </w:style>
  <w:style w:type="character" w:styleId="23" w:customStyle="1">
    <w:name w:val="Основной текст (2) + Не полужирный"/>
    <w:qFormat/>
    <w:rsid w:val="00cc3687"/>
    <w:rPr>
      <w:rFonts w:ascii="Times New Roman" w:hAnsi="Times New Roman" w:eastAsia="Times New Roman" w:cs="Times New Roman"/>
      <w:b/>
      <w:bCs/>
      <w:i/>
      <w:iCs w:val="false"/>
      <w:caps w:val="false"/>
      <w:smallCaps w:val="false"/>
      <w:strike w:val="false"/>
      <w:dstrike w:val="false"/>
      <w:color w:val="000000"/>
      <w:spacing w:val="0"/>
      <w:w w:val="100"/>
      <w:sz w:val="28"/>
      <w:szCs w:val="28"/>
      <w:u w:val="none"/>
      <w:shd w:fill="FFFFFF" w:val="clear"/>
      <w:lang w:val="ru-RU" w:eastAsia="ru-RU" w:bidi="ru-RU"/>
    </w:rPr>
  </w:style>
  <w:style w:type="character" w:styleId="2CordiaUPC30pt" w:customStyle="1">
    <w:name w:val="Основной текст (2) + CordiaUPC;30 pt;Не полужирный"/>
    <w:qFormat/>
    <w:rsid w:val="00cc3687"/>
    <w:rPr>
      <w:rFonts w:ascii="CordiaUPC" w:hAnsi="CordiaUPC" w:eastAsia="CordiaUPC" w:cs="CordiaUPC"/>
      <w:b/>
      <w:bCs/>
      <w:i/>
      <w:iCs w:val="false"/>
      <w:caps w:val="false"/>
      <w:smallCaps w:val="false"/>
      <w:strike w:val="false"/>
      <w:dstrike w:val="false"/>
      <w:color w:val="000000"/>
      <w:spacing w:val="0"/>
      <w:w w:val="100"/>
      <w:sz w:val="60"/>
      <w:szCs w:val="60"/>
      <w:u w:val="none"/>
      <w:shd w:fill="FFFFFF" w:val="clear"/>
      <w:lang w:val="ru-RU" w:eastAsia="ru-RU" w:bidi="ru-RU"/>
    </w:rPr>
  </w:style>
  <w:style w:type="character" w:styleId="Heading1Char" w:customStyle="1">
    <w:name w:val="Heading 1 Char"/>
    <w:qFormat/>
    <w:rsid w:val="002f0b33"/>
    <w:rPr>
      <w:rFonts w:ascii="Cambria" w:hAnsi="Cambria" w:eastAsia="Times New Roman" w:cs="Times New Roman"/>
      <w:b/>
      <w:bCs/>
      <w:kern w:val="2"/>
      <w:sz w:val="32"/>
      <w:szCs w:val="32"/>
    </w:rPr>
  </w:style>
  <w:style w:type="character" w:styleId="Style19" w:customStyle="1">
    <w:name w:val="Верхний колонтитул Знак"/>
    <w:qFormat/>
    <w:rsid w:val="00081889"/>
    <w:rPr>
      <w:sz w:val="24"/>
      <w:szCs w:val="24"/>
    </w:rPr>
  </w:style>
  <w:style w:type="character" w:styleId="Style20" w:customStyle="1">
    <w:name w:val="Нижний колонтитул Знак"/>
    <w:uiPriority w:val="99"/>
    <w:qFormat/>
    <w:rsid w:val="00081889"/>
    <w:rPr>
      <w:sz w:val="24"/>
      <w:szCs w:val="24"/>
    </w:rPr>
  </w:style>
  <w:style w:type="character" w:styleId="Style21" w:customStyle="1">
    <w:name w:val="Текст сноски Знак"/>
    <w:basedOn w:val="DefaultParagraphFont"/>
    <w:uiPriority w:val="99"/>
    <w:qFormat/>
    <w:rsid w:val="00235b1d"/>
    <w:rPr/>
  </w:style>
  <w:style w:type="character" w:styleId="Style22" w:customStyle="1">
    <w:name w:val="Символ сноски"/>
    <w:uiPriority w:val="99"/>
    <w:qFormat/>
    <w:rsid w:val="00235b1d"/>
    <w:rPr>
      <w:vertAlign w:val="superscript"/>
    </w:rPr>
  </w:style>
  <w:style w:type="character" w:styleId="FootnoteReference">
    <w:name w:val="footnote reference"/>
    <w:rPr>
      <w:vertAlign w:val="superscript"/>
    </w:rPr>
  </w:style>
  <w:style w:type="character" w:styleId="ConsPlusNormal" w:customStyle="1">
    <w:name w:val="ConsPlusNormal Знак"/>
    <w:link w:val="ConsPlusNormal1"/>
    <w:qFormat/>
    <w:rsid w:val="00235b1d"/>
    <w:rPr>
      <w:rFonts w:ascii="Arial" w:hAnsi="Arial" w:cs="Arial"/>
    </w:rPr>
  </w:style>
  <w:style w:type="character" w:styleId="Style23" w:customStyle="1">
    <w:name w:val="Текст выноски Знак"/>
    <w:link w:val="BalloonText"/>
    <w:qFormat/>
    <w:rsid w:val="00c85b34"/>
    <w:rPr>
      <w:rFonts w:ascii="Segoe UI" w:hAnsi="Segoe UI" w:cs="Segoe UI"/>
      <w:sz w:val="18"/>
      <w:szCs w:val="18"/>
    </w:rPr>
  </w:style>
  <w:style w:type="character" w:styleId="25" w:customStyle="1">
    <w:name w:val="Основной текст 2 Знак"/>
    <w:link w:val="BodyText2"/>
    <w:uiPriority w:val="99"/>
    <w:qFormat/>
    <w:rsid w:val="00b46f77"/>
    <w:rPr>
      <w:rFonts w:ascii="Courier New" w:hAnsi="Courier New" w:eastAsia="Courier New" w:cs="Courier New"/>
      <w:color w:val="000000"/>
      <w:sz w:val="24"/>
      <w:szCs w:val="24"/>
      <w:lang w:bidi="ru-RU"/>
    </w:rPr>
  </w:style>
  <w:style w:type="character" w:styleId="Style24" w:customStyle="1">
    <w:name w:val="Символ концевой сноски"/>
    <w:qFormat/>
    <w:rPr>
      <w:vertAlign w:val="superscript"/>
    </w:rPr>
  </w:style>
  <w:style w:type="character" w:styleId="EndnoteReference">
    <w:name w:val="endnote reference"/>
    <w:rPr>
      <w:vertAlign w:val="superscript"/>
    </w:rPr>
  </w:style>
  <w:style w:type="paragraph" w:styleId="Style25">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link w:val="Style14"/>
    <w:rsid w:val="00a2581c"/>
    <w:pPr>
      <w:spacing w:before="0" w:after="120"/>
    </w:pPr>
    <w:rPr>
      <w:rFonts w:eastAsia="Calibri"/>
      <w:lang w:val="x-none" w:eastAsia="x-none"/>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rPr>
  </w:style>
  <w:style w:type="paragraph" w:styleId="Style26">
    <w:name w:val="Указатель"/>
    <w:basedOn w:val="Normal"/>
    <w:qFormat/>
    <w:pPr>
      <w:suppressLineNumbers/>
    </w:pPr>
    <w:rPr>
      <w:rFonts w:ascii="PT Astra Serif" w:hAnsi="PT Astra Serif" w:cs="Noto Sans Devanagari"/>
    </w:rPr>
  </w:style>
  <w:style w:type="paragraph" w:styleId="Title">
    <w:name w:val="Title"/>
    <w:basedOn w:val="Normal"/>
    <w:next w:val="BodyText"/>
    <w:link w:val="Style15"/>
    <w:qFormat/>
    <w:rsid w:val="00a2581c"/>
    <w:pPr>
      <w:widowControl w:val="false"/>
      <w:shd w:val="clear" w:color="auto" w:fill="FFFFFF"/>
      <w:ind w:left="72"/>
      <w:jc w:val="center"/>
    </w:pPr>
    <w:rPr>
      <w:rFonts w:ascii="Cambria" w:hAnsi="Cambria" w:eastAsia="Calibri"/>
      <w:b/>
      <w:bCs/>
      <w:kern w:val="2"/>
      <w:sz w:val="32"/>
      <w:szCs w:val="32"/>
    </w:rPr>
  </w:style>
  <w:style w:type="paragraph" w:styleId="IndexHeading">
    <w:name w:val="index heading"/>
    <w:basedOn w:val="Normal"/>
    <w:qFormat/>
    <w:pPr>
      <w:suppressLineNumbers/>
    </w:pPr>
    <w:rPr>
      <w:rFonts w:ascii="PT Astra Serif" w:hAnsi="PT Astra Serif" w:cs="Noto Sans Devanagari"/>
    </w:rPr>
  </w:style>
  <w:style w:type="paragraph" w:styleId="13" w:customStyle="1">
    <w:name w:val="Заголовок1"/>
    <w:basedOn w:val="Normal"/>
    <w:next w:val="BodyText"/>
    <w:qFormat/>
    <w:pPr>
      <w:keepNext w:val="true"/>
      <w:spacing w:before="240" w:after="120"/>
    </w:pPr>
    <w:rPr>
      <w:rFonts w:ascii="PT Astra Serif" w:hAnsi="PT Astra Serif" w:eastAsia="Tahoma" w:cs="Noto Sans Devanagari"/>
      <w:sz w:val="28"/>
      <w:szCs w:val="28"/>
    </w:rPr>
  </w:style>
  <w:style w:type="paragraph" w:styleId="26" w:customStyle="1">
    <w:name w:val="Заголовок №2"/>
    <w:basedOn w:val="Normal"/>
    <w:link w:val="2"/>
    <w:qFormat/>
    <w:rsid w:val="00a2581c"/>
    <w:pPr>
      <w:shd w:val="clear" w:color="auto" w:fill="FFFFFF"/>
      <w:spacing w:lineRule="exact" w:line="278"/>
      <w:outlineLvl w:val="1"/>
    </w:pPr>
    <w:rPr>
      <w:b/>
      <w:sz w:val="20"/>
      <w:szCs w:val="20"/>
      <w:shd w:fill="FFFFFF" w:val="clear"/>
      <w:lang w:val="x-none" w:eastAsia="x-none"/>
    </w:rPr>
  </w:style>
  <w:style w:type="paragraph" w:styleId="27" w:customStyle="1">
    <w:name w:val="Основной текст (2)"/>
    <w:basedOn w:val="Normal"/>
    <w:link w:val="21"/>
    <w:qFormat/>
    <w:rsid w:val="00a2581c"/>
    <w:pPr>
      <w:shd w:val="clear" w:color="auto" w:fill="FFFFFF"/>
      <w:spacing w:lineRule="exact" w:line="278"/>
    </w:pPr>
    <w:rPr>
      <w:i/>
      <w:sz w:val="20"/>
      <w:szCs w:val="20"/>
      <w:shd w:fill="FFFFFF" w:val="clear"/>
      <w:lang w:val="x-none" w:eastAsia="x-none"/>
    </w:rPr>
  </w:style>
  <w:style w:type="paragraph" w:styleId="BodyTextIndent">
    <w:name w:val="Body Text Indent"/>
    <w:basedOn w:val="Normal"/>
    <w:link w:val="Style16"/>
    <w:unhideWhenUsed/>
    <w:rsid w:val="00a2581c"/>
    <w:pPr>
      <w:spacing w:lineRule="atLeast" w:line="240" w:before="0" w:after="120"/>
      <w:ind w:left="283"/>
    </w:pPr>
    <w:rPr>
      <w:rFonts w:ascii="Calibri" w:hAnsi="Calibri"/>
      <w:sz w:val="22"/>
      <w:szCs w:val="22"/>
    </w:rPr>
  </w:style>
  <w:style w:type="paragraph" w:styleId="31" w:customStyle="1">
    <w:name w:val="Основной текст (3)"/>
    <w:basedOn w:val="Normal"/>
    <w:link w:val="3"/>
    <w:qFormat/>
    <w:rsid w:val="00a2581c"/>
    <w:pPr>
      <w:shd w:val="clear" w:color="auto" w:fill="FFFFFF"/>
      <w:spacing w:lineRule="atLeast" w:line="240" w:before="1260" w:after="0"/>
    </w:pPr>
    <w:rPr>
      <w:b/>
      <w:sz w:val="20"/>
      <w:szCs w:val="20"/>
      <w:shd w:fill="FFFFFF" w:val="clear"/>
      <w:lang w:val="x-none" w:eastAsia="x-none"/>
    </w:rPr>
  </w:style>
  <w:style w:type="paragraph" w:styleId="14" w:customStyle="1">
    <w:name w:val="Заголовок №1"/>
    <w:basedOn w:val="Normal"/>
    <w:link w:val="1"/>
    <w:qFormat/>
    <w:rsid w:val="00a2581c"/>
    <w:pPr>
      <w:shd w:val="clear" w:color="auto" w:fill="FFFFFF"/>
      <w:spacing w:lineRule="exact" w:line="274" w:before="240" w:after="0"/>
      <w:outlineLvl w:val="0"/>
    </w:pPr>
    <w:rPr>
      <w:b/>
      <w:sz w:val="20"/>
      <w:szCs w:val="20"/>
      <w:shd w:fill="FFFFFF" w:val="clear"/>
      <w:lang w:val="x-none" w:eastAsia="x-none"/>
    </w:rPr>
  </w:style>
  <w:style w:type="paragraph" w:styleId="15" w:customStyle="1">
    <w:name w:val="Текст1"/>
    <w:basedOn w:val="Normal"/>
    <w:qFormat/>
    <w:rsid w:val="00a2581c"/>
    <w:pPr/>
    <w:rPr>
      <w:rFonts w:ascii="Courier New" w:hAnsi="Courier New"/>
      <w:sz w:val="20"/>
      <w:szCs w:val="20"/>
      <w:lang w:eastAsia="ar-SA"/>
    </w:rPr>
  </w:style>
  <w:style w:type="paragraph" w:styleId="NormalWeb">
    <w:name w:val="Normal (Web)"/>
    <w:basedOn w:val="Normal"/>
    <w:uiPriority w:val="99"/>
    <w:unhideWhenUsed/>
    <w:qFormat/>
    <w:rsid w:val="0050445d"/>
    <w:pPr>
      <w:spacing w:beforeAutospacing="1" w:afterAutospacing="1"/>
    </w:pPr>
    <w:rPr/>
  </w:style>
  <w:style w:type="paragraph" w:styleId="ListParagraph">
    <w:name w:val="List Paragraph"/>
    <w:basedOn w:val="Normal"/>
    <w:link w:val="Style18"/>
    <w:uiPriority w:val="34"/>
    <w:qFormat/>
    <w:rsid w:val="006955a4"/>
    <w:pPr>
      <w:ind w:left="708"/>
    </w:pPr>
    <w:rPr>
      <w:lang w:val="x-none" w:eastAsia="x-none"/>
    </w:rPr>
  </w:style>
  <w:style w:type="paragraph" w:styleId="NoSpacing">
    <w:name w:val="No Spacing"/>
    <w:uiPriority w:val="1"/>
    <w:qFormat/>
    <w:rsid w:val="005273b7"/>
    <w:pPr>
      <w:widowControl/>
      <w:suppressAutoHyphens w:val="true"/>
      <w:bidi w:val="0"/>
      <w:spacing w:before="0" w:after="0"/>
      <w:jc w:val="left"/>
    </w:pPr>
    <w:rPr>
      <w:rFonts w:ascii="Calibri" w:hAnsi="Calibri" w:eastAsia="Calibri" w:cs="Times New Roman"/>
      <w:color w:val="auto"/>
      <w:kern w:val="0"/>
      <w:sz w:val="22"/>
      <w:szCs w:val="22"/>
      <w:lang w:eastAsia="en-US" w:val="ru-RU" w:bidi="ar-SA"/>
    </w:rPr>
  </w:style>
  <w:style w:type="paragraph" w:styleId="16" w:customStyle="1">
    <w:name w:val="Абзац списка1"/>
    <w:basedOn w:val="Normal"/>
    <w:qFormat/>
    <w:rsid w:val="005273b7"/>
    <w:pPr>
      <w:spacing w:before="0" w:after="0"/>
      <w:ind w:left="720"/>
      <w:contextualSpacing/>
    </w:pPr>
    <w:rPr/>
  </w:style>
  <w:style w:type="paragraph" w:styleId="28" w:customStyle="1">
    <w:name w:val="Абзац списка2"/>
    <w:basedOn w:val="Normal"/>
    <w:qFormat/>
    <w:rsid w:val="00d470ae"/>
    <w:pPr>
      <w:spacing w:lineRule="atLeast" w:line="100"/>
      <w:ind w:left="720" w:right="-108"/>
      <w:jc w:val="center"/>
    </w:pPr>
    <w:rPr>
      <w:rFonts w:ascii="Calibri" w:hAnsi="Calibri" w:eastAsia="Calibri" w:cs="Calibri"/>
      <w:kern w:val="2"/>
      <w:sz w:val="22"/>
      <w:szCs w:val="22"/>
      <w:lang w:eastAsia="ar-SA"/>
    </w:rPr>
  </w:style>
  <w:style w:type="paragraph" w:styleId="HeaderandFooter" w:customStyle="1">
    <w:name w:val="Header and Footer"/>
    <w:basedOn w:val="Normal"/>
    <w:qFormat/>
    <w:pPr/>
    <w:rPr/>
  </w:style>
  <w:style w:type="paragraph" w:styleId="Header">
    <w:name w:val="header"/>
    <w:basedOn w:val="Normal"/>
    <w:link w:val="Style19"/>
    <w:rsid w:val="00081889"/>
    <w:pPr>
      <w:tabs>
        <w:tab w:val="clear" w:pos="708"/>
        <w:tab w:val="center" w:pos="4677" w:leader="none"/>
        <w:tab w:val="right" w:pos="9355" w:leader="none"/>
      </w:tabs>
    </w:pPr>
    <w:rPr/>
  </w:style>
  <w:style w:type="paragraph" w:styleId="Footer">
    <w:name w:val="footer"/>
    <w:basedOn w:val="Normal"/>
    <w:link w:val="Style20"/>
    <w:uiPriority w:val="99"/>
    <w:rsid w:val="00081889"/>
    <w:pPr>
      <w:tabs>
        <w:tab w:val="clear" w:pos="708"/>
        <w:tab w:val="center" w:pos="4677" w:leader="none"/>
        <w:tab w:val="right" w:pos="9355" w:leader="none"/>
      </w:tabs>
    </w:pPr>
    <w:rPr/>
  </w:style>
  <w:style w:type="paragraph" w:styleId="msonormalmrcssattr" w:customStyle="1">
    <w:name w:val="msonormal_mr_css_attr"/>
    <w:basedOn w:val="Normal"/>
    <w:qFormat/>
    <w:rsid w:val="00384e20"/>
    <w:pPr>
      <w:spacing w:beforeAutospacing="1" w:afterAutospacing="1"/>
    </w:pPr>
    <w:rPr/>
  </w:style>
  <w:style w:type="paragraph" w:styleId="FootnoteText">
    <w:name w:val="footnote text"/>
    <w:basedOn w:val="Normal"/>
    <w:link w:val="Style21"/>
    <w:uiPriority w:val="99"/>
    <w:qFormat/>
    <w:rsid w:val="00235b1d"/>
    <w:pPr/>
    <w:rPr>
      <w:sz w:val="20"/>
      <w:szCs w:val="20"/>
    </w:rPr>
  </w:style>
  <w:style w:type="paragraph" w:styleId="ConsPlusNormal1" w:customStyle="1">
    <w:name w:val="ConsPlusNormal"/>
    <w:link w:val="ConsPlusNormal"/>
    <w:qFormat/>
    <w:rsid w:val="00235b1d"/>
    <w:pPr>
      <w:widowControl w:val="false"/>
      <w:suppressAutoHyphens w:val="true"/>
      <w:bidi w:val="0"/>
      <w:spacing w:before="0" w:after="0"/>
      <w:ind w:firstLine="720"/>
      <w:jc w:val="left"/>
    </w:pPr>
    <w:rPr>
      <w:rFonts w:ascii="Arial" w:hAnsi="Arial" w:cs="Arial" w:eastAsia="Times New Roman"/>
      <w:color w:val="auto"/>
      <w:kern w:val="0"/>
      <w:sz w:val="20"/>
      <w:szCs w:val="20"/>
      <w:lang w:val="ru-RU" w:eastAsia="ru-RU" w:bidi="ar-SA"/>
    </w:rPr>
  </w:style>
  <w:style w:type="paragraph" w:styleId="BalloonText">
    <w:name w:val="Balloon Text"/>
    <w:basedOn w:val="Normal"/>
    <w:link w:val="Style23"/>
    <w:qFormat/>
    <w:rsid w:val="00c85b34"/>
    <w:pPr/>
    <w:rPr>
      <w:rFonts w:ascii="Segoe UI" w:hAnsi="Segoe UI" w:cs="Segoe UI"/>
      <w:sz w:val="18"/>
      <w:szCs w:val="18"/>
    </w:rPr>
  </w:style>
  <w:style w:type="paragraph" w:styleId="BodyText2">
    <w:name w:val="Body Text 2"/>
    <w:basedOn w:val="Normal"/>
    <w:link w:val="25"/>
    <w:uiPriority w:val="99"/>
    <w:unhideWhenUsed/>
    <w:qFormat/>
    <w:rsid w:val="00b46f77"/>
    <w:pPr>
      <w:widowControl w:val="false"/>
      <w:spacing w:lineRule="auto" w:line="480" w:before="0" w:after="120"/>
    </w:pPr>
    <w:rPr>
      <w:rFonts w:ascii="Courier New" w:hAnsi="Courier New" w:eastAsia="Courier New" w:cs="Courier New"/>
      <w:color w:val="000000"/>
      <w:lang w:bidi="ru-RU"/>
    </w:rPr>
  </w:style>
  <w:style w:type="paragraph" w:styleId="Style27" w:customStyle="1">
    <w:name w:val="Содержимое таблицы"/>
    <w:basedOn w:val="Normal"/>
    <w:qFormat/>
    <w:pPr>
      <w:widowControl w:val="false"/>
      <w:suppressLineNumbers/>
    </w:pPr>
    <w:rPr/>
  </w:style>
  <w:style w:type="paragraph" w:styleId="Style28" w:customStyle="1">
    <w:name w:val="Заголовок таблицы"/>
    <w:basedOn w:val="Style27"/>
    <w:qFormat/>
    <w:pPr>
      <w:jc w:val="center"/>
    </w:pPr>
    <w:rPr>
      <w:b/>
      <w:bCs/>
    </w:rPr>
  </w:style>
  <w:style w:type="numbering" w:styleId="Style29"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2">
    <w:name w:val="Table Grid"/>
    <w:basedOn w:val="a1"/>
    <w:uiPriority w:val="59"/>
    <w:rsid w:val="002f0b3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
    <w:name w:val="Сетка таблицы1"/>
    <w:basedOn w:val="a1"/>
    <w:rsid w:val="00a335dc"/>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F9633-B084-4DF7-80B4-B26E36F6A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Application>LibreOffice/24.8.4.2$Linux_X86_64 LibreOffice_project/480$Build-2</Application>
  <AppVersion>15.0000</AppVersion>
  <Pages>9</Pages>
  <Words>3995</Words>
  <Characters>29141</Characters>
  <CharactersWithSpaces>32902</CharactersWithSpaces>
  <Paragraphs>253</Paragraphs>
  <Company>KOMBINAT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2026-02-10T12:50:00Z</dcterms:created>
  <dc:creator>UMNIK</dc:creator>
  <dc:description/>
  <dc:language>ru-RU</dc:language>
  <cp:lastModifiedBy>Морозова Людмила Владимировна</cp:lastModifiedBy>
  <cp:lastPrinted>2025-12-26T14:30:00Z</cp:lastPrinted>
  <dcterms:modified xsi:type="dcterms:W3CDTF">2026-04-28T13:57:00Z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