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1</w:t>
      </w:r>
      <w:r>
        <w:rPr>
          <w:b/>
          <w:sz w:val="20"/>
          <w:szCs w:val="20"/>
        </w:rPr>
        <w:t>61</w:t>
      </w:r>
      <w:r>
        <w:rPr>
          <w:b/>
          <w:sz w:val="20"/>
          <w:szCs w:val="20"/>
        </w:rPr>
        <w:t>/2026</w:t>
      </w:r>
    </w:p>
    <w:p>
      <w:pPr>
        <w:pStyle w:val="Normal"/>
        <w:rPr>
          <w:sz w:val="20"/>
          <w:szCs w:val="20"/>
        </w:rPr>
      </w:pPr>
      <w:r>
        <w:rPr>
          <w:sz w:val="20"/>
          <w:szCs w:val="20"/>
        </w:rPr>
      </w:r>
    </w:p>
    <w:tbl>
      <w:tblPr>
        <w:tblStyle w:val="af5"/>
        <w:tblW w:w="9923"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3131"/>
        <w:gridCol w:w="2689"/>
        <w:gridCol w:w="4103"/>
      </w:tblGrid>
      <w:tr>
        <w:trPr>
          <w:trHeight w:val="165" w:hRule="atLeast"/>
        </w:trPr>
        <w:tc>
          <w:tcPr>
            <w:tcW w:w="3131"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103"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sz w:val="20"/>
          <w:szCs w:val="20"/>
        </w:rPr>
        <w:t>__________________________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rFonts w:eastAsia="Times New Roman" w:cs="Times New Roman"/>
          <w:b/>
          <w:bCs/>
          <w:i w:val="false"/>
          <w:strike w:val="false"/>
          <w:dstrike w:val="false"/>
          <w:outline w:val="false"/>
          <w:shadow w:val="false"/>
          <w:color w:val="000000"/>
          <w:sz w:val="20"/>
          <w:szCs w:val="20"/>
          <w:u w:val="none"/>
          <w:em w:val="none"/>
          <w:lang w:eastAsia="ru-RU"/>
        </w:rPr>
        <w:t>П</w:t>
      </w:r>
      <w:r>
        <w:rPr>
          <w:b/>
          <w:bCs/>
          <w:i w:val="false"/>
          <w:strike w:val="false"/>
          <w:dstrike w:val="false"/>
          <w:outline w:val="false"/>
          <w:shadow w:val="false"/>
          <w:color w:val="000000"/>
          <w:sz w:val="20"/>
          <w:u w:val="none"/>
          <w:em w:val="none"/>
        </w:rPr>
        <w:t xml:space="preserve">оставка </w:t>
      </w:r>
      <w:r>
        <w:rPr>
          <w:b/>
          <w:bCs/>
          <w:i w:val="false"/>
          <w:strike w:val="false"/>
          <w:dstrike w:val="false"/>
          <w:outline w:val="false"/>
          <w:shadow w:val="false"/>
          <w:color w:val="000000"/>
          <w:sz w:val="20"/>
          <w:u w:val="none"/>
          <w:em w:val="none"/>
        </w:rPr>
        <w:t>автомобильных шин</w:t>
      </w:r>
      <w:r>
        <w:rPr>
          <w:b/>
          <w:bCs/>
          <w:i w:val="false"/>
          <w:strike w:val="false"/>
          <w:dstrike w:val="false"/>
          <w:outline w:val="false"/>
          <w:shadow w:val="false"/>
          <w:color w:val="000000"/>
          <w:sz w:val="20"/>
          <w:u w:val="none"/>
          <w:em w:val="none"/>
        </w:rPr>
        <w:t xml:space="preserve"> для нуж</w:t>
      </w:r>
      <w:r>
        <w:rPr>
          <w:rFonts w:eastAsia="Times New Roman" w:cs="Times New Roman"/>
          <w:b/>
          <w:bCs/>
          <w:i w:val="false"/>
          <w:strike w:val="false"/>
          <w:dstrike w:val="false"/>
          <w:outline w:val="false"/>
          <w:shadow w:val="false"/>
          <w:color w:val="000000"/>
          <w:kern w:val="0"/>
          <w:sz w:val="20"/>
          <w:szCs w:val="24"/>
          <w:u w:val="none"/>
          <w:em w:val="none"/>
          <w:lang w:val="ru-RU" w:eastAsia="ru-RU" w:bidi="ar-SA"/>
        </w:rPr>
        <w:t>д СПБ ГБУЗ "Елизаветинская больница"</w:t>
      </w:r>
      <w:r>
        <w:rPr>
          <w:rFonts w:eastAsia="Times New Roman" w:cs="Times New Roman"/>
          <w:b/>
          <w:sz w:val="20"/>
          <w:szCs w:val="20"/>
          <w:lang w:eastAsia="ru-RU"/>
        </w:rPr>
        <w:t xml:space="preserve"> </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Идентификационный код закупки: 252780404107078040100100030000000244</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в т.ч. НДС % - ___/НДС не облагается на основании пункта 2 статьи ___ Налогового кодекса Российской Федерации</w:t>
      </w:r>
    </w:p>
    <w:p>
      <w:pPr>
        <w:pStyle w:val="Normal"/>
        <w:tabs>
          <w:tab w:val="clear" w:pos="708"/>
          <w:tab w:val="left" w:pos="1276" w:leader="none"/>
        </w:tabs>
        <w:ind w:firstLine="708"/>
        <w:jc w:val="both"/>
        <w:rPr>
          <w:sz w:val="20"/>
          <w:szCs w:val="20"/>
        </w:rPr>
      </w:pPr>
      <w:r>
        <w:rPr>
          <w:sz w:val="20"/>
          <w:szCs w:val="20"/>
        </w:rPr>
        <w:t>Внебюджетные средства,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Pr>
          <w:sz w:val="20"/>
          <w:szCs w:val="20"/>
          <w:highlight w:val="yellow"/>
        </w:rPr>
        <w:t>______ рублей ___ копеек.</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spacing w:lineRule="auto" w:line="240" w:before="0" w:after="0"/>
        <w:contextualSpacing/>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spacing w:lineRule="auto" w:line="240" w:before="0" w:after="0"/>
        <w:contextualSpacing/>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pPr>
            <w:r>
              <w:rPr>
                <w:sz w:val="20"/>
                <w:szCs w:val="20"/>
              </w:rPr>
              <w:t>Тел./факс: (812) 555-15-05; (812) 555-57-73</w:t>
            </w:r>
          </w:p>
          <w:p>
            <w:pPr>
              <w:pStyle w:val="Normal"/>
              <w:rPr>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1</w:t>
      </w:r>
      <w:r>
        <w:rPr>
          <w:rFonts w:cs="Times New Roman" w:ascii="Times New Roman" w:hAnsi="Times New Roman"/>
          <w:b/>
          <w:sz w:val="20"/>
          <w:szCs w:val="20"/>
        </w:rPr>
        <w:t>61</w:t>
      </w:r>
      <w:r>
        <w:rPr>
          <w:rFonts w:cs="Times New Roman" w:ascii="Times New Roman" w:hAnsi="Times New Roman"/>
          <w:b/>
          <w:sz w:val="20"/>
          <w:szCs w:val="20"/>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5"/>
        <w:tblW w:w="10626"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6"/>
        <w:gridCol w:w="2558"/>
        <w:gridCol w:w="706"/>
        <w:gridCol w:w="995"/>
        <w:gridCol w:w="850"/>
        <w:gridCol w:w="1560"/>
        <w:gridCol w:w="1137"/>
        <w:gridCol w:w="1127"/>
        <w:gridCol w:w="1276"/>
      </w:tblGrid>
      <w:tr>
        <w:trPr>
          <w:trHeight w:val="20" w:hRule="atLeast"/>
        </w:trPr>
        <w:tc>
          <w:tcPr>
            <w:tcW w:w="416"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558"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Наименование Товара</w:t>
            </w:r>
          </w:p>
        </w:tc>
        <w:tc>
          <w:tcPr>
            <w:tcW w:w="706"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995"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850"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60"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3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112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6"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0" w:hRule="atLeast"/>
        </w:trPr>
        <w:tc>
          <w:tcPr>
            <w:tcW w:w="416"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558"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lang w:val="ru-RU" w:eastAsia="en-US" w:bidi="ar-SA"/>
              </w:rPr>
              <w:t xml:space="preserve">Шина автомобильная </w:t>
            </w:r>
          </w:p>
        </w:tc>
        <w:tc>
          <w:tcPr>
            <w:tcW w:w="706" w:type="dxa"/>
            <w:tcBorders/>
            <w:vAlign w:val="center"/>
          </w:tcPr>
          <w:p>
            <w:pPr>
              <w:pStyle w:val="Normal"/>
              <w:widowControl/>
              <w:suppressAutoHyphens w:val="true"/>
              <w:spacing w:before="0" w:after="0"/>
              <w:jc w:val="center"/>
              <w:rPr>
                <w:sz w:val="20"/>
                <w:szCs w:val="20"/>
                <w:lang w:eastAsia="en-US"/>
              </w:rPr>
            </w:pPr>
            <w:r>
              <w:rPr>
                <w:sz w:val="20"/>
                <w:szCs w:val="20"/>
                <w:lang w:eastAsia="en-US"/>
              </w:rPr>
              <w:t>шт.</w:t>
            </w:r>
          </w:p>
        </w:tc>
        <w:tc>
          <w:tcPr>
            <w:tcW w:w="995"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850" w:type="dxa"/>
            <w:tcBorders/>
            <w:vAlign w:val="center"/>
          </w:tcPr>
          <w:p>
            <w:pPr>
              <w:pStyle w:val="Normal"/>
              <w:widowControl/>
              <w:suppressAutoHyphens w:val="true"/>
              <w:spacing w:before="0" w:after="0"/>
              <w:jc w:val="center"/>
              <w:rPr>
                <w:sz w:val="20"/>
                <w:szCs w:val="20"/>
                <w:lang w:eastAsia="en-US"/>
              </w:rPr>
            </w:pPr>
            <w:r>
              <w:rPr>
                <w:sz w:val="20"/>
                <w:szCs w:val="20"/>
                <w:lang w:eastAsia="en-US"/>
              </w:rPr>
              <w:t>4</w:t>
            </w:r>
          </w:p>
        </w:tc>
        <w:tc>
          <w:tcPr>
            <w:tcW w:w="1560"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37"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27"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6"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9"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6"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без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type w:val="nextPage"/>
          <w:pgSz w:w="11906" w:h="16838"/>
          <w:pgMar w:left="1134" w:right="851" w:gutter="0" w:header="0" w:top="567"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1</w:t>
      </w:r>
      <w:r>
        <w:rPr>
          <w:rFonts w:eastAsia="Calibri" w:eastAsiaTheme="minorHAnsi"/>
          <w:b/>
          <w:sz w:val="18"/>
          <w:szCs w:val="20"/>
          <w:lang w:eastAsia="en-US"/>
        </w:rPr>
        <w:t>61</w:t>
      </w:r>
      <w:r>
        <w:rPr>
          <w:rFonts w:eastAsia="Calibri" w:eastAsiaTheme="minorHAnsi"/>
          <w:b/>
          <w:sz w:val="18"/>
          <w:szCs w:val="20"/>
          <w:lang w:eastAsia="en-US"/>
        </w:rPr>
        <w:t xml:space="preserve">/2026  от «___» _________ 2026г. </w:t>
      </w:r>
    </w:p>
    <w:p>
      <w:pPr>
        <w:pStyle w:val="Normal"/>
        <w:jc w:val="right"/>
        <w:rPr>
          <w:sz w:val="18"/>
          <w:szCs w:val="20"/>
        </w:rPr>
      </w:pPr>
      <w:r>
        <w:rPr>
          <w:sz w:val="18"/>
          <w:szCs w:val="20"/>
        </w:rPr>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Title"/>
        <w:numPr>
          <w:ilvl w:val="0"/>
          <w:numId w:val="0"/>
        </w:numPr>
        <w:ind w:hanging="0" w:left="1068"/>
        <w:outlineLvl w:val="0"/>
        <w:rPr>
          <w:bCs w:val="false"/>
          <w:sz w:val="22"/>
          <w:szCs w:val="22"/>
        </w:rPr>
      </w:pPr>
      <w:r>
        <w:rPr>
          <w:bCs w:val="false"/>
          <w:sz w:val="22"/>
          <w:szCs w:val="22"/>
        </w:rPr>
        <w:t>Требования к техническим, функциональным, качественным характеристикам и эксплуатационным (при необходимости) характеристикам (потребительским свойствам) товара (работ, услуг), в том числе поставляемого при выполнении работ (оказании услуг)</w:t>
      </w:r>
    </w:p>
    <w:p>
      <w:pPr>
        <w:pStyle w:val="BodyText"/>
        <w:numPr>
          <w:ilvl w:val="0"/>
          <w:numId w:val="0"/>
        </w:numPr>
        <w:ind w:hanging="0" w:left="1068"/>
        <w:outlineLvl w:val="0"/>
        <w:rPr>
          <w:bCs w:val="false"/>
          <w:sz w:val="22"/>
          <w:szCs w:val="22"/>
        </w:rPr>
      </w:pPr>
      <w:r>
        <w:rPr/>
      </w:r>
    </w:p>
    <w:tbl>
      <w:tblPr>
        <w:tblStyle w:val="a3"/>
        <w:tblW w:w="15240" w:type="dxa"/>
        <w:jc w:val="left"/>
        <w:tblInd w:w="-34" w:type="dxa"/>
        <w:tblLayout w:type="fixed"/>
        <w:tblCellMar>
          <w:top w:w="0" w:type="dxa"/>
          <w:left w:w="108" w:type="dxa"/>
          <w:bottom w:w="0" w:type="dxa"/>
          <w:right w:w="108" w:type="dxa"/>
        </w:tblCellMar>
        <w:tblLook w:val="04a0" w:noHBand="0" w:noVBand="1" w:firstColumn="1" w:lastRow="0" w:lastColumn="0" w:firstRow="1"/>
      </w:tblPr>
      <w:tblGrid>
        <w:gridCol w:w="591"/>
        <w:gridCol w:w="2790"/>
        <w:gridCol w:w="1177"/>
        <w:gridCol w:w="2790"/>
        <w:gridCol w:w="2352"/>
        <w:gridCol w:w="1323"/>
        <w:gridCol w:w="1765"/>
        <w:gridCol w:w="2452"/>
      </w:tblGrid>
      <w:tr>
        <w:trPr/>
        <w:tc>
          <w:tcPr>
            <w:tcW w:w="59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b/>
                <w:bCs/>
                <w:kern w:val="0"/>
                <w:sz w:val="20"/>
                <w:szCs w:val="20"/>
                <w:lang w:val="ru-RU" w:eastAsia="en-US" w:bidi="ar-SA"/>
              </w:rPr>
              <w:t>№</w:t>
            </w:r>
          </w:p>
          <w:p>
            <w:pPr>
              <w:pStyle w:val="Normal"/>
              <w:widowControl/>
              <w:spacing w:lineRule="auto" w:line="240" w:before="0" w:after="0"/>
              <w:jc w:val="left"/>
              <w:rPr>
                <w:rFonts w:ascii="Times New Roman" w:hAnsi="Times New Roman" w:cs="Times New Roman"/>
                <w:sz w:val="20"/>
                <w:szCs w:val="20"/>
              </w:rPr>
            </w:pPr>
            <w:r>
              <w:rPr>
                <w:rFonts w:eastAsia="Calibri" w:cs="Times New Roman"/>
                <w:b/>
                <w:bCs/>
                <w:kern w:val="0"/>
                <w:sz w:val="20"/>
                <w:szCs w:val="20"/>
                <w:lang w:val="ru-RU" w:eastAsia="en-US" w:bidi="ar-SA"/>
              </w:rPr>
              <w:t>п/п</w:t>
            </w:r>
          </w:p>
        </w:tc>
        <w:tc>
          <w:tcPr>
            <w:tcW w:w="279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b/>
                <w:bCs/>
                <w:kern w:val="0"/>
                <w:sz w:val="20"/>
                <w:szCs w:val="20"/>
                <w:lang w:val="ru-RU" w:eastAsia="en-US" w:bidi="ar-SA"/>
              </w:rPr>
              <w:t>Наименование товара, количество, код ОКПД 2, код позиции каталога товаров, работ, услуг (при наличии)</w:t>
            </w:r>
          </w:p>
        </w:tc>
        <w:tc>
          <w:tcPr>
            <w:tcW w:w="1177" w:type="dxa"/>
            <w:tcBorders/>
          </w:tcPr>
          <w:p>
            <w:pPr>
              <w:pStyle w:val="Normal"/>
              <w:widowControl/>
              <w:spacing w:lineRule="auto" w:line="240" w:before="0" w:after="0"/>
              <w:jc w:val="center"/>
              <w:rPr>
                <w:rFonts w:ascii="Times New Roman" w:hAnsi="Times New Roman" w:cs="Times New Roman"/>
                <w:b/>
                <w:bCs/>
                <w:sz w:val="20"/>
                <w:szCs w:val="20"/>
              </w:rPr>
            </w:pPr>
            <w:r>
              <w:rPr>
                <w:rFonts w:eastAsia="Calibri" w:cs="Times New Roman"/>
                <w:b/>
                <w:bCs/>
                <w:kern w:val="0"/>
                <w:sz w:val="20"/>
                <w:szCs w:val="20"/>
                <w:lang w:val="ru-RU" w:eastAsia="en-US" w:bidi="ar-SA"/>
              </w:rPr>
              <w:t>Единица измерения</w:t>
            </w:r>
          </w:p>
          <w:p>
            <w:pPr>
              <w:pStyle w:val="Normal"/>
              <w:widowControl/>
              <w:spacing w:lineRule="auto" w:line="240" w:before="0" w:after="0"/>
              <w:jc w:val="center"/>
              <w:rPr>
                <w:rFonts w:ascii="Times New Roman" w:hAnsi="Times New Roman" w:cs="Times New Roman"/>
                <w:b/>
                <w:bCs/>
                <w:sz w:val="20"/>
                <w:szCs w:val="20"/>
              </w:rPr>
            </w:pPr>
            <w:r>
              <w:rPr>
                <w:rFonts w:eastAsia="Calibri" w:cs="Times New Roman"/>
                <w:b/>
                <w:bCs/>
                <w:kern w:val="0"/>
                <w:sz w:val="20"/>
                <w:szCs w:val="20"/>
                <w:lang w:val="ru-RU" w:eastAsia="en-US" w:bidi="ar-SA"/>
              </w:rPr>
              <w:t>Товара/ Кол-во товара</w:t>
            </w:r>
          </w:p>
        </w:tc>
        <w:tc>
          <w:tcPr>
            <w:tcW w:w="279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b/>
                <w:bCs/>
                <w:kern w:val="0"/>
                <w:sz w:val="20"/>
                <w:szCs w:val="20"/>
                <w:lang w:val="ru-RU" w:eastAsia="en-US" w:bidi="ar-SA"/>
              </w:rPr>
              <w:t>Функциональные, технические, качественные, эксплуатационные характеристики товара (единицы измерения</w:t>
            </w:r>
            <w:r>
              <w:rPr>
                <w:rFonts w:eastAsia="Calibri" w:cs="Times New Roman"/>
                <w:b/>
                <w:bCs/>
                <w:strike/>
                <w:kern w:val="0"/>
                <w:sz w:val="20"/>
                <w:szCs w:val="20"/>
                <w:lang w:val="ru-RU" w:eastAsia="en-US" w:bidi="ar-SA"/>
              </w:rPr>
              <w:t>)</w:t>
              <w:br/>
            </w:r>
            <w:r>
              <w:rPr>
                <w:rFonts w:eastAsia="Calibri" w:cs="Times New Roman"/>
                <w:b/>
                <w:bCs/>
                <w:kern w:val="0"/>
                <w:sz w:val="20"/>
                <w:szCs w:val="20"/>
                <w:lang w:val="ru-RU" w:eastAsia="en-US" w:bidi="ar-SA"/>
              </w:rPr>
              <w:t>&lt;*&gt;</w:t>
            </w:r>
          </w:p>
        </w:tc>
        <w:tc>
          <w:tcPr>
            <w:tcW w:w="23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b/>
                <w:bCs/>
                <w:kern w:val="0"/>
                <w:sz w:val="20"/>
                <w:szCs w:val="20"/>
                <w:lang w:val="ru-RU" w:eastAsia="en-US" w:bidi="ar-SA"/>
              </w:rPr>
              <w:t>Значения характеристик товара, которые не подлежат изменению участником закупки, или минимальные и (или) максимальные значения характеристик товара</w:t>
              <w:br/>
              <w:t>&lt;**&gt;</w:t>
            </w:r>
          </w:p>
        </w:tc>
        <w:tc>
          <w:tcPr>
            <w:tcW w:w="1323" w:type="dxa"/>
            <w:tcBorders/>
          </w:tcPr>
          <w:p>
            <w:pPr>
              <w:pStyle w:val="Normal"/>
              <w:widowControl/>
              <w:spacing w:lineRule="auto" w:line="240" w:before="0" w:after="0"/>
              <w:jc w:val="center"/>
              <w:rPr>
                <w:rFonts w:ascii="Times New Roman" w:hAnsi="Times New Roman" w:cs="Times New Roman"/>
                <w:b/>
                <w:bCs/>
                <w:sz w:val="20"/>
                <w:szCs w:val="20"/>
              </w:rPr>
            </w:pPr>
            <w:r>
              <w:rPr>
                <w:rFonts w:eastAsia="Calibri" w:cs="Times New Roman"/>
                <w:b/>
                <w:bCs/>
                <w:kern w:val="0"/>
                <w:sz w:val="20"/>
                <w:szCs w:val="20"/>
                <w:lang w:val="ru-RU" w:eastAsia="en-US" w:bidi="ar-SA"/>
              </w:rPr>
              <w:t>Единица измерения значения</w:t>
            </w:r>
          </w:p>
        </w:tc>
        <w:tc>
          <w:tcPr>
            <w:tcW w:w="1765" w:type="dxa"/>
            <w:tcBorders/>
          </w:tcPr>
          <w:p>
            <w:pPr>
              <w:pStyle w:val="Normal"/>
              <w:widowControl/>
              <w:spacing w:lineRule="auto" w:line="240" w:before="0" w:after="0"/>
              <w:jc w:val="center"/>
              <w:rPr>
                <w:rFonts w:ascii="Times New Roman" w:hAnsi="Times New Roman" w:cs="Times New Roman"/>
                <w:b/>
                <w:bCs/>
                <w:sz w:val="20"/>
                <w:szCs w:val="20"/>
              </w:rPr>
            </w:pPr>
            <w:r>
              <w:rPr>
                <w:rFonts w:eastAsia="Calibri" w:cs="Times New Roman"/>
                <w:b/>
                <w:bCs/>
                <w:kern w:val="0"/>
                <w:sz w:val="20"/>
                <w:szCs w:val="20"/>
                <w:lang w:val="ru-RU" w:eastAsia="en-US" w:bidi="ar-SA"/>
              </w:rPr>
              <w:t xml:space="preserve">Тип характеристики </w:t>
            </w:r>
          </w:p>
        </w:tc>
        <w:tc>
          <w:tcPr>
            <w:tcW w:w="24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b/>
                <w:bCs/>
                <w:kern w:val="0"/>
                <w:sz w:val="20"/>
                <w:szCs w:val="20"/>
                <w:lang w:val="ru-RU" w:eastAsia="en-US" w:bidi="ar-SA"/>
              </w:rPr>
              <w:t xml:space="preserve">Инструкция заказчика по указанию значений характеристик товара участником закупки </w:t>
              <w:br/>
              <w:t>&lt;***&gt;</w:t>
            </w:r>
          </w:p>
        </w:tc>
      </w:tr>
      <w:tr>
        <w:trPr/>
        <w:tc>
          <w:tcPr>
            <w:tcW w:w="591"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1</w:t>
            </w:r>
          </w:p>
        </w:tc>
        <w:tc>
          <w:tcPr>
            <w:tcW w:w="279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2</w:t>
            </w:r>
          </w:p>
        </w:tc>
        <w:tc>
          <w:tcPr>
            <w:tcW w:w="1177"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3</w:t>
            </w:r>
          </w:p>
        </w:tc>
        <w:tc>
          <w:tcPr>
            <w:tcW w:w="2790"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4</w:t>
            </w:r>
          </w:p>
        </w:tc>
        <w:tc>
          <w:tcPr>
            <w:tcW w:w="23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5</w:t>
            </w:r>
          </w:p>
        </w:tc>
        <w:tc>
          <w:tcPr>
            <w:tcW w:w="1323"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6</w:t>
            </w:r>
          </w:p>
        </w:tc>
        <w:tc>
          <w:tcPr>
            <w:tcW w:w="1765"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7</w:t>
            </w:r>
          </w:p>
        </w:tc>
        <w:tc>
          <w:tcPr>
            <w:tcW w:w="2452" w:type="dxa"/>
            <w:tcBorders/>
          </w:tcPr>
          <w:p>
            <w:pPr>
              <w:pStyle w:val="Normal"/>
              <w:widowControl/>
              <w:spacing w:lineRule="auto" w:line="240" w:before="0" w:after="0"/>
              <w:jc w:val="center"/>
              <w:rPr>
                <w:rFonts w:ascii="Times New Roman" w:hAnsi="Times New Roman" w:cs="Times New Roman"/>
                <w:sz w:val="20"/>
                <w:szCs w:val="20"/>
              </w:rPr>
            </w:pPr>
            <w:r>
              <w:rPr>
                <w:rFonts w:eastAsia="Calibri" w:cs="Times New Roman"/>
                <w:kern w:val="0"/>
                <w:sz w:val="20"/>
                <w:szCs w:val="20"/>
                <w:lang w:val="ru-RU" w:eastAsia="en-US" w:bidi="ar-SA"/>
              </w:rPr>
              <w:t>8</w:t>
            </w:r>
          </w:p>
        </w:tc>
      </w:tr>
      <w:tr>
        <w:trPr>
          <w:trHeight w:val="505" w:hRule="atLeast"/>
        </w:trPr>
        <w:tc>
          <w:tcPr>
            <w:tcW w:w="591" w:type="dxa"/>
            <w:vMerge w:val="restart"/>
            <w:tcBorders/>
            <w:vAlign w:val="center"/>
          </w:tcPr>
          <w:p>
            <w:pPr>
              <w:pStyle w:val="Normal"/>
              <w:widowControl/>
              <w:spacing w:lineRule="auto" w:line="240" w:before="0" w:after="0"/>
              <w:jc w:val="left"/>
              <w:rPr>
                <w:rFonts w:ascii="Times New Roman" w:hAnsi="Times New Roman" w:cs="Times New Roman"/>
                <w:bCs/>
                <w:sz w:val="20"/>
                <w:szCs w:val="20"/>
              </w:rPr>
            </w:pPr>
            <w:r>
              <w:rPr>
                <w:rFonts w:eastAsia="Calibri" w:cs="Times New Roman"/>
                <w:bCs/>
                <w:kern w:val="0"/>
                <w:sz w:val="20"/>
                <w:szCs w:val="20"/>
                <w:lang w:val="ru-RU" w:eastAsia="en-US" w:bidi="ar-SA"/>
              </w:rPr>
              <w:t>1</w:t>
            </w:r>
          </w:p>
        </w:tc>
        <w:tc>
          <w:tcPr>
            <w:tcW w:w="2790" w:type="dxa"/>
            <w:vMerge w:val="restart"/>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lang w:val="ru-RU" w:eastAsia="en-US" w:bidi="ar-SA"/>
              </w:rPr>
              <w:t xml:space="preserve">Шина автомобильная </w:t>
            </w:r>
          </w:p>
          <w:p>
            <w:pPr>
              <w:pStyle w:val="Normal"/>
              <w:widowControl/>
              <w:spacing w:lineRule="auto" w:line="240" w:before="0" w:after="0"/>
              <w:ind w:right="-57"/>
              <w:jc w:val="center"/>
              <w:rPr>
                <w:rFonts w:ascii="Times New Roman" w:hAnsi="Times New Roman" w:cs="Times New Roman"/>
                <w:sz w:val="20"/>
                <w:szCs w:val="20"/>
                <w:lang w:val="en-US"/>
              </w:rPr>
            </w:pPr>
            <w:r>
              <w:rPr>
                <w:rFonts w:eastAsia="Calibri" w:cs="Times New Roman"/>
                <w:kern w:val="0"/>
                <w:sz w:val="20"/>
                <w:szCs w:val="20"/>
                <w:lang w:val="en-US" w:eastAsia="en-US" w:bidi="ar-SA"/>
              </w:rPr>
            </w:r>
          </w:p>
          <w:p>
            <w:pPr>
              <w:pStyle w:val="Normal"/>
              <w:widowControl/>
              <w:spacing w:lineRule="auto" w:line="240" w:before="0" w:after="0"/>
              <w:ind w:right="-57"/>
              <w:jc w:val="center"/>
              <w:rPr>
                <w:rFonts w:ascii="Times New Roman" w:hAnsi="Times New Roman" w:cs="Times New Roman"/>
                <w:sz w:val="20"/>
                <w:szCs w:val="20"/>
                <w:lang w:val="en-US"/>
              </w:rPr>
            </w:pPr>
            <w:r>
              <w:rPr>
                <w:rFonts w:eastAsia="Calibri" w:cs="Times New Roman"/>
                <w:bCs/>
                <w:kern w:val="0"/>
                <w:sz w:val="20"/>
                <w:szCs w:val="20"/>
                <w:lang w:val="ru-RU" w:eastAsia="en-US" w:bidi="ar-SA"/>
              </w:rPr>
              <w:t>ОКПД2:</w:t>
            </w:r>
          </w:p>
          <w:p>
            <w:pPr>
              <w:pStyle w:val="Normal"/>
              <w:widowControl/>
              <w:spacing w:lineRule="auto" w:line="240" w:before="0" w:after="0"/>
              <w:jc w:val="center"/>
              <w:rPr>
                <w:rFonts w:ascii="Times New Roman" w:hAnsi="Times New Roman" w:cs="Times New Roman"/>
                <w:bCs/>
                <w:sz w:val="20"/>
                <w:szCs w:val="20"/>
              </w:rPr>
            </w:pPr>
            <w:r>
              <w:rPr>
                <w:rFonts w:eastAsia="Calibri" w:cs="Times New Roman"/>
                <w:bCs/>
                <w:kern w:val="0"/>
                <w:sz w:val="20"/>
                <w:szCs w:val="20"/>
                <w:lang w:val="ru-RU" w:eastAsia="en-US" w:bidi="ar-SA"/>
              </w:rPr>
              <w:t>22.11.14.190</w:t>
            </w:r>
          </w:p>
        </w:tc>
        <w:tc>
          <w:tcPr>
            <w:tcW w:w="1177" w:type="dxa"/>
            <w:vMerge w:val="restart"/>
            <w:tcBorders/>
            <w:vAlign w:val="center"/>
          </w:tcPr>
          <w:p>
            <w:pPr>
              <w:pStyle w:val="Normal"/>
              <w:widowControl/>
              <w:spacing w:lineRule="auto" w:line="240" w:before="0" w:after="0"/>
              <w:jc w:val="center"/>
              <w:rPr>
                <w:rFonts w:ascii="Times New Roman" w:hAnsi="Times New Roman" w:eastAsia="Calibri" w:cs="Times New Roman"/>
                <w:bCs/>
                <w:sz w:val="20"/>
                <w:szCs w:val="20"/>
              </w:rPr>
            </w:pPr>
            <w:r>
              <w:rPr>
                <w:rFonts w:eastAsia="Calibri" w:cs="Times New Roman"/>
                <w:bCs/>
                <w:kern w:val="0"/>
                <w:sz w:val="20"/>
                <w:szCs w:val="20"/>
                <w:lang w:val="ru-RU" w:eastAsia="en-US" w:bidi="ar-SA"/>
              </w:rPr>
              <w:t>4</w:t>
            </w:r>
          </w:p>
          <w:p>
            <w:pPr>
              <w:pStyle w:val="Normal"/>
              <w:widowControl/>
              <w:spacing w:lineRule="auto" w:line="240" w:before="0" w:after="0"/>
              <w:jc w:val="center"/>
              <w:rPr>
                <w:rFonts w:ascii="Times New Roman" w:hAnsi="Times New Roman" w:eastAsia="Calibri" w:cs="Times New Roman"/>
                <w:bCs/>
                <w:sz w:val="20"/>
                <w:szCs w:val="20"/>
              </w:rPr>
            </w:pPr>
            <w:r>
              <w:rPr>
                <w:rFonts w:eastAsia="Calibri" w:cs="Times New Roman"/>
                <w:bCs/>
                <w:kern w:val="0"/>
                <w:sz w:val="20"/>
                <w:szCs w:val="20"/>
                <w:lang w:val="ru-RU" w:eastAsia="en-US" w:bidi="ar-SA"/>
              </w:rPr>
              <w:t>штуки</w:t>
            </w:r>
          </w:p>
        </w:tc>
        <w:tc>
          <w:tcPr>
            <w:tcW w:w="10682" w:type="dxa"/>
            <w:gridSpan w:val="5"/>
            <w:tcBorders/>
            <w:vAlign w:val="center"/>
          </w:tcPr>
          <w:p>
            <w:pPr>
              <w:pStyle w:val="Normal"/>
              <w:widowControl/>
              <w:spacing w:lineRule="auto" w:line="240" w:before="0" w:after="0"/>
              <w:ind w:right="-57"/>
              <w:jc w:val="left"/>
              <w:rPr>
                <w:rFonts w:ascii="Times New Roman" w:hAnsi="Times New Roman" w:cs="Times New Roman"/>
                <w:b/>
                <w:sz w:val="20"/>
                <w:szCs w:val="20"/>
              </w:rPr>
            </w:pPr>
            <w:r>
              <w:rPr>
                <w:rFonts w:eastAsia="Calibri" w:cs="Times New Roman"/>
                <w:b/>
                <w:kern w:val="0"/>
                <w:sz w:val="20"/>
                <w:szCs w:val="20"/>
                <w:lang w:val="ru-RU" w:eastAsia="en-US" w:bidi="ar-SA"/>
              </w:rPr>
              <w:t>Дополнительная характеристика</w:t>
            </w:r>
          </w:p>
        </w:tc>
      </w:tr>
      <w:tr>
        <w:trPr>
          <w:trHeight w:val="615" w:hRule="atLeast"/>
        </w:trPr>
        <w:tc>
          <w:tcPr>
            <w:tcW w:w="591" w:type="dxa"/>
            <w:vMerge w:val="continue"/>
            <w:tcBorders/>
            <w:vAlign w:val="center"/>
          </w:tcPr>
          <w:p>
            <w:pPr>
              <w:pStyle w:val="Normal"/>
              <w:widowControl/>
              <w:spacing w:lineRule="auto" w:line="240" w:before="0" w:after="0"/>
              <w:jc w:val="left"/>
              <w:rPr>
                <w:rFonts w:ascii="Times New Roman" w:hAnsi="Times New Roman" w:cs="Times New Roman"/>
                <w:bCs/>
                <w:sz w:val="20"/>
                <w:szCs w:val="20"/>
              </w:rPr>
            </w:pPr>
            <w:r>
              <w:rPr>
                <w:rFonts w:eastAsia="Calibri" w:cs="Times New Roman"/>
                <w:bCs/>
                <w:kern w:val="0"/>
                <w:sz w:val="20"/>
                <w:szCs w:val="20"/>
                <w:lang w:val="ru-RU" w:eastAsia="en-US" w:bidi="ar-SA"/>
              </w:rPr>
            </w:r>
          </w:p>
        </w:tc>
        <w:tc>
          <w:tcPr>
            <w:tcW w:w="2790" w:type="dxa"/>
            <w:vMerge w:val="continue"/>
            <w:tcBorders/>
            <w:vAlign w:val="center"/>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r>
          </w:p>
        </w:tc>
        <w:tc>
          <w:tcPr>
            <w:tcW w:w="1177" w:type="dxa"/>
            <w:vMerge w:val="continue"/>
            <w:tcBorders/>
            <w:vAlign w:val="center"/>
          </w:tcPr>
          <w:p>
            <w:pPr>
              <w:pStyle w:val="Normal"/>
              <w:widowControl/>
              <w:spacing w:lineRule="auto" w:line="240" w:before="0" w:after="0"/>
              <w:jc w:val="left"/>
              <w:rPr>
                <w:rFonts w:ascii="Times New Roman" w:hAnsi="Times New Roman" w:eastAsia="Calibri" w:cs="Times New Roman"/>
                <w:bCs/>
                <w:sz w:val="20"/>
                <w:szCs w:val="20"/>
              </w:rPr>
            </w:pPr>
            <w:r>
              <w:rPr>
                <w:rFonts w:eastAsia="Calibri" w:cs="Times New Roman"/>
                <w:bCs/>
                <w:kern w:val="0"/>
                <w:sz w:val="20"/>
                <w:szCs w:val="20"/>
                <w:lang w:val="ru-RU" w:eastAsia="en-US" w:bidi="ar-SA"/>
              </w:rPr>
            </w:r>
          </w:p>
        </w:tc>
        <w:tc>
          <w:tcPr>
            <w:tcW w:w="2790" w:type="dxa"/>
            <w:tcBorders/>
            <w:vAlign w:val="center"/>
          </w:tcPr>
          <w:p>
            <w:pPr>
              <w:pStyle w:val="Normal"/>
              <w:widowControl/>
              <w:spacing w:lineRule="auto" w:line="240" w:before="0" w:after="0"/>
              <w:ind w:right="-57"/>
              <w:jc w:val="center"/>
              <w:rPr>
                <w:rFonts w:ascii="Times New Roman" w:hAnsi="Times New Roman" w:cs="Times New Roman"/>
                <w:sz w:val="20"/>
                <w:szCs w:val="20"/>
                <w:shd w:fill="FFFFFF" w:val="clear"/>
              </w:rPr>
            </w:pPr>
            <w:r>
              <w:rPr>
                <w:rFonts w:eastAsia="Calibri" w:cs="Times New Roman"/>
                <w:kern w:val="0"/>
                <w:sz w:val="20"/>
                <w:szCs w:val="20"/>
                <w:shd w:fill="FFFFFF" w:val="clear"/>
                <w:lang w:val="ru-RU" w:eastAsia="en-US" w:bidi="ar-SA"/>
              </w:rPr>
              <w:t xml:space="preserve">Сезон </w:t>
            </w:r>
          </w:p>
        </w:tc>
        <w:tc>
          <w:tcPr>
            <w:tcW w:w="2352"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shd w:fill="FFFFFF" w:val="clear"/>
                <w:lang w:val="ru-RU" w:eastAsia="en-US" w:bidi="ar-SA"/>
              </w:rPr>
              <w:t>Летние</w:t>
            </w:r>
          </w:p>
        </w:tc>
        <w:tc>
          <w:tcPr>
            <w:tcW w:w="1323"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lang w:val="ru-RU" w:eastAsia="en-US" w:bidi="ar-SA"/>
              </w:rPr>
            </w:r>
          </w:p>
        </w:tc>
        <w:tc>
          <w:tcPr>
            <w:tcW w:w="1765"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Качественная</w:t>
            </w:r>
          </w:p>
        </w:tc>
        <w:tc>
          <w:tcPr>
            <w:tcW w:w="2452"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Значение характеристики не может меняться участником закупки</w:t>
            </w:r>
          </w:p>
        </w:tc>
      </w:tr>
      <w:tr>
        <w:trPr>
          <w:trHeight w:val="671" w:hRule="atLeast"/>
        </w:trPr>
        <w:tc>
          <w:tcPr>
            <w:tcW w:w="591" w:type="dxa"/>
            <w:vMerge w:val="continue"/>
            <w:tcBorders/>
            <w:vAlign w:val="center"/>
          </w:tcPr>
          <w:p>
            <w:pPr>
              <w:pStyle w:val="Normal"/>
              <w:widowControl/>
              <w:spacing w:lineRule="auto" w:line="240" w:before="0" w:after="0"/>
              <w:jc w:val="left"/>
              <w:rPr>
                <w:rFonts w:ascii="Times New Roman" w:hAnsi="Times New Roman" w:cs="Times New Roman"/>
                <w:bCs/>
                <w:sz w:val="20"/>
                <w:szCs w:val="20"/>
              </w:rPr>
            </w:pPr>
            <w:r>
              <w:rPr>
                <w:rFonts w:eastAsia="Calibri" w:cs="Times New Roman"/>
                <w:bCs/>
                <w:kern w:val="0"/>
                <w:sz w:val="20"/>
                <w:szCs w:val="20"/>
                <w:lang w:val="ru-RU" w:eastAsia="en-US" w:bidi="ar-SA"/>
              </w:rPr>
            </w:r>
          </w:p>
        </w:tc>
        <w:tc>
          <w:tcPr>
            <w:tcW w:w="2790" w:type="dxa"/>
            <w:vMerge w:val="continue"/>
            <w:tcBorders/>
            <w:vAlign w:val="center"/>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r>
          </w:p>
        </w:tc>
        <w:tc>
          <w:tcPr>
            <w:tcW w:w="1177" w:type="dxa"/>
            <w:vMerge w:val="continue"/>
            <w:tcBorders/>
            <w:vAlign w:val="center"/>
          </w:tcPr>
          <w:p>
            <w:pPr>
              <w:pStyle w:val="Normal"/>
              <w:widowControl/>
              <w:spacing w:lineRule="auto" w:line="240" w:before="0" w:after="0"/>
              <w:jc w:val="left"/>
              <w:rPr>
                <w:rFonts w:ascii="Times New Roman" w:hAnsi="Times New Roman" w:eastAsia="Calibri" w:cs="Times New Roman"/>
                <w:bCs/>
                <w:sz w:val="20"/>
                <w:szCs w:val="20"/>
              </w:rPr>
            </w:pPr>
            <w:r>
              <w:rPr>
                <w:rFonts w:eastAsia="Calibri" w:cs="Times New Roman"/>
                <w:bCs/>
                <w:kern w:val="0"/>
                <w:sz w:val="20"/>
                <w:szCs w:val="20"/>
                <w:lang w:val="ru-RU" w:eastAsia="en-US" w:bidi="ar-SA"/>
              </w:rPr>
            </w:r>
          </w:p>
        </w:tc>
        <w:tc>
          <w:tcPr>
            <w:tcW w:w="2790" w:type="dxa"/>
            <w:tcBorders/>
            <w:vAlign w:val="center"/>
          </w:tcPr>
          <w:p>
            <w:pPr>
              <w:pStyle w:val="Normal"/>
              <w:widowControl/>
              <w:spacing w:lineRule="auto" w:line="240" w:before="0" w:after="0"/>
              <w:ind w:right="-57"/>
              <w:jc w:val="center"/>
              <w:rPr>
                <w:rFonts w:ascii="Times New Roman" w:hAnsi="Times New Roman" w:cs="Times New Roman"/>
                <w:sz w:val="20"/>
                <w:szCs w:val="20"/>
                <w:lang w:val="en-US"/>
              </w:rPr>
            </w:pPr>
            <w:r>
              <w:rPr>
                <w:rFonts w:eastAsia="Calibri" w:cs="Times New Roman"/>
                <w:kern w:val="0"/>
                <w:sz w:val="20"/>
                <w:szCs w:val="20"/>
                <w:shd w:fill="FFFFFF" w:val="clear"/>
                <w:lang w:val="ru-RU" w:eastAsia="en-US" w:bidi="ar-SA"/>
              </w:rPr>
              <w:t>Без дисков</w:t>
            </w:r>
          </w:p>
        </w:tc>
        <w:tc>
          <w:tcPr>
            <w:tcW w:w="2352"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shd w:fill="FFFFFF" w:val="clear"/>
                <w:lang w:val="ru-RU" w:eastAsia="en-US" w:bidi="ar-SA"/>
              </w:rPr>
              <w:t xml:space="preserve">Да </w:t>
            </w:r>
          </w:p>
        </w:tc>
        <w:tc>
          <w:tcPr>
            <w:tcW w:w="1323"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lang w:val="ru-RU" w:eastAsia="en-US" w:bidi="ar-SA"/>
              </w:rPr>
            </w:r>
          </w:p>
        </w:tc>
        <w:tc>
          <w:tcPr>
            <w:tcW w:w="1765"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Качественная</w:t>
            </w:r>
          </w:p>
        </w:tc>
        <w:tc>
          <w:tcPr>
            <w:tcW w:w="2452"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Значение характеристики не может меняться участником закупки</w:t>
            </w:r>
          </w:p>
        </w:tc>
      </w:tr>
      <w:tr>
        <w:trPr>
          <w:trHeight w:val="450" w:hRule="atLeast"/>
        </w:trPr>
        <w:tc>
          <w:tcPr>
            <w:tcW w:w="591" w:type="dxa"/>
            <w:vMerge w:val="continue"/>
            <w:tcBorders/>
            <w:vAlign w:val="center"/>
          </w:tcPr>
          <w:p>
            <w:pPr>
              <w:pStyle w:val="Normal"/>
              <w:widowControl/>
              <w:spacing w:lineRule="auto" w:line="240" w:before="0" w:after="0"/>
              <w:jc w:val="left"/>
              <w:rPr>
                <w:rFonts w:ascii="Times New Roman" w:hAnsi="Times New Roman" w:cs="Times New Roman"/>
                <w:bCs/>
                <w:sz w:val="20"/>
                <w:szCs w:val="20"/>
              </w:rPr>
            </w:pPr>
            <w:r>
              <w:rPr>
                <w:rFonts w:eastAsia="Calibri" w:cs="Times New Roman"/>
                <w:bCs/>
                <w:kern w:val="0"/>
                <w:sz w:val="20"/>
                <w:szCs w:val="20"/>
                <w:lang w:val="ru-RU" w:eastAsia="en-US" w:bidi="ar-SA"/>
              </w:rPr>
            </w:r>
          </w:p>
        </w:tc>
        <w:tc>
          <w:tcPr>
            <w:tcW w:w="2790" w:type="dxa"/>
            <w:vMerge w:val="continue"/>
            <w:tcBorders/>
            <w:vAlign w:val="center"/>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r>
          </w:p>
        </w:tc>
        <w:tc>
          <w:tcPr>
            <w:tcW w:w="1177" w:type="dxa"/>
            <w:vMerge w:val="continue"/>
            <w:tcBorders/>
            <w:vAlign w:val="center"/>
          </w:tcPr>
          <w:p>
            <w:pPr>
              <w:pStyle w:val="Normal"/>
              <w:widowControl/>
              <w:spacing w:lineRule="auto" w:line="240" w:before="0" w:after="0"/>
              <w:jc w:val="left"/>
              <w:rPr>
                <w:rFonts w:ascii="Times New Roman" w:hAnsi="Times New Roman" w:eastAsia="Calibri" w:cs="Times New Roman"/>
                <w:bCs/>
                <w:sz w:val="20"/>
                <w:szCs w:val="20"/>
              </w:rPr>
            </w:pPr>
            <w:r>
              <w:rPr>
                <w:rFonts w:eastAsia="Calibri" w:cs="Times New Roman"/>
                <w:bCs/>
                <w:kern w:val="0"/>
                <w:sz w:val="20"/>
                <w:szCs w:val="20"/>
                <w:lang w:val="ru-RU" w:eastAsia="en-US" w:bidi="ar-SA"/>
              </w:rPr>
            </w:r>
          </w:p>
        </w:tc>
        <w:tc>
          <w:tcPr>
            <w:tcW w:w="2790"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shd w:fill="FFFFFF" w:val="clear"/>
                <w:lang w:val="ru-RU" w:eastAsia="en-US" w:bidi="ar-SA"/>
              </w:rPr>
              <w:t xml:space="preserve">Ширина протектора </w:t>
            </w:r>
          </w:p>
        </w:tc>
        <w:tc>
          <w:tcPr>
            <w:tcW w:w="2352"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shd w:fill="FFFFFF" w:val="clear"/>
                <w:lang w:val="ru-RU" w:eastAsia="en-US" w:bidi="ar-SA"/>
              </w:rPr>
              <w:t>≥</w:t>
            </w:r>
            <w:r>
              <w:rPr>
                <w:rFonts w:eastAsia="Calibri" w:cs="Times New Roman"/>
                <w:kern w:val="0"/>
                <w:sz w:val="20"/>
                <w:szCs w:val="20"/>
                <w:shd w:fill="FFFFFF" w:val="clear"/>
                <w:lang w:val="ru-RU" w:eastAsia="en-US" w:bidi="ar-SA"/>
              </w:rPr>
              <w:t xml:space="preserve">195 и </w:t>
            </w:r>
            <w:r>
              <w:rPr>
                <w:rFonts w:eastAsia="Calibri" w:cs="Times New Roman"/>
                <w:kern w:val="0"/>
                <w:sz w:val="20"/>
                <w:szCs w:val="20"/>
                <w:shd w:fill="FFFFFF" w:val="clear"/>
                <w:lang w:val="en-US" w:eastAsia="en-US" w:bidi="ar-SA"/>
              </w:rPr>
              <w:t>&lt;</w:t>
            </w:r>
            <w:r>
              <w:rPr>
                <w:rFonts w:eastAsia="Calibri" w:cs="Times New Roman"/>
                <w:kern w:val="0"/>
                <w:sz w:val="20"/>
                <w:szCs w:val="20"/>
                <w:shd w:fill="FFFFFF" w:val="clear"/>
                <w:lang w:val="ru-RU" w:eastAsia="en-US" w:bidi="ar-SA"/>
              </w:rPr>
              <w:t>196</w:t>
            </w:r>
          </w:p>
        </w:tc>
        <w:tc>
          <w:tcPr>
            <w:tcW w:w="1323"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lang w:val="ru-RU" w:eastAsia="en-US" w:bidi="ar-SA"/>
              </w:rPr>
              <w:t>мм</w:t>
            </w:r>
          </w:p>
        </w:tc>
        <w:tc>
          <w:tcPr>
            <w:tcW w:w="1765"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 xml:space="preserve">Количественная </w:t>
            </w:r>
          </w:p>
        </w:tc>
        <w:tc>
          <w:tcPr>
            <w:tcW w:w="2452"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Участник закупки указывает конкретное значение характеристики</w:t>
            </w:r>
          </w:p>
        </w:tc>
      </w:tr>
      <w:tr>
        <w:trPr>
          <w:trHeight w:val="450" w:hRule="atLeast"/>
        </w:trPr>
        <w:tc>
          <w:tcPr>
            <w:tcW w:w="591" w:type="dxa"/>
            <w:vMerge w:val="continue"/>
            <w:tcBorders/>
            <w:vAlign w:val="center"/>
          </w:tcPr>
          <w:p>
            <w:pPr>
              <w:pStyle w:val="Normal"/>
              <w:widowControl/>
              <w:spacing w:lineRule="auto" w:line="240" w:before="0" w:after="0"/>
              <w:jc w:val="left"/>
              <w:rPr>
                <w:rFonts w:ascii="Times New Roman" w:hAnsi="Times New Roman" w:cs="Times New Roman"/>
                <w:bCs/>
                <w:sz w:val="20"/>
                <w:szCs w:val="20"/>
              </w:rPr>
            </w:pPr>
            <w:r>
              <w:rPr>
                <w:rFonts w:eastAsia="Calibri" w:cs="Times New Roman"/>
                <w:bCs/>
                <w:kern w:val="0"/>
                <w:sz w:val="20"/>
                <w:szCs w:val="20"/>
                <w:lang w:val="ru-RU" w:eastAsia="en-US" w:bidi="ar-SA"/>
              </w:rPr>
            </w:r>
          </w:p>
        </w:tc>
        <w:tc>
          <w:tcPr>
            <w:tcW w:w="2790" w:type="dxa"/>
            <w:vMerge w:val="continue"/>
            <w:tcBorders/>
            <w:vAlign w:val="center"/>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r>
          </w:p>
        </w:tc>
        <w:tc>
          <w:tcPr>
            <w:tcW w:w="1177" w:type="dxa"/>
            <w:vMerge w:val="continue"/>
            <w:tcBorders/>
            <w:vAlign w:val="center"/>
          </w:tcPr>
          <w:p>
            <w:pPr>
              <w:pStyle w:val="Normal"/>
              <w:widowControl/>
              <w:spacing w:lineRule="auto" w:line="240" w:before="0" w:after="0"/>
              <w:jc w:val="left"/>
              <w:rPr>
                <w:rFonts w:ascii="Times New Roman" w:hAnsi="Times New Roman" w:eastAsia="Calibri" w:cs="Times New Roman"/>
                <w:bCs/>
                <w:sz w:val="20"/>
                <w:szCs w:val="20"/>
              </w:rPr>
            </w:pPr>
            <w:r>
              <w:rPr>
                <w:rFonts w:eastAsia="Calibri" w:cs="Times New Roman"/>
                <w:bCs/>
                <w:kern w:val="0"/>
                <w:sz w:val="20"/>
                <w:szCs w:val="20"/>
                <w:lang w:val="ru-RU" w:eastAsia="en-US" w:bidi="ar-SA"/>
              </w:rPr>
            </w:r>
          </w:p>
        </w:tc>
        <w:tc>
          <w:tcPr>
            <w:tcW w:w="2790" w:type="dxa"/>
            <w:tcBorders/>
            <w:vAlign w:val="center"/>
          </w:tcPr>
          <w:p>
            <w:pPr>
              <w:pStyle w:val="Normal"/>
              <w:widowControl/>
              <w:spacing w:lineRule="auto" w:line="240" w:before="0" w:after="0"/>
              <w:ind w:right="-57"/>
              <w:jc w:val="center"/>
              <w:rPr>
                <w:rFonts w:ascii="Times New Roman" w:hAnsi="Times New Roman" w:cs="Times New Roman"/>
                <w:sz w:val="20"/>
                <w:szCs w:val="20"/>
                <w:shd w:fill="FFFFFF" w:val="clear"/>
              </w:rPr>
            </w:pPr>
            <w:r>
              <w:rPr>
                <w:rFonts w:eastAsia="Calibri" w:cs="Times New Roman"/>
                <w:kern w:val="0"/>
                <w:sz w:val="20"/>
                <w:szCs w:val="20"/>
                <w:shd w:fill="FFFFFF" w:val="clear"/>
                <w:lang w:val="ru-RU" w:eastAsia="en-US" w:bidi="ar-SA"/>
              </w:rPr>
              <w:t xml:space="preserve">Профиль шины </w:t>
            </w:r>
          </w:p>
        </w:tc>
        <w:tc>
          <w:tcPr>
            <w:tcW w:w="2352" w:type="dxa"/>
            <w:tcBorders/>
            <w:vAlign w:val="center"/>
          </w:tcPr>
          <w:p>
            <w:pPr>
              <w:pStyle w:val="Normal"/>
              <w:widowControl/>
              <w:spacing w:lineRule="auto" w:line="240" w:before="0" w:after="0"/>
              <w:ind w:right="-57"/>
              <w:jc w:val="center"/>
              <w:rPr>
                <w:rFonts w:ascii="Times New Roman" w:hAnsi="Times New Roman" w:cs="Times New Roman"/>
                <w:sz w:val="20"/>
                <w:szCs w:val="20"/>
                <w:shd w:fill="FFFFFF" w:val="clear"/>
                <w:lang w:val="en-US"/>
              </w:rPr>
            </w:pPr>
            <w:r>
              <w:rPr>
                <w:rFonts w:eastAsia="Calibri" w:cs="Times New Roman"/>
                <w:kern w:val="0"/>
                <w:sz w:val="20"/>
                <w:szCs w:val="20"/>
                <w:shd w:fill="FFFFFF" w:val="clear"/>
                <w:lang w:val="ru-RU" w:eastAsia="en-US" w:bidi="ar-SA"/>
              </w:rPr>
              <w:t>≥</w:t>
            </w:r>
            <w:r>
              <w:rPr>
                <w:rFonts w:eastAsia="Calibri" w:cs="Times New Roman"/>
                <w:kern w:val="0"/>
                <w:sz w:val="20"/>
                <w:szCs w:val="20"/>
                <w:shd w:fill="FFFFFF" w:val="clear"/>
                <w:lang w:val="ru-RU" w:eastAsia="en-US" w:bidi="ar-SA"/>
              </w:rPr>
              <w:t xml:space="preserve">65 и </w:t>
            </w:r>
            <w:r>
              <w:rPr>
                <w:rFonts w:eastAsia="Calibri" w:cs="Times New Roman"/>
                <w:kern w:val="0"/>
                <w:sz w:val="20"/>
                <w:szCs w:val="20"/>
                <w:shd w:fill="FFFFFF" w:val="clear"/>
                <w:lang w:val="en-US" w:eastAsia="en-US" w:bidi="ar-SA"/>
              </w:rPr>
              <w:t>&lt;</w:t>
            </w:r>
            <w:r>
              <w:rPr>
                <w:rFonts w:eastAsia="Calibri" w:cs="Times New Roman"/>
                <w:kern w:val="0"/>
                <w:sz w:val="20"/>
                <w:szCs w:val="20"/>
                <w:shd w:fill="FFFFFF" w:val="clear"/>
                <w:lang w:val="ru-RU" w:eastAsia="en-US" w:bidi="ar-SA"/>
              </w:rPr>
              <w:t>66</w:t>
            </w:r>
          </w:p>
        </w:tc>
        <w:tc>
          <w:tcPr>
            <w:tcW w:w="1323"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lang w:val="ru-RU" w:eastAsia="en-US" w:bidi="ar-SA"/>
              </w:rPr>
              <w:t>%</w:t>
            </w:r>
          </w:p>
        </w:tc>
        <w:tc>
          <w:tcPr>
            <w:tcW w:w="1765"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 xml:space="preserve">Количественная </w:t>
            </w:r>
          </w:p>
        </w:tc>
        <w:tc>
          <w:tcPr>
            <w:tcW w:w="2452"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Участник закупки указывает конкретное значение характеристики</w:t>
            </w:r>
          </w:p>
        </w:tc>
      </w:tr>
      <w:tr>
        <w:trPr>
          <w:trHeight w:val="841" w:hRule="atLeast"/>
        </w:trPr>
        <w:tc>
          <w:tcPr>
            <w:tcW w:w="591" w:type="dxa"/>
            <w:vMerge w:val="continue"/>
            <w:tcBorders/>
            <w:vAlign w:val="center"/>
          </w:tcPr>
          <w:p>
            <w:pPr>
              <w:pStyle w:val="Normal"/>
              <w:widowControl/>
              <w:spacing w:lineRule="auto" w:line="240" w:before="0" w:after="0"/>
              <w:jc w:val="left"/>
              <w:rPr>
                <w:rFonts w:ascii="Times New Roman" w:hAnsi="Times New Roman" w:cs="Times New Roman"/>
                <w:bCs/>
                <w:sz w:val="20"/>
                <w:szCs w:val="20"/>
              </w:rPr>
            </w:pPr>
            <w:r>
              <w:rPr>
                <w:rFonts w:eastAsia="Calibri" w:cs="Times New Roman"/>
                <w:bCs/>
                <w:kern w:val="0"/>
                <w:sz w:val="20"/>
                <w:szCs w:val="20"/>
                <w:lang w:val="ru-RU" w:eastAsia="en-US" w:bidi="ar-SA"/>
              </w:rPr>
            </w:r>
          </w:p>
        </w:tc>
        <w:tc>
          <w:tcPr>
            <w:tcW w:w="2790" w:type="dxa"/>
            <w:vMerge w:val="continue"/>
            <w:tcBorders/>
            <w:vAlign w:val="center"/>
          </w:tcPr>
          <w:p>
            <w:pPr>
              <w:pStyle w:val="Normal"/>
              <w:widowControl/>
              <w:spacing w:lineRule="auto" w:line="240" w:before="0" w:after="0"/>
              <w:jc w:val="left"/>
              <w:rPr>
                <w:rFonts w:ascii="Times New Roman" w:hAnsi="Times New Roman" w:cs="Times New Roman"/>
                <w:sz w:val="20"/>
                <w:szCs w:val="20"/>
              </w:rPr>
            </w:pPr>
            <w:r>
              <w:rPr>
                <w:rFonts w:eastAsia="Calibri" w:cs="Times New Roman"/>
                <w:kern w:val="0"/>
                <w:sz w:val="20"/>
                <w:szCs w:val="20"/>
                <w:lang w:val="ru-RU" w:eastAsia="en-US" w:bidi="ar-SA"/>
              </w:rPr>
            </w:r>
          </w:p>
        </w:tc>
        <w:tc>
          <w:tcPr>
            <w:tcW w:w="1177" w:type="dxa"/>
            <w:vMerge w:val="continue"/>
            <w:tcBorders/>
            <w:vAlign w:val="center"/>
          </w:tcPr>
          <w:p>
            <w:pPr>
              <w:pStyle w:val="Normal"/>
              <w:widowControl/>
              <w:spacing w:lineRule="auto" w:line="240" w:before="0" w:after="0"/>
              <w:jc w:val="left"/>
              <w:rPr>
                <w:rFonts w:ascii="Times New Roman" w:hAnsi="Times New Roman" w:eastAsia="Calibri" w:cs="Times New Roman"/>
                <w:bCs/>
                <w:sz w:val="20"/>
                <w:szCs w:val="20"/>
              </w:rPr>
            </w:pPr>
            <w:r>
              <w:rPr>
                <w:rFonts w:eastAsia="Calibri" w:cs="Times New Roman"/>
                <w:bCs/>
                <w:kern w:val="0"/>
                <w:sz w:val="20"/>
                <w:szCs w:val="20"/>
                <w:lang w:val="ru-RU" w:eastAsia="en-US" w:bidi="ar-SA"/>
              </w:rPr>
            </w:r>
          </w:p>
        </w:tc>
        <w:tc>
          <w:tcPr>
            <w:tcW w:w="2790"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shd w:fill="FFFFFF" w:val="clear"/>
                <w:lang w:val="ru-RU" w:eastAsia="en-US" w:bidi="ar-SA"/>
              </w:rPr>
              <w:t>Посадочный диаметр</w:t>
            </w:r>
          </w:p>
        </w:tc>
        <w:tc>
          <w:tcPr>
            <w:tcW w:w="2352" w:type="dxa"/>
            <w:tcBorders/>
            <w:vAlign w:val="center"/>
          </w:tcPr>
          <w:p>
            <w:pPr>
              <w:pStyle w:val="Normal"/>
              <w:widowControl/>
              <w:spacing w:lineRule="auto" w:line="240" w:before="0" w:after="0"/>
              <w:ind w:right="-57"/>
              <w:jc w:val="center"/>
              <w:rPr>
                <w:rFonts w:ascii="Times New Roman" w:hAnsi="Times New Roman" w:cs="Times New Roman"/>
                <w:sz w:val="20"/>
                <w:szCs w:val="20"/>
                <w:shd w:fill="FFFFFF" w:val="clear"/>
                <w:lang w:val="en-US"/>
              </w:rPr>
            </w:pPr>
            <w:r>
              <w:rPr>
                <w:rFonts w:eastAsia="Calibri" w:cs="Times New Roman"/>
                <w:kern w:val="0"/>
                <w:sz w:val="20"/>
                <w:szCs w:val="20"/>
                <w:shd w:fill="FFFFFF" w:val="clear"/>
                <w:lang w:val="ru-RU" w:eastAsia="en-US" w:bidi="ar-SA"/>
              </w:rPr>
              <w:t>≥</w:t>
            </w:r>
            <w:r>
              <w:rPr>
                <w:rFonts w:eastAsia="Calibri" w:cs="Times New Roman"/>
                <w:kern w:val="0"/>
                <w:sz w:val="20"/>
                <w:szCs w:val="20"/>
                <w:shd w:fill="FFFFFF" w:val="clear"/>
                <w:lang w:val="ru-RU" w:eastAsia="en-US" w:bidi="ar-SA"/>
              </w:rPr>
              <w:t xml:space="preserve">15 и </w:t>
            </w:r>
            <w:r>
              <w:rPr>
                <w:rFonts w:eastAsia="Calibri" w:cs="Times New Roman"/>
                <w:kern w:val="0"/>
                <w:sz w:val="20"/>
                <w:szCs w:val="20"/>
                <w:shd w:fill="FFFFFF" w:val="clear"/>
                <w:lang w:val="en-US" w:eastAsia="en-US" w:bidi="ar-SA"/>
              </w:rPr>
              <w:t>&lt;</w:t>
            </w:r>
            <w:r>
              <w:rPr>
                <w:rFonts w:eastAsia="Calibri" w:cs="Times New Roman"/>
                <w:kern w:val="0"/>
                <w:sz w:val="20"/>
                <w:szCs w:val="20"/>
                <w:shd w:fill="FFFFFF" w:val="clear"/>
                <w:lang w:val="ru-RU" w:eastAsia="en-US" w:bidi="ar-SA"/>
              </w:rPr>
              <w:t>16</w:t>
            </w:r>
          </w:p>
        </w:tc>
        <w:tc>
          <w:tcPr>
            <w:tcW w:w="1323" w:type="dxa"/>
            <w:tcBorders/>
            <w:vAlign w:val="center"/>
          </w:tcPr>
          <w:p>
            <w:pPr>
              <w:pStyle w:val="Normal"/>
              <w:widowControl/>
              <w:spacing w:lineRule="auto" w:line="240" w:before="0" w:after="0"/>
              <w:ind w:right="-57"/>
              <w:jc w:val="center"/>
              <w:rPr>
                <w:rFonts w:ascii="Times New Roman" w:hAnsi="Times New Roman" w:cs="Times New Roman"/>
                <w:sz w:val="20"/>
                <w:szCs w:val="20"/>
              </w:rPr>
            </w:pPr>
            <w:r>
              <w:rPr>
                <w:rFonts w:eastAsia="Calibri" w:cs="Times New Roman"/>
                <w:kern w:val="0"/>
                <w:sz w:val="20"/>
                <w:szCs w:val="20"/>
                <w:lang w:val="ru-RU" w:eastAsia="en-US" w:bidi="ar-SA"/>
              </w:rPr>
              <w:t>дюйм</w:t>
            </w:r>
          </w:p>
        </w:tc>
        <w:tc>
          <w:tcPr>
            <w:tcW w:w="1765"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 xml:space="preserve">Количественная </w:t>
            </w:r>
          </w:p>
        </w:tc>
        <w:tc>
          <w:tcPr>
            <w:tcW w:w="2452" w:type="dxa"/>
            <w:tcBorders/>
            <w:vAlign w:val="center"/>
          </w:tcPr>
          <w:p>
            <w:pPr>
              <w:pStyle w:val="Normal"/>
              <w:widowControl/>
              <w:spacing w:lineRule="auto" w:line="240" w:before="0" w:after="0"/>
              <w:ind w:right="-57"/>
              <w:jc w:val="left"/>
              <w:rPr>
                <w:rFonts w:ascii="Times New Roman" w:hAnsi="Times New Roman" w:cs="Times New Roman"/>
                <w:sz w:val="20"/>
                <w:szCs w:val="20"/>
              </w:rPr>
            </w:pPr>
            <w:r>
              <w:rPr>
                <w:rFonts w:eastAsia="Calibri" w:cs="Times New Roman"/>
                <w:kern w:val="0"/>
                <w:sz w:val="20"/>
                <w:szCs w:val="20"/>
                <w:lang w:val="ru-RU" w:eastAsia="en-US" w:bidi="ar-SA"/>
              </w:rPr>
              <w:t>Участник закупки указывает конкретное значение характеристики</w:t>
            </w:r>
          </w:p>
        </w:tc>
      </w:tr>
    </w:tbl>
    <w:p>
      <w:pPr>
        <w:pStyle w:val="Normal"/>
        <w:rPr/>
      </w:pPr>
      <w:r>
        <w:rPr/>
      </w:r>
    </w:p>
    <w:p>
      <w:pPr>
        <w:pStyle w:val="NoSpacing"/>
        <w:ind w:firstLine="709" w:left="708"/>
        <w:rPr>
          <w:rFonts w:ascii="Times New Roman" w:hAnsi="Times New Roman" w:cs="Times New Roman"/>
          <w:b/>
          <w:sz w:val="20"/>
          <w:szCs w:val="20"/>
        </w:rPr>
      </w:pPr>
      <w:r>
        <w:rPr>
          <w:rFonts w:cs="Times New Roman"/>
          <w:b/>
          <w:sz w:val="20"/>
          <w:szCs w:val="20"/>
        </w:rPr>
        <w:t>2. Требования к качеству и безопасности товара</w:t>
      </w:r>
    </w:p>
    <w:p>
      <w:pPr>
        <w:pStyle w:val="NoSpacing"/>
        <w:ind w:firstLine="709" w:left="708"/>
        <w:jc w:val="both"/>
        <w:rPr>
          <w:rFonts w:ascii="Times New Roman" w:hAnsi="Times New Roman" w:cs="Times New Roman"/>
          <w:sz w:val="20"/>
          <w:szCs w:val="20"/>
        </w:rPr>
      </w:pPr>
      <w:r>
        <w:rPr>
          <w:rFonts w:cs="Times New Roman"/>
          <w:sz w:val="20"/>
          <w:szCs w:val="20"/>
        </w:rPr>
        <w:t>2.1.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pPr>
        <w:pStyle w:val="NoSpacing"/>
        <w:ind w:firstLine="709" w:left="708"/>
        <w:jc w:val="both"/>
        <w:rPr>
          <w:rFonts w:ascii="Times New Roman" w:hAnsi="Times New Roman" w:cs="Times New Roman"/>
          <w:sz w:val="20"/>
          <w:szCs w:val="20"/>
        </w:rPr>
      </w:pPr>
      <w:r>
        <w:rPr>
          <w:rFonts w:cs="Times New Roman"/>
          <w:sz w:val="20"/>
          <w:szCs w:val="20"/>
        </w:rPr>
        <w:t xml:space="preserve">2.2. Вся сопроводительная информация о поставляемом товаре должна иметь информацию на русском языке, перевод на русский язык. Товар должен иметь маркировочные ярлыки (или этикетки) с указанием полной информации, предусмотренной законами и иными нормативно-правовыми актами Российской Федерации, подтверждающей качество поставляемого товара и его соответствие требованиям законодательства Российской Федерации. Маркировка должна быть выполнена на русском языке и содержать: наименование товара, наименование фирмы изготовителя, юридический адрес изготовителя, дату выпуска и гарантийный срок хранения. Маркировка должна обеспечивать полную и однозначную идентификацию каждой единицы товара при ее приемке от поставщика. </w:t>
      </w:r>
    </w:p>
    <w:p>
      <w:pPr>
        <w:pStyle w:val="NoSpacing"/>
        <w:ind w:firstLine="709" w:left="708"/>
        <w:jc w:val="both"/>
        <w:rPr>
          <w:rFonts w:ascii="Times New Roman" w:hAnsi="Times New Roman" w:cs="Times New Roman"/>
          <w:sz w:val="20"/>
          <w:szCs w:val="20"/>
        </w:rPr>
      </w:pPr>
      <w:r>
        <w:rPr>
          <w:rFonts w:cs="Times New Roman"/>
          <w:sz w:val="20"/>
          <w:szCs w:val="20"/>
        </w:rPr>
        <w:t>2.3. Товар должен быть поставлен надлежащего качества. Качество и безопасность Товара должны быть подтверждены сертификатом соответствия и/или декларацией о соответствии, действующими на территории Российской Федерации.</w:t>
      </w:r>
    </w:p>
    <w:p>
      <w:pPr>
        <w:pStyle w:val="NoSpacing"/>
        <w:ind w:firstLine="709" w:left="708"/>
        <w:jc w:val="both"/>
        <w:rPr>
          <w:rFonts w:ascii="Times New Roman" w:hAnsi="Times New Roman" w:cs="Times New Roman"/>
          <w:sz w:val="20"/>
          <w:szCs w:val="20"/>
        </w:rPr>
      </w:pPr>
      <w:r>
        <w:rPr>
          <w:rFonts w:cs="Times New Roman"/>
          <w:sz w:val="20"/>
          <w:szCs w:val="20"/>
        </w:rPr>
        <w:t>2.4. Потребительская тара должна обеспечивать сохранность от внешних воздействий и любого вида повреждений при перевозке различными видами транспорта (при необходимости иметь светонепроницаемую защиту и упаковку, которая предохраняет от различного рода повреждений, попадания света, проникновения в неё избыточной влажности).</w:t>
      </w:r>
    </w:p>
    <w:p>
      <w:pPr>
        <w:pStyle w:val="NoSpacing"/>
        <w:ind w:firstLine="709" w:left="708"/>
        <w:jc w:val="both"/>
        <w:rPr>
          <w:rFonts w:ascii="Times New Roman" w:hAnsi="Times New Roman" w:cs="Times New Roman"/>
          <w:sz w:val="20"/>
          <w:szCs w:val="20"/>
        </w:rPr>
      </w:pPr>
      <w:r>
        <w:rPr>
          <w:rFonts w:cs="Times New Roman"/>
          <w:sz w:val="20"/>
          <w:szCs w:val="20"/>
        </w:rPr>
        <w:t>2.5. Товар должен быть доставлен до места поставки товара транспортом, обеспечивающим сохранность товара от загрязнения,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 При транспортировке товара должны соблюдаться температурные условия хранения.</w:t>
      </w:r>
    </w:p>
    <w:p>
      <w:pPr>
        <w:pStyle w:val="NoSpacing"/>
        <w:ind w:firstLine="709" w:left="708"/>
        <w:jc w:val="both"/>
        <w:rPr>
          <w:rFonts w:ascii="Times New Roman" w:hAnsi="Times New Roman" w:cs="Times New Roman"/>
          <w:sz w:val="20"/>
          <w:szCs w:val="20"/>
        </w:rPr>
      </w:pPr>
      <w:r>
        <w:rPr>
          <w:rFonts w:cs="Times New Roman"/>
          <w:sz w:val="20"/>
          <w:szCs w:val="20"/>
        </w:rPr>
        <w:t>2.6. Поставщик поставляет товар свободный от любых прав третьих лиц, в противном случае он обязан возместить заказчику все убытки, причиненные изъятием товара.</w:t>
      </w:r>
    </w:p>
    <w:p>
      <w:pPr>
        <w:pStyle w:val="NoSpacing"/>
        <w:ind w:firstLine="709" w:left="708"/>
        <w:jc w:val="both"/>
        <w:rPr>
          <w:rFonts w:ascii="Times New Roman" w:hAnsi="Times New Roman" w:cs="Times New Roman"/>
          <w:sz w:val="20"/>
          <w:szCs w:val="20"/>
        </w:rPr>
      </w:pPr>
      <w:r>
        <w:rPr>
          <w:rFonts w:cs="Times New Roman"/>
          <w:sz w:val="20"/>
          <w:szCs w:val="20"/>
        </w:rPr>
        <w:t>2.7. При возникновении сомнений в качестве, эффективности и безопасности товара, заказчик может провести его экспертизу.</w:t>
      </w:r>
    </w:p>
    <w:p>
      <w:pPr>
        <w:pStyle w:val="NoSpacing"/>
        <w:ind w:firstLine="709" w:left="708"/>
        <w:jc w:val="both"/>
        <w:rPr>
          <w:rFonts w:ascii="Times New Roman" w:hAnsi="Times New Roman" w:cs="Times New Roman"/>
          <w:sz w:val="20"/>
          <w:szCs w:val="20"/>
        </w:rPr>
      </w:pPr>
      <w:r>
        <w:rPr>
          <w:rFonts w:cs="Times New Roman"/>
          <w:sz w:val="20"/>
          <w:szCs w:val="20"/>
        </w:rPr>
        <w:t xml:space="preserve">2.8. При получении заключения экспертизы о несоответствии товара качеству эффективности и безопасности, принятому для данного вида товара, расходы, связанные с её проведением, возмещаются поставщиком в бесспорном порядке в полном объеме. </w:t>
      </w:r>
    </w:p>
    <w:p>
      <w:pPr>
        <w:pStyle w:val="NoSpacing"/>
        <w:ind w:firstLine="709" w:left="708"/>
        <w:jc w:val="both"/>
        <w:rPr>
          <w:rFonts w:ascii="Times New Roman" w:hAnsi="Times New Roman" w:cs="Times New Roman"/>
          <w:sz w:val="20"/>
          <w:szCs w:val="20"/>
        </w:rPr>
      </w:pPr>
      <w:r>
        <w:rPr>
          <w:rFonts w:cs="Times New Roman"/>
          <w:sz w:val="20"/>
          <w:szCs w:val="20"/>
        </w:rPr>
        <w:t xml:space="preserve">2.9. При обнаружении некачественных товаров вызов представителя поставщика обязателен. </w:t>
      </w:r>
    </w:p>
    <w:p>
      <w:pPr>
        <w:pStyle w:val="NoSpacing"/>
        <w:ind w:firstLine="709" w:left="708"/>
        <w:jc w:val="both"/>
        <w:rPr>
          <w:rFonts w:ascii="Times New Roman" w:hAnsi="Times New Roman" w:cs="Times New Roman"/>
          <w:sz w:val="20"/>
          <w:szCs w:val="20"/>
        </w:rPr>
      </w:pPr>
      <w:r>
        <w:rPr>
          <w:rFonts w:cs="Times New Roman"/>
          <w:sz w:val="20"/>
          <w:szCs w:val="20"/>
        </w:rPr>
        <w:t>2.10. Поставщик должен осуществить замену некачественной продукции на качественную в течение 10 (десяти) рабочих дней с момента поступления претензии от заказчика, переданной посредством факсимильного или электронного сообщения с последующим предоставлением почтовой или нарочной связью.</w:t>
      </w:r>
    </w:p>
    <w:p>
      <w:pPr>
        <w:pStyle w:val="NoSpacing"/>
        <w:ind w:firstLine="709" w:left="708"/>
        <w:jc w:val="both"/>
        <w:rPr>
          <w:rFonts w:ascii="Times New Roman" w:hAnsi="Times New Roman" w:cs="Times New Roman"/>
          <w:sz w:val="20"/>
          <w:szCs w:val="20"/>
        </w:rPr>
      </w:pPr>
      <w:r>
        <w:rPr>
          <w:rFonts w:cs="Times New Roman"/>
          <w:sz w:val="20"/>
          <w:szCs w:val="20"/>
        </w:rPr>
        <w:t>2.11. Поставщик должен осуществить замену товара, несоответствующего заявке на поставку товара, в течение 10 (десяти) рабочих дней с момента поступления претензии от Заказчика, переданной посредством факсимильного или электронного сообщения с последующим предоставлением почтовой или нарочной связью.</w:t>
      </w:r>
    </w:p>
    <w:p>
      <w:pPr>
        <w:pStyle w:val="NoSpacing"/>
        <w:ind w:firstLine="709" w:left="708"/>
        <w:jc w:val="both"/>
        <w:rPr>
          <w:rFonts w:ascii="Times New Roman" w:hAnsi="Times New Roman" w:cs="Times New Roman"/>
          <w:sz w:val="20"/>
          <w:szCs w:val="20"/>
        </w:rPr>
      </w:pPr>
      <w:r>
        <w:rPr>
          <w:rFonts w:cs="Times New Roman"/>
          <w:sz w:val="20"/>
          <w:szCs w:val="20"/>
        </w:rPr>
        <w:t xml:space="preserve">2.12. Поставка товара включает в себя: доставку и разгрузку на склад Заказчика </w:t>
      </w:r>
    </w:p>
    <w:p>
      <w:pPr>
        <w:pStyle w:val="NoSpacing"/>
        <w:ind w:firstLine="709" w:left="708"/>
        <w:jc w:val="both"/>
        <w:rPr>
          <w:rFonts w:ascii="Times New Roman" w:hAnsi="Times New Roman" w:cs="Times New Roman"/>
          <w:sz w:val="20"/>
          <w:szCs w:val="20"/>
        </w:rPr>
      </w:pPr>
      <w:r>
        <w:rPr>
          <w:rFonts w:cs="Times New Roman"/>
          <w:sz w:val="20"/>
          <w:szCs w:val="20"/>
        </w:rPr>
        <w:t xml:space="preserve">2.13. Срок поставки: единовременной партией по заявке Заказчика с электронной почты, </w:t>
      </w:r>
      <w:hyperlink r:id="rId2">
        <w:r>
          <w:rPr>
            <w:rStyle w:val="Hyperlink"/>
            <w:sz w:val="20"/>
            <w:szCs w:val="20"/>
          </w:rPr>
          <w:t>boldyrevdo@eliz-spb.ru</w:t>
        </w:r>
      </w:hyperlink>
      <w:r>
        <w:rPr>
          <w:rFonts w:cs="Times New Roman"/>
          <w:sz w:val="20"/>
          <w:szCs w:val="20"/>
        </w:rPr>
        <w:t xml:space="preserve">, </w:t>
      </w:r>
      <w:hyperlink r:id="rId3">
        <w:r>
          <w:rPr>
            <w:rStyle w:val="Hyperlink"/>
            <w:sz w:val="20"/>
            <w:szCs w:val="20"/>
          </w:rPr>
          <w:t>kavunsg@eliz-spb.ru</w:t>
        </w:r>
      </w:hyperlink>
      <w:r>
        <w:rPr>
          <w:rStyle w:val="Hyperlink"/>
          <w:color w:themeColor="text1" w:val="000000"/>
          <w:sz w:val="20"/>
          <w:szCs w:val="20"/>
        </w:rPr>
        <w:t>,</w:t>
      </w:r>
      <w:r>
        <w:rPr>
          <w:rFonts w:cs="Times New Roman"/>
          <w:sz w:val="20"/>
          <w:szCs w:val="20"/>
        </w:rPr>
        <w:t xml:space="preserve"> в течение 5 (пяти) рабочих дней.</w:t>
      </w:r>
    </w:p>
    <w:p>
      <w:pPr>
        <w:pStyle w:val="NoSpacing"/>
        <w:ind w:firstLine="709" w:left="708"/>
        <w:jc w:val="both"/>
        <w:rPr>
          <w:rFonts w:ascii="Times New Roman" w:hAnsi="Times New Roman" w:cs="Times New Roman"/>
          <w:bCs/>
          <w:sz w:val="20"/>
          <w:szCs w:val="20"/>
        </w:rPr>
      </w:pPr>
      <w:r>
        <w:rPr>
          <w:rFonts w:cs="Times New Roman"/>
          <w:sz w:val="20"/>
          <w:szCs w:val="20"/>
        </w:rPr>
        <w:t xml:space="preserve">2.14. Адрес поставки: </w:t>
      </w:r>
      <w:r>
        <w:rPr>
          <w:rFonts w:cs="Times New Roman"/>
          <w:bCs/>
          <w:sz w:val="20"/>
          <w:szCs w:val="20"/>
        </w:rPr>
        <w:t>Санкт-Петербург, ул. Вавиловых, дом 14, литера А, далее – Место поставки.</w:t>
      </w:r>
    </w:p>
    <w:p>
      <w:pPr>
        <w:pStyle w:val="NoSpacing"/>
        <w:ind w:firstLine="709" w:left="708"/>
        <w:jc w:val="both"/>
        <w:rPr>
          <w:rFonts w:ascii="Times New Roman" w:hAnsi="Times New Roman" w:cs="Times New Roman"/>
          <w:b/>
          <w:sz w:val="20"/>
          <w:szCs w:val="20"/>
        </w:rPr>
      </w:pPr>
      <w:r>
        <w:rPr>
          <w:rFonts w:cs="Times New Roman"/>
          <w:b/>
          <w:sz w:val="20"/>
          <w:szCs w:val="20"/>
        </w:rPr>
        <w:t>3. Срок замены некачественного Товара, гарантийный срок/срок годности на заменяемый товар:</w:t>
      </w:r>
    </w:p>
    <w:p>
      <w:pPr>
        <w:pStyle w:val="NoSpacing"/>
        <w:ind w:firstLine="709" w:left="708"/>
        <w:jc w:val="both"/>
        <w:rPr>
          <w:rFonts w:ascii="Times New Roman" w:hAnsi="Times New Roman" w:cs="Times New Roman"/>
          <w:sz w:val="20"/>
          <w:szCs w:val="20"/>
        </w:rPr>
      </w:pPr>
      <w:r>
        <w:rPr>
          <w:rFonts w:cs="Times New Roman"/>
          <w:sz w:val="20"/>
          <w:szCs w:val="20"/>
        </w:rPr>
        <w:t xml:space="preserve">3.1.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w:t>
      </w:r>
      <w:r>
        <w:rPr>
          <w:rFonts w:cs="Times New Roman"/>
          <w:sz w:val="20"/>
          <w:szCs w:val="20"/>
          <w:shd w:fill="FFFFFF" w:val="clear"/>
        </w:rPr>
        <w:t xml:space="preserve">которые </w:t>
      </w:r>
      <w:r>
        <w:rPr>
          <w:rFonts w:cs="Times New Roman"/>
          <w:sz w:val="20"/>
          <w:szCs w:val="20"/>
        </w:rPr>
        <w:t xml:space="preserve">не могли быть обнаружены </w:t>
      </w:r>
      <w:r>
        <w:rPr>
          <w:rFonts w:cs="Times New Roman"/>
          <w:sz w:val="20"/>
          <w:szCs w:val="20"/>
          <w:shd w:fill="FFFFFF" w:val="clear"/>
        </w:rPr>
        <w:t xml:space="preserve">при обычном способе приемки </w:t>
      </w:r>
      <w:r>
        <w:rPr>
          <w:rFonts w:cs="Times New Roman"/>
          <w:sz w:val="20"/>
          <w:szCs w:val="20"/>
        </w:rPr>
        <w:t>Товара, и выявлены лишь в процессе использования и хранения Товара, если данные недостатки Товара обнаружены в течение гарантийного срока/срока годности Товара при соблюдении Заказчиком условий эксплуатации Товара.</w:t>
      </w:r>
    </w:p>
    <w:p>
      <w:pPr>
        <w:pStyle w:val="NoSpacing"/>
        <w:ind w:firstLine="709" w:left="708"/>
        <w:jc w:val="both"/>
        <w:rPr>
          <w:rFonts w:ascii="Times New Roman" w:hAnsi="Times New Roman" w:cs="Times New Roman"/>
          <w:sz w:val="20"/>
          <w:szCs w:val="20"/>
        </w:rPr>
      </w:pPr>
      <w:r>
        <w:rPr>
          <w:rFonts w:cs="Times New Roman"/>
          <w:sz w:val="20"/>
          <w:szCs w:val="20"/>
        </w:rPr>
        <w:t>3.2. Претензия по качеству Товара оформляется в письменной форме в течение 10 (десяти) рабочих дней с момента обнаружения скрытых недостатков Товара, но не позднее истечения гарантийного срока/срока годности Товара.</w:t>
      </w:r>
    </w:p>
    <w:p>
      <w:pPr>
        <w:pStyle w:val="NoSpacing"/>
        <w:ind w:firstLine="709" w:left="708"/>
        <w:jc w:val="both"/>
        <w:rPr>
          <w:rFonts w:ascii="Times New Roman" w:hAnsi="Times New Roman" w:cs="Times New Roman"/>
          <w:sz w:val="20"/>
          <w:szCs w:val="20"/>
        </w:rPr>
      </w:pPr>
      <w:r>
        <w:rPr>
          <w:rFonts w:cs="Times New Roman"/>
          <w:sz w:val="20"/>
          <w:szCs w:val="20"/>
        </w:rPr>
        <w:t>3.3. Поставщик обязан в течение 10 (десяти) рабочих дней с момента получения претензии за свой счет производить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Spacing"/>
        <w:ind w:firstLine="709" w:left="709"/>
        <w:jc w:val="both"/>
        <w:rPr>
          <w:rFonts w:ascii="Times New Roman" w:hAnsi="Times New Roman" w:cs="Times New Roman"/>
          <w:sz w:val="20"/>
          <w:szCs w:val="20"/>
        </w:rPr>
      </w:pPr>
      <w:r>
        <w:rPr>
          <w:rFonts w:cs="Times New Roman"/>
          <w:sz w:val="20"/>
          <w:szCs w:val="20"/>
        </w:rPr>
        <w:t>3.4. Требования к гарантийному сроку/сроку годности: не менее одного года с даты подписания документов о приемке, но не менее гарантийного срока/срока годности, установленного производителем на товар.</w:t>
      </w:r>
    </w:p>
    <w:p>
      <w:pPr>
        <w:pStyle w:val="Normal"/>
        <w:ind w:firstLine="709" w:left="708"/>
        <w:rPr>
          <w:rFonts w:ascii="Times New Roman" w:hAnsi="Times New Roman" w:cs="Times New Roman"/>
          <w:sz w:val="20"/>
          <w:szCs w:val="20"/>
        </w:rPr>
      </w:pPr>
      <w:r>
        <w:rPr>
          <w:rFonts w:cs="Times New Roman"/>
          <w:sz w:val="20"/>
          <w:szCs w:val="20"/>
        </w:rPr>
        <w:t>3.5. Расходы по возврату Товара, восстановлению, замене Товара, производятся силами и за счет средств Поставщика.</w:t>
      </w:r>
    </w:p>
    <w:p>
      <w:pPr>
        <w:pStyle w:val="Normal"/>
        <w:rPr>
          <w:bCs w:val="false"/>
          <w:sz w:val="22"/>
          <w:szCs w:val="22"/>
        </w:rPr>
      </w:pPr>
      <w:r>
        <w:rPr>
          <w:bCs w:val="false"/>
          <w:sz w:val="22"/>
          <w:szCs w:val="22"/>
        </w:rPr>
      </w:r>
      <w:bookmarkStart w:id="0" w:name="_GoBack"/>
      <w:bookmarkStart w:id="1" w:name="_GoBack"/>
      <w:bookmarkEnd w:id="1"/>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type w:val="nextPage"/>
      <w:pgSz w:orient="landscape" w:w="16838" w:h="11906"/>
      <w:pgMar w:left="1134" w:right="567" w:gutter="0" w:header="0" w:top="1134"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PT Astra Serif">
    <w:charset w:val="01"/>
    <w:family w:val="roman"/>
    <w:pitch w:val="default"/>
  </w:font>
  <w:font w:name="Courier New">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Title">
    <w:name w:val="Title"/>
    <w:basedOn w:val="Normal"/>
    <w:next w:val="BodyText"/>
    <w:qFormat/>
    <w:pPr>
      <w:keepNext w:val="true"/>
      <w:spacing w:before="240" w:after="120"/>
    </w:pPr>
    <w:rPr>
      <w:rFonts w:ascii="PT Astra Serif" w:hAnsi="PT Astra Serif" w:eastAsia="Tahoma" w:cs="Noto Sans Devanagari"/>
      <w:sz w:val="28"/>
      <w:szCs w:val="28"/>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mment" w:customStyle="1">
    <w:name w:val="Comment"/>
    <w:basedOn w:val="Normal"/>
    <w:qFormat/>
    <w:pPr>
      <w:spacing w:before="56" w:after="0"/>
      <w:ind w:left="56" w:right="56"/>
    </w:pPr>
    <w:rPr>
      <w:sz w:val="20"/>
      <w:szCs w:val="20"/>
    </w:rPr>
  </w:style>
  <w:style w:type="numbering" w:styleId="Style20"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5">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182a5b"/>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boldyrevdo@eliz-spb.ru" TargetMode="External"/><Relationship Id="rId3" Type="http://schemas.openxmlformats.org/officeDocument/2006/relationships/hyperlink" Target="mailto:kavunsg@eliz-spb.ru"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3E8FC-4723-47C8-90C2-DBB11F3C1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Application>LibreOffice/24.8.4.2$Linux_X86_64 LibreOffice_project/480$Build-2</Application>
  <AppVersion>15.0000</AppVersion>
  <Pages>9</Pages>
  <Words>3424</Words>
  <Characters>24516</Characters>
  <CharactersWithSpaces>27722</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2025-11-25T09:59:00Z</cp:lastPrinted>
  <dcterms:modified xsi:type="dcterms:W3CDTF">2026-05-04T11:38:17Z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file>