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line="360" w:lineRule="auto"/>
        <w:rPr>
          <w:b/>
          <w:bCs/>
        </w:rPr>
        <w:outlineLvl w:val="0"/>
      </w:pPr>
      <w:r/>
      <w:bookmarkStart w:id="0" w:name="Par146"/>
      <w:r/>
      <w:bookmarkStart w:id="1" w:name="Par978"/>
      <w:r/>
      <w:bookmarkEnd w:id="0"/>
      <w:r/>
      <w:bookmarkEnd w:id="1"/>
      <w:r>
        <w:rPr>
          <w:b/>
          <w:bCs/>
        </w:rPr>
        <w:t xml:space="preserve">«УТВЕРЖДАЮ»</w:t>
      </w:r>
      <w:r>
        <w:rPr>
          <w:b/>
          <w:bCs/>
        </w:rPr>
      </w:r>
      <w:r>
        <w:rPr>
          <w:b/>
          <w:bCs/>
        </w:rPr>
      </w:r>
    </w:p>
    <w:p>
      <w:pPr>
        <w:ind w:left="635"/>
        <w:jc w:val="right"/>
        <w:spacing w:line="360" w:lineRule="auto"/>
        <w:outlineLvl w:val="0"/>
      </w:pPr>
      <w:r>
        <w:t xml:space="preserve">И.о. директора </w:t>
      </w:r>
      <w:r/>
    </w:p>
    <w:p>
      <w:pPr>
        <w:ind w:left="635"/>
        <w:jc w:val="right"/>
        <w:spacing w:line="360" w:lineRule="auto"/>
        <w:outlineLvl w:val="0"/>
      </w:pPr>
      <w:r>
        <w:t xml:space="preserve">Санкт-Петербургского государственного</w:t>
      </w:r>
      <w:r/>
    </w:p>
    <w:p>
      <w:pPr>
        <w:ind w:left="635"/>
        <w:jc w:val="right"/>
        <w:spacing w:line="360" w:lineRule="auto"/>
      </w:pPr>
      <w:r>
        <w:t xml:space="preserve"> казенного учреждения</w:t>
      </w:r>
      <w:r/>
    </w:p>
    <w:p>
      <w:pPr>
        <w:ind w:left="635"/>
        <w:jc w:val="right"/>
        <w:spacing w:line="360" w:lineRule="auto"/>
      </w:pPr>
      <w:r>
        <w:t xml:space="preserve">«Научно-исследовательский и проектный</w:t>
      </w:r>
      <w:r/>
    </w:p>
    <w:p>
      <w:pPr>
        <w:ind w:left="635"/>
        <w:jc w:val="right"/>
        <w:spacing w:line="360" w:lineRule="auto"/>
      </w:pPr>
      <w:r>
        <w:t xml:space="preserve"> центр Генерального плана</w:t>
      </w:r>
      <w:r/>
    </w:p>
    <w:p>
      <w:pPr>
        <w:ind w:left="-284"/>
        <w:jc w:val="right"/>
        <w:spacing w:line="360" w:lineRule="auto"/>
        <w:outlineLvl w:val="0"/>
      </w:pPr>
      <w:r>
        <w:t xml:space="preserve">Санкт-Петербурга»</w:t>
      </w:r>
      <w:r/>
    </w:p>
    <w:p>
      <w:pPr>
        <w:ind w:left="635"/>
        <w:jc w:val="right"/>
        <w:spacing w:line="360" w:lineRule="auto"/>
        <w:rPr>
          <w:rStyle w:val="925"/>
          <w:b w:val="0"/>
          <w:bCs w:val="0"/>
          <w:sz w:val="24"/>
          <w:szCs w:val="24"/>
        </w:rPr>
        <w:outlineLvl w:val="0"/>
      </w:pPr>
      <w:r>
        <w:t xml:space="preserve">Д.А. Авилов                                                                                             </w:t>
      </w:r>
      <w:r>
        <w:rPr>
          <w:rStyle w:val="925"/>
          <w:b w:val="0"/>
          <w:bCs w:val="0"/>
          <w:sz w:val="24"/>
          <w:szCs w:val="24"/>
        </w:rPr>
      </w:r>
      <w:r>
        <w:rPr>
          <w:rStyle w:val="925"/>
          <w:b w:val="0"/>
          <w:bCs w:val="0"/>
          <w:sz w:val="24"/>
          <w:szCs w:val="24"/>
        </w:rPr>
      </w:r>
    </w:p>
    <w:p>
      <w:pPr>
        <w:pStyle w:val="975"/>
        <w:jc w:val="center"/>
        <w:rPr>
          <w:rStyle w:val="927"/>
          <w:b/>
          <w:bCs/>
          <w:sz w:val="24"/>
          <w:szCs w:val="24"/>
          <w:highlight w:val="none"/>
        </w:rPr>
      </w:pPr>
      <w:r>
        <w:rPr>
          <w:rStyle w:val="925"/>
          <w:sz w:val="24"/>
          <w:szCs w:val="24"/>
        </w:rPr>
        <w:t xml:space="preserve">Проект </w:t>
      </w:r>
      <w:r>
        <w:rPr>
          <w:rStyle w:val="927"/>
          <w:b/>
          <w:sz w:val="24"/>
          <w:szCs w:val="24"/>
        </w:rPr>
        <w:t xml:space="preserve">контракта № _______</w:t>
      </w:r>
      <w:r>
        <w:rPr>
          <w:rStyle w:val="927"/>
          <w:b/>
          <w:bCs/>
          <w:sz w:val="24"/>
          <w:szCs w:val="24"/>
          <w:highlight w:val="none"/>
        </w:rPr>
      </w:r>
      <w:r>
        <w:rPr>
          <w:rStyle w:val="927"/>
          <w:b/>
          <w:bCs/>
          <w:sz w:val="24"/>
          <w:szCs w:val="24"/>
          <w:highlight w:val="none"/>
        </w:rPr>
      </w:r>
    </w:p>
    <w:p>
      <w:pPr>
        <w:pStyle w:val="975"/>
        <w:jc w:val="center"/>
        <w:rPr>
          <w:rStyle w:val="927"/>
          <w:b/>
          <w:sz w:val="24"/>
          <w:szCs w:val="24"/>
        </w:rPr>
      </w:pPr>
      <w:r>
        <w:rPr>
          <w:rStyle w:val="927"/>
          <w:b/>
          <w:sz w:val="24"/>
          <w:szCs w:val="24"/>
          <w:highlight w:val="white"/>
        </w:rPr>
        <w:t xml:space="preserve">на п</w:t>
      </w:r>
      <w:r>
        <w:rPr>
          <w:rStyle w:val="927"/>
          <w:b/>
          <w:sz w:val="24"/>
          <w:szCs w:val="24"/>
          <w:highlight w:val="white"/>
        </w:rPr>
        <w:t xml:space="preserve">оставку </w:t>
      </w:r>
      <w:r>
        <w:rPr>
          <w:rStyle w:val="927"/>
          <w:b/>
          <w:sz w:val="24"/>
          <w:szCs w:val="24"/>
          <w:highlight w:val="white"/>
        </w:rPr>
        <w:t xml:space="preserve">термотрансферных этикеток </w:t>
      </w:r>
      <w:r>
        <w:rPr>
          <w:rStyle w:val="927"/>
          <w:b/>
          <w:sz w:val="24"/>
          <w:szCs w:val="24"/>
          <w:highlight w:val="white"/>
        </w:rPr>
        <w:t xml:space="preserve">для обеспечения нужд Санкт-Петербурга</w:t>
      </w:r>
      <w:r>
        <w:rPr>
          <w:rStyle w:val="927"/>
          <w:b/>
          <w:sz w:val="24"/>
          <w:szCs w:val="24"/>
        </w:rPr>
      </w:r>
      <w:r>
        <w:rPr>
          <w:rStyle w:val="927"/>
          <w:b/>
          <w:sz w:val="24"/>
          <w:szCs w:val="24"/>
        </w:rPr>
      </w:r>
    </w:p>
    <w:p>
      <w:pPr>
        <w:pStyle w:val="975"/>
        <w:jc w:val="center"/>
        <w:spacing w:line="288" w:lineRule="auto"/>
        <w:rPr>
          <w:highlight w:val="yellow"/>
        </w:rPr>
      </w:pPr>
      <w:r>
        <w:rPr>
          <w:rStyle w:val="927"/>
          <w:b/>
          <w:sz w:val="24"/>
          <w:szCs w:val="24"/>
          <w:highlight w:val="none"/>
        </w:rPr>
      </w:r>
      <w:r>
        <w:rPr>
          <w:highlight w:val="yellow"/>
        </w:rPr>
      </w:r>
      <w:r>
        <w:rPr>
          <w:highlight w:val="yellow"/>
        </w:rPr>
      </w:r>
    </w:p>
    <w:p>
      <w:pPr>
        <w:pStyle w:val="975"/>
        <w:jc w:val="center"/>
        <w:spacing w:line="288" w:lineRule="auto"/>
        <w:rPr>
          <w:rStyle w:val="927"/>
          <w:b/>
          <w:bCs/>
          <w:sz w:val="24"/>
          <w:szCs w:val="24"/>
          <w:highlight w:val="yellow"/>
        </w:rPr>
      </w:pPr>
      <w:r>
        <w:rPr>
          <w:rStyle w:val="927"/>
          <w:b/>
          <w:sz w:val="24"/>
          <w:szCs w:val="24"/>
          <w:highlight w:val="none"/>
        </w:rPr>
        <w:t xml:space="preserve">(Идентификационный код закупки №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white"/>
        </w:rPr>
        <w:t xml:space="preserve">262784030999078400100100270000000000</w:t>
      </w:r>
      <w:r>
        <w:rPr>
          <w:rStyle w:val="927"/>
          <w:rFonts w:ascii="Times New Roman" w:hAnsi="Times New Roman" w:eastAsia="Times New Roman" w:cs="Times New Roman"/>
          <w:b/>
          <w:bCs/>
          <w:sz w:val="24"/>
          <w:szCs w:val="24"/>
          <w:highlight w:val="white"/>
        </w:rPr>
        <w:t xml:space="preserve"> </w:t>
      </w:r>
      <w:r>
        <w:rPr>
          <w:rStyle w:val="927"/>
          <w:rFonts w:ascii="Times New Roman" w:hAnsi="Times New Roman" w:eastAsia="Times New Roman" w:cs="Times New Roman"/>
          <w:b/>
          <w:bCs/>
          <w:sz w:val="24"/>
          <w:szCs w:val="24"/>
          <w:highlight w:val="white"/>
        </w:rPr>
        <w:t xml:space="preserve">)</w:t>
      </w:r>
      <w:r>
        <w:rPr>
          <w:rStyle w:val="927"/>
          <w:b/>
          <w:bCs/>
          <w:sz w:val="24"/>
          <w:szCs w:val="24"/>
          <w:highlight w:val="yellow"/>
        </w:rPr>
      </w:r>
      <w:r>
        <w:rPr>
          <w:rStyle w:val="927"/>
          <w:b/>
          <w:bCs/>
          <w:sz w:val="24"/>
          <w:szCs w:val="24"/>
          <w:highlight w:val="yellow"/>
        </w:rPr>
      </w:r>
    </w:p>
    <w:p>
      <w:pPr>
        <w:pStyle w:val="975"/>
        <w:rPr>
          <w:rStyle w:val="928"/>
          <w:b/>
          <w:i w:val="0"/>
          <w:position w:val="1"/>
          <w:sz w:val="24"/>
          <w:szCs w:val="24"/>
        </w:rPr>
      </w:pPr>
      <w:r>
        <w:rPr>
          <w:b/>
          <w:i w:val="0"/>
          <w:position w:val="1"/>
          <w:sz w:val="24"/>
          <w:szCs w:val="24"/>
        </w:rPr>
      </w:r>
      <w:r>
        <w:rPr>
          <w:rStyle w:val="928"/>
          <w:b/>
          <w:i w:val="0"/>
          <w:position w:val="1"/>
          <w:sz w:val="24"/>
          <w:szCs w:val="24"/>
        </w:rPr>
      </w:r>
      <w:r>
        <w:rPr>
          <w:rStyle w:val="928"/>
          <w:b/>
          <w:i w:val="0"/>
          <w:position w:val="1"/>
          <w:sz w:val="24"/>
          <w:szCs w:val="24"/>
        </w:rPr>
      </w:r>
    </w:p>
    <w:p>
      <w:pPr>
        <w:pStyle w:val="975"/>
        <w:spacing w:line="220" w:lineRule="exact"/>
      </w:pPr>
      <w:r>
        <w:rPr>
          <w:rStyle w:val="928"/>
          <w:i w:val="0"/>
          <w:position w:val="1"/>
          <w:sz w:val="24"/>
          <w:szCs w:val="24"/>
        </w:rPr>
        <w:t xml:space="preserve">Санкт-Петербург</w:t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</w:r>
      <w:r>
        <w:rPr>
          <w:rStyle w:val="928"/>
          <w:i w:val="0"/>
          <w:position w:val="1"/>
          <w:sz w:val="24"/>
          <w:szCs w:val="24"/>
        </w:rPr>
        <w:tab/>
        <w:t xml:space="preserve">    «____»____________2026 г.</w:t>
      </w:r>
      <w:r/>
    </w:p>
    <w:p>
      <w:pPr>
        <w:pStyle w:val="975"/>
        <w:spacing w:line="220" w:lineRule="exact"/>
        <w:rPr>
          <w:rStyle w:val="928"/>
          <w:i w:val="0"/>
          <w:position w:val="1"/>
          <w:sz w:val="24"/>
          <w:szCs w:val="24"/>
        </w:rPr>
      </w:pPr>
      <w:r>
        <w:rPr>
          <w:i w:val="0"/>
          <w:position w:val="1"/>
          <w:sz w:val="24"/>
          <w:szCs w:val="24"/>
        </w:rPr>
      </w:r>
      <w:r>
        <w:rPr>
          <w:rStyle w:val="928"/>
          <w:i w:val="0"/>
          <w:position w:val="1"/>
          <w:sz w:val="24"/>
          <w:szCs w:val="24"/>
        </w:rPr>
      </w:r>
      <w:r>
        <w:rPr>
          <w:rStyle w:val="928"/>
          <w:i w:val="0"/>
          <w:position w:val="1"/>
          <w:sz w:val="24"/>
          <w:szCs w:val="24"/>
        </w:rPr>
      </w:r>
    </w:p>
    <w:p>
      <w:pPr>
        <w:ind w:firstLine="708"/>
        <w:jc w:val="both"/>
        <w:widowControl w:val="off"/>
        <w:rPr>
          <w:rFonts w:eastAsia="Calibri"/>
          <w:lang w:eastAsia="ar-SA"/>
        </w:rPr>
      </w:pPr>
      <w:r>
        <w:rPr>
          <w:b/>
          <w:iCs/>
          <w:position w:val="1"/>
          <w:lang w:eastAsia="ar-SA"/>
        </w:rPr>
        <w:t xml:space="preserve">Санкт-Петербургское государственное казенное учреждение </w:t>
        <w:br/>
        <w:t xml:space="preserve">«Научно-исследовательский и проектный центр Генерального плана Санкт-Петербурга»</w:t>
      </w:r>
      <w:r>
        <w:rPr>
          <w:iCs/>
          <w:position w:val="1"/>
          <w:lang w:eastAsia="ar-SA"/>
        </w:rPr>
        <w:t xml:space="preserve">, именуемое </w:t>
      </w:r>
      <w:r>
        <w:rPr>
          <w:iCs/>
          <w:position w:val="1"/>
          <w:lang w:eastAsia="ar-SA"/>
        </w:rPr>
        <w:t xml:space="preserve">в дальнейшем «Заказчик», в лице _________________________, действующего </w:t>
        <w:br/>
        <w:t xml:space="preserve">на основании ___________________, с</w:t>
      </w:r>
      <w:r>
        <w:rPr>
          <w:iCs/>
          <w:position w:val="1"/>
          <w:lang w:eastAsia="ar-SA"/>
        </w:rPr>
        <w:t xml:space="preserve"> одной стороны,</w:t>
      </w:r>
      <w:r>
        <w:rPr>
          <w:rFonts w:eastAsia="Calibri"/>
          <w:lang w:eastAsia="ar-SA"/>
        </w:rPr>
      </w:r>
      <w:r>
        <w:rPr>
          <w:rFonts w:eastAsia="Calibri"/>
          <w:lang w:eastAsia="ar-SA"/>
        </w:rPr>
      </w:r>
    </w:p>
    <w:p>
      <w:pPr>
        <w:ind w:firstLine="708"/>
        <w:jc w:val="both"/>
        <w:widowControl w:val="off"/>
        <w:rPr>
          <w:lang w:eastAsia="ar-SA"/>
        </w:rPr>
      </w:pPr>
      <w:r>
        <w:rPr>
          <w:rFonts w:eastAsia="Calibri"/>
          <w:lang w:eastAsia="ar-SA"/>
        </w:rPr>
        <w:t xml:space="preserve">и __________________________________________, именуемое(</w:t>
      </w:r>
      <w:r>
        <w:rPr>
          <w:rFonts w:eastAsia="Calibri"/>
          <w:lang w:eastAsia="ar-SA"/>
        </w:rPr>
        <w:t xml:space="preserve">ый</w:t>
      </w:r>
      <w:r>
        <w:rPr>
          <w:rFonts w:eastAsia="Calibri"/>
          <w:lang w:eastAsia="ar-SA"/>
        </w:rPr>
        <w:t xml:space="preserve">) в дальнейшем «Исполнитель», в лице _________________________, действующего на основании ___________________, с другой стороны, а вместе именуемые «Стороны», на основании </w:t>
      </w:r>
      <w:r>
        <w:rPr>
          <w:rFonts w:eastAsia="Calibri"/>
          <w:lang w:eastAsia="ar-SA"/>
        </w:rPr>
        <w:br/>
        <w:t xml:space="preserve">пункта 4 </w:t>
      </w:r>
      <w:r>
        <w:rPr>
          <w:rFonts w:eastAsia="Calibri"/>
          <w:lang w:eastAsia="ar-SA"/>
        </w:rPr>
        <w:t xml:space="preserve">части 1 статьи 93 Федерального закона от 05.04.2013 № 44-ФЗ «О контрактной системе </w:t>
      </w:r>
      <w:r>
        <w:rPr>
          <w:rFonts w:eastAsia="Calibri"/>
          <w:lang w:eastAsia="ar-SA"/>
        </w:rPr>
        <w:br/>
        <w:t xml:space="preserve">в сфере закупок товаров, работ, услуг для обеспечения государственных и муниципальных нужд» </w:t>
      </w:r>
      <w:r>
        <w:rPr>
          <w:rFonts w:eastAsia="Calibri"/>
          <w:lang w:eastAsia="ar-SA"/>
        </w:rPr>
        <w:br/>
        <w:t xml:space="preserve">(далее – Закон), </w:t>
      </w:r>
      <w:r>
        <w:rPr>
          <w:lang w:eastAsia="ar-SA"/>
        </w:rPr>
        <w:t xml:space="preserve">заключили настоящий контракт (далее – Контракт) о нижеследующе</w:t>
      </w:r>
      <w:r>
        <w:rPr>
          <w:lang w:eastAsia="ar-SA"/>
        </w:rPr>
        <w:t xml:space="preserve">м:</w:t>
      </w:r>
      <w:r>
        <w:rPr>
          <w:lang w:eastAsia="ar-SA"/>
        </w:rPr>
      </w:r>
      <w:r>
        <w:rPr>
          <w:lang w:eastAsia="ar-SA"/>
        </w:rPr>
      </w:r>
    </w:p>
    <w:p>
      <w:pPr>
        <w:pStyle w:val="966"/>
        <w:jc w:val="center"/>
        <w:rPr>
          <w:b/>
          <w:bCs/>
        </w:rPr>
        <w:outlineLvl w:val="1"/>
      </w:pPr>
      <w:r>
        <w:rPr>
          <w:b/>
          <w:highlight w:val="none"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66"/>
        <w:jc w:val="center"/>
        <w:rPr>
          <w:b/>
          <w:bCs/>
          <w:highlight w:val="none"/>
        </w:rPr>
        <w:outlineLvl w:val="1"/>
      </w:pPr>
      <w:r>
        <w:rPr>
          <w:b/>
        </w:rPr>
        <w:t xml:space="preserve">1. Предмет Контракта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6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  <w:rPr>
          <w:szCs w:val="24"/>
          <w:highlight w:val="white"/>
        </w:rPr>
      </w:pPr>
      <w:r>
        <w:rPr>
          <w:szCs w:val="24"/>
        </w:rPr>
        <w:t xml:space="preserve">1.1. Предмет Контракта: Поставка </w:t>
      </w:r>
      <w:r>
        <w:rPr>
          <w:szCs w:val="24"/>
          <w:highlight w:val="white"/>
        </w:rPr>
        <w:t xml:space="preserve">термотрансферных этикеток</w:t>
      </w:r>
      <w:r>
        <w:rPr>
          <w:szCs w:val="24"/>
          <w:highlight w:val="white"/>
        </w:rPr>
        <w:t xml:space="preserve"> </w:t>
      </w:r>
      <w:r>
        <w:rPr>
          <w:szCs w:val="24"/>
          <w:highlight w:val="white"/>
        </w:rPr>
        <w:t xml:space="preserve">для обеспечения нужд </w:t>
      </w:r>
      <w:r>
        <w:rPr>
          <w:szCs w:val="24"/>
          <w:highlight w:val="white"/>
        </w:rPr>
        <w:br/>
        <w:t xml:space="preserve">Санкт-Петербурга.</w:t>
      </w:r>
      <w:r>
        <w:rPr>
          <w:szCs w:val="24"/>
          <w:highlight w:val="white"/>
        </w:rPr>
      </w:r>
      <w:r>
        <w:rPr>
          <w:szCs w:val="24"/>
          <w:highlight w:val="white"/>
        </w:rPr>
      </w:r>
    </w:p>
    <w:p>
      <w:pPr>
        <w:pStyle w:val="966"/>
        <w:ind w:firstLine="709"/>
        <w:jc w:val="both"/>
      </w:pPr>
      <w:r>
        <w:rPr>
          <w:szCs w:val="24"/>
          <w:highlight w:val="white"/>
        </w:rPr>
        <w:t xml:space="preserve">1.1.1. В соответствии с Контрактом Поставщик обязуется в порядке и в сроки, предусмотренные Контрактом, осуществить поставку </w:t>
      </w:r>
      <w:r>
        <w:rPr>
          <w:szCs w:val="24"/>
          <w:highlight w:val="white"/>
        </w:rPr>
        <w:t xml:space="preserve">термотрансферных этикеток</w:t>
      </w:r>
      <w:r>
        <w:rPr>
          <w:szCs w:val="24"/>
        </w:rPr>
        <w:br/>
      </w:r>
      <w:r>
        <w:rPr>
          <w:szCs w:val="24"/>
        </w:rPr>
        <w:t xml:space="preserve">для обеспечения нужд Санкт-Петербурга (далее – Товар) согласно Спецификации</w:t>
        <w:br/>
        <w:t xml:space="preserve">(Приложение № 1 к Контракту), </w:t>
      </w:r>
      <w:r>
        <w:rPr>
          <w:szCs w:val="24"/>
        </w:rPr>
        <w:t xml:space="preserve">а Заказчик обязуется принять и оплатить Товар в порядке</w:t>
        <w:br/>
        <w:t xml:space="preserve">и на условиях, предусмотренных Контрактом.</w:t>
      </w:r>
      <w:r/>
    </w:p>
    <w:p>
      <w:pPr>
        <w:pStyle w:val="966"/>
        <w:ind w:firstLine="709"/>
        <w:jc w:val="both"/>
        <w:rPr>
          <w:szCs w:val="24"/>
        </w:rPr>
      </w:pPr>
      <w:r>
        <w:rPr>
          <w:szCs w:val="24"/>
        </w:rPr>
        <w:t xml:space="preserve">1.2. Наименование и количество поставляемого Товара, его  функциональные, технические </w:t>
      </w:r>
      <w:r>
        <w:rPr>
          <w:szCs w:val="24"/>
        </w:rPr>
        <w:br/>
        <w:t xml:space="preserve">и качественные характеристики указаны в Спецификации (Приложение № 1 к Контракту). </w:t>
      </w:r>
      <w:r>
        <w:rPr>
          <w:szCs w:val="24"/>
        </w:rPr>
      </w:r>
      <w:r>
        <w:rPr>
          <w:szCs w:val="24"/>
        </w:rPr>
      </w:r>
    </w:p>
    <w:p>
      <w:pPr>
        <w:pStyle w:val="966"/>
        <w:rPr>
          <w:b/>
          <w:szCs w:val="24"/>
        </w:rPr>
        <w:outlineLvl w:val="1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  <w:t xml:space="preserve">2. Цена Контракта и порядок расчетов </w:t>
      </w:r>
      <w:r>
        <w:rPr>
          <w:b/>
        </w:rPr>
      </w:r>
      <w:r>
        <w:rPr>
          <w:b/>
        </w:rPr>
      </w:r>
    </w:p>
    <w:p>
      <w:pPr>
        <w:pStyle w:val="966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</w:pPr>
      <w:r>
        <w:t xml:space="preserve">2.1. Цена Контракта составляет __________ рублей ______ копеек</w:t>
      </w:r>
      <w:r>
        <w:t xml:space="preserve"> (_______), </w:t>
      </w:r>
      <w:r>
        <w:t xml:space="preserve">в том числе НДС – (__ процентов) _______ рублей ______ копеек (______)/</w:t>
      </w:r>
      <w:r>
        <w:rPr>
          <w:szCs w:val="24"/>
          <w:lang w:eastAsia="ar-SA"/>
        </w:rPr>
        <w:t xml:space="preserve">НДС не облагается </w:t>
      </w:r>
      <w:r>
        <w:rPr>
          <w:szCs w:val="24"/>
          <w:lang w:eastAsia="ar-SA"/>
        </w:rPr>
        <w:br/>
        <w:t xml:space="preserve">на основании ___________ Налогового кодекса Российской Федерации</w:t>
      </w:r>
      <w:r>
        <w:t xml:space="preserve">.</w:t>
      </w:r>
      <w:r/>
    </w:p>
    <w:p>
      <w:pPr>
        <w:pStyle w:val="966"/>
        <w:ind w:firstLine="709"/>
        <w:jc w:val="both"/>
      </w:pPr>
      <w:r/>
      <w:bookmarkStart w:id="2" w:name="Par59"/>
      <w:r/>
      <w:bookmarkEnd w:id="2"/>
      <w:r>
        <w:t xml:space="preserve">2.2. Цена Контракта включает в себя стоимость Товара, а также все расходы </w:t>
      </w:r>
      <w:r>
        <w:br/>
        <w:t xml:space="preserve">Поставщика, связанн</w:t>
      </w:r>
      <w:r>
        <w:t xml:space="preserve">ые с исполнением Контракта,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</w:t>
      </w:r>
      <w:r>
        <w:t xml:space="preserve">Федерации.</w:t>
      </w:r>
      <w:r/>
    </w:p>
    <w:p>
      <w:pPr>
        <w:pStyle w:val="966"/>
        <w:ind w:firstLine="709"/>
        <w:jc w:val="both"/>
      </w:pPr>
      <w:r>
        <w:t xml:space="preserve">Цена Контракта является твердой и определяется на весь срок исполнения Контракта, </w:t>
      </w:r>
      <w:r>
        <w:br/>
        <w:t xml:space="preserve">за исключением случаев, установленных Законом и Контрактом.</w:t>
      </w:r>
      <w:r/>
    </w:p>
    <w:p>
      <w:pPr>
        <w:pStyle w:val="966"/>
        <w:ind w:firstLine="709"/>
        <w:jc w:val="both"/>
      </w:pPr>
      <w:r>
        <w:t xml:space="preserve">При заключении и исполнении Контракта изменение его существенных условий </w:t>
      </w:r>
      <w:r>
        <w:br/>
        <w:t xml:space="preserve">не допускается, за исключением случаев, предусмотренных Законом.</w:t>
      </w:r>
      <w:r/>
    </w:p>
    <w:p>
      <w:pPr>
        <w:pStyle w:val="966"/>
        <w:ind w:firstLine="709"/>
        <w:jc w:val="both"/>
      </w:pPr>
      <w:r>
        <w:t xml:space="preserve">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Контракта.</w:t>
      </w:r>
      <w:r/>
    </w:p>
    <w:p>
      <w:pPr>
        <w:pStyle w:val="966"/>
        <w:ind w:firstLine="709"/>
        <w:jc w:val="both"/>
        <w:rPr>
          <w:highlight w:val="yellow"/>
        </w:rPr>
      </w:pPr>
      <w:r>
        <w:rPr>
          <w:highlight w:val="yellow"/>
        </w:rPr>
      </w:r>
      <w:bookmarkStart w:id="3" w:name="Par66"/>
      <w:r>
        <w:rPr>
          <w:highlight w:val="yellow"/>
        </w:rPr>
      </w:r>
      <w:bookmarkEnd w:id="3"/>
      <w:r>
        <w:rPr>
          <w:highlight w:val="none"/>
        </w:rPr>
        <w:t xml:space="preserve">2.</w:t>
      </w:r>
      <w:r>
        <w:rPr>
          <w:highlight w:val="none"/>
        </w:rPr>
        <w:t xml:space="preserve">3. </w:t>
      </w:r>
      <w:r>
        <w:rPr>
          <w:highlight w:val="none"/>
        </w:rPr>
        <w:t xml:space="preserve">Источник финансирования Контракта – Бюджет Санкт-Петербурга, код раздела 0412, код целевой статьи 1650099140, код вида расходов 244, код КОСГУ </w:t>
      </w:r>
      <w:r>
        <w:rPr>
          <w:highlight w:val="none"/>
        </w:rPr>
        <w:t xml:space="preserve">340</w:t>
      </w:r>
      <w:r>
        <w:rPr>
          <w:highlight w:val="none"/>
        </w:rPr>
        <w:t xml:space="preserve"> в соответствии </w:t>
      </w:r>
      <w:r>
        <w:rPr>
          <w:highlight w:val="none"/>
        </w:rPr>
        <w:br/>
        <w:t xml:space="preserve">с Законом Санкт-Петербурга от 26.11.2025 № 659-124 «О бюджете Санкт-Петербурга на 2026 год и на плановый период 2027 и 2028 годов».</w:t>
      </w:r>
      <w:r>
        <w:rPr>
          <w:highlight w:val="yellow"/>
        </w:rPr>
      </w:r>
      <w:r>
        <w:rPr>
          <w:highlight w:val="yellow"/>
        </w:rPr>
      </w:r>
    </w:p>
    <w:p>
      <w:pPr>
        <w:pStyle w:val="966"/>
        <w:ind w:firstLine="709"/>
        <w:jc w:val="both"/>
      </w:pPr>
      <w:r>
        <w:t xml:space="preserve">2.4. Авансирование по настоящему Контракту не предусмотрено.</w:t>
      </w:r>
      <w:r/>
    </w:p>
    <w:p>
      <w:pPr>
        <w:pStyle w:val="966"/>
        <w:ind w:firstLine="709"/>
        <w:jc w:val="both"/>
      </w:pPr>
      <w:r>
        <w:t xml:space="preserve">2.5. Оплата поставленного Товара производится Заказчиком в течение 7 (Семи) рабочих дней </w:t>
      </w:r>
      <w:r>
        <w:t xml:space="preserve">с даты утверждения Заказчиком документов о приемке указанных в подпунктах 3.4.1. и 3.4.3. пункта</w:t>
      </w:r>
      <w:r>
        <w:t xml:space="preserve"> 3.4. Контракта.</w:t>
      </w:r>
      <w:r>
        <w:rPr>
          <w:highlight w:val="red"/>
        </w:rPr>
        <w:t xml:space="preserve"> </w:t>
      </w:r>
      <w:r/>
    </w:p>
    <w:p>
      <w:pPr>
        <w:pStyle w:val="966"/>
        <w:ind w:firstLine="709"/>
        <w:jc w:val="both"/>
      </w:pPr>
      <w:r>
        <w:t xml:space="preserve">2.6. Оплата по Контракту осуществляется по безналичному расчету путем перечисления Заказчиком денежных средств на счет Поставщика, указанный в Контракте.</w:t>
      </w:r>
      <w:r/>
    </w:p>
    <w:p>
      <w:pPr>
        <w:pStyle w:val="966"/>
        <w:ind w:firstLine="709"/>
        <w:jc w:val="both"/>
      </w:pPr>
      <w:r>
        <w:t xml:space="preserve">2.7. </w:t>
      </w:r>
      <w: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</w:t>
      </w:r>
      <w:r>
        <w:br/>
        <w:t xml:space="preserve">в бюджеты бюджетной системы Российской Федерации, связанных с оплатой Контракта, </w:t>
      </w:r>
      <w:r>
        <w:t xml:space="preserve">если</w:t>
        <w:br/>
        <w:t xml:space="preserve">в соответствии с законодательством Российской Федерации о налогах и сборах такие налоги, сборы и иные обязательные платежи подлежат уплате в бюджеты</w:t>
      </w:r>
      <w:r>
        <w:t xml:space="preserve"> бюджетной системы Российской Федерации Заказчиком.</w:t>
      </w:r>
      <w:r/>
    </w:p>
    <w:p>
      <w:pPr>
        <w:pStyle w:val="966"/>
        <w:ind w:firstLine="709"/>
        <w:jc w:val="both"/>
      </w:pPr>
      <w:r/>
      <w:bookmarkStart w:id="4" w:name="Par83"/>
      <w:r/>
      <w:bookmarkEnd w:id="4"/>
      <w:r>
        <w:t xml:space="preserve">2.8. Датой оплаты считается дата списания денежных средств со счета Заказчика, указанного в Контракте.</w:t>
      </w:r>
      <w:r/>
    </w:p>
    <w:p>
      <w:pPr>
        <w:pStyle w:val="966"/>
        <w:ind w:firstLine="709"/>
        <w:jc w:val="both"/>
      </w:pPr>
      <w:r>
        <w:t xml:space="preserve">2.9. Суммы неисполненных Поставщиком требований об уплате неустоек (штрафов, пеней), предъявленных Заказчиком в соответствии с Законом и Контрактом, удерживаются Заказчиком </w:t>
      </w:r>
      <w:r>
        <w:br/>
        <w:t xml:space="preserve">из суммы, подлежащей оплате Поставщику.</w:t>
      </w:r>
      <w:r/>
    </w:p>
    <w:p>
      <w:pPr>
        <w:pStyle w:val="966"/>
        <w:ind w:firstLine="709"/>
        <w:jc w:val="both"/>
      </w:pPr>
      <w:r/>
      <w:r/>
    </w:p>
    <w:p>
      <w:pPr>
        <w:pStyle w:val="966"/>
        <w:jc w:val="center"/>
        <w:rPr>
          <w:b/>
        </w:rPr>
        <w:outlineLvl w:val="1"/>
      </w:pPr>
      <w:r>
        <w:rPr>
          <w:b/>
        </w:rPr>
        <w:t xml:space="preserve">3. Порядок, сроки, условия поставки и приемки Товара</w:t>
      </w:r>
      <w:r>
        <w:rPr>
          <w:b/>
        </w:rPr>
      </w:r>
      <w:r>
        <w:rPr>
          <w:b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  <w:rPr>
          <w:highlight w:val="none"/>
        </w:rPr>
      </w:pPr>
      <w:r>
        <w:t xml:space="preserve">3.1. Поставка Товара осуществляется Поставщиком в течение </w:t>
      </w:r>
      <w:r>
        <w:rPr>
          <w:highlight w:val="none"/>
        </w:rPr>
        <w:t xml:space="preserve">15 (Пятнадцати) календарных дней </w:t>
      </w:r>
      <w:r>
        <w:rPr>
          <w:highlight w:val="none"/>
        </w:rPr>
        <w:t xml:space="preserve">с даты заключения</w:t>
      </w:r>
      <w:r>
        <w:rPr>
          <w:highlight w:val="none"/>
        </w:rPr>
        <w:t xml:space="preserve"> Сторонами Контракта.</w:t>
      </w:r>
      <w:r>
        <w:rPr>
          <w:highlight w:val="none"/>
        </w:rPr>
      </w:r>
      <w:r>
        <w:rPr>
          <w:highlight w:val="none"/>
        </w:rPr>
      </w:r>
    </w:p>
    <w:p>
      <w:pPr>
        <w:pStyle w:val="966"/>
        <w:ind w:firstLine="709"/>
        <w:jc w:val="both"/>
      </w:pPr>
      <w:r>
        <w:t xml:space="preserve">Поставка Товара осуществляется Поставщиком единовременно без формирования партий Товара.</w:t>
      </w:r>
      <w:r/>
    </w:p>
    <w:p>
      <w:pPr>
        <w:pStyle w:val="966"/>
        <w:ind w:firstLine="709"/>
        <w:jc w:val="both"/>
      </w:pPr>
      <w:r>
        <w:t xml:space="preserve">3.2. Поставка Товара осуществляется Поставщиком по адресу: Санкт-Петербург, </w:t>
      </w:r>
      <w:r>
        <w:br/>
        <w:t xml:space="preserve">ул. Зодчего Росси, дом 1-3, литера А, кабинет № 506 (5 этаж).</w:t>
      </w:r>
      <w:r/>
    </w:p>
    <w:p>
      <w:pPr>
        <w:ind w:firstLine="709"/>
        <w:jc w:val="both"/>
      </w:pPr>
      <w:r>
        <w:t xml:space="preserve">3.3. Поставщик за 2 (Два) рабочих дня до планируемой даты поставки Товара согласовывает с контрактным управляющим время поставки Товара. </w:t>
      </w:r>
      <w:r/>
    </w:p>
    <w:p>
      <w:pPr>
        <w:ind w:firstLine="709"/>
        <w:jc w:val="both"/>
      </w:pPr>
      <w:r>
        <w:t xml:space="preserve">Поставка Товара осуществляется: по рабочим дням с 09 часов 00 минут до 17</w:t>
      </w:r>
      <w:r>
        <w:t xml:space="preserve"> часов 30 минут, по пятницам и в предпраздничные дни с 09 часов 00 минут до 16 часов 30 минут, обеденный перерыв с 13 часов 00 минут до 13 часов 48 минут, в срок, указанный в пункте 3.1. настоящего Контракта.</w:t>
      </w:r>
      <w:r/>
    </w:p>
    <w:p>
      <w:pPr>
        <w:pStyle w:val="966"/>
        <w:ind w:firstLine="709"/>
        <w:jc w:val="both"/>
        <w:rPr>
          <w:highlight w:val="none"/>
        </w:rPr>
      </w:pPr>
      <w:r>
        <w:t xml:space="preserve">3.4. Приемка поставленного Товара осуществляется в следующем порядке: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</w:pPr>
      <w:r>
        <w:t xml:space="preserve">3.4.1. </w:t>
      </w:r>
      <w:r>
        <w:t xml:space="preserve">Вместе с поставленным Товаром Поставщик представляет Заказчику </w:t>
      </w:r>
      <w:r>
        <w:br/>
      </w:r>
      <w:r>
        <w:t xml:space="preserve">(Санкт-Петербург, ул. Зодчего Росси, дом 1-3, литера А, </w:t>
      </w:r>
      <w:r>
        <w:t xml:space="preserve">помещение </w:t>
      </w:r>
      <w:r>
        <w:t xml:space="preserve">№ 303, отдел делопроизводства, </w:t>
      </w:r>
      <w:r>
        <w:t xml:space="preserve">тел. (812) 576-27-73) с сопроводительным письмом следующие документы: </w:t>
      </w:r>
      <w:r>
        <w:rPr>
          <w:highlight w:val="white"/>
        </w:rPr>
        <w:t xml:space="preserve">подписанные со своей сторо</w:t>
      </w:r>
      <w:r>
        <w:rPr>
          <w:highlight w:val="white"/>
        </w:rPr>
        <w:t xml:space="preserve">ны счет и 2 (Два) экземпляра акта, подтверждающего сдачу-приемку поставленного Товара,</w:t>
      </w:r>
      <w:r>
        <w:t xml:space="preserve"> </w:t>
      </w:r>
      <w:r>
        <w:rPr>
          <w:highlight w:val="white"/>
        </w:rPr>
        <w:t xml:space="preserve">товарную</w:t>
      </w:r>
      <w:r>
        <w:t xml:space="preserve"> накладную, а также оригиналы или надлежащим образом заверенные копии документов, подтверждающие соответствие поставляемого Товара обязательным требованиям к его</w:t>
      </w:r>
      <w:r>
        <w:t xml:space="preserve"> качеству </w:t>
      </w:r>
      <w:r>
        <w:t xml:space="preserve">и</w:t>
      </w:r>
      <w:r>
        <w:t xml:space="preserve"> безопасности, предусмотренными для товаров данного рода действующим законодательством Российской Федерации и Санкт-Петербурга</w:t>
        <w:br/>
        <w:t xml:space="preserve">и положениями Контракта, на основании которых приемочная комиссия Заказчика осуществляет приемку поставленного Товара</w:t>
      </w:r>
      <w:r>
        <w:t xml:space="preserve">.</w:t>
      </w:r>
      <w:r/>
    </w:p>
    <w:p>
      <w:pPr>
        <w:pStyle w:val="966"/>
        <w:ind w:firstLine="709"/>
        <w:jc w:val="both"/>
      </w:pPr>
      <w:r>
        <w:t xml:space="preserve">3.4.2. В случае непредставления Поставщиком указанных в подпункте 3.4.1. пункта 3.4. Контракта документов приемка поставленного Товара</w:t>
      </w:r>
      <w:r>
        <w:t xml:space="preserve"> приемочной комиссией Заказчика </w:t>
      </w:r>
      <w:r>
        <w:br/>
        <w:t xml:space="preserve">не осуществляется.</w:t>
      </w:r>
      <w:r/>
    </w:p>
    <w:p>
      <w:pPr>
        <w:pStyle w:val="966"/>
        <w:ind w:firstLine="709"/>
        <w:jc w:val="both"/>
      </w:pPr>
      <w:r>
        <w:t xml:space="preserve">3.4.3. Приемоч</w:t>
      </w:r>
      <w:r>
        <w:t xml:space="preserve">ная к</w:t>
      </w:r>
      <w:r>
        <w:t xml:space="preserve">омиссия Заказчика в срок не позднее 20 (Двадцати) рабочих дней, следующих за днем поступления документов, указанных в подпункте 3.4.1. пункта 3.4.  настоящего Контракта проверяет соответствие поставленного Товара требованиям Контракта, проводит экспертизу </w:t>
      </w:r>
      <w:r>
        <w:t xml:space="preserve">Товара, по результатам проверки и экспертизы оформляет документ</w:t>
      </w:r>
      <w:r>
        <w:br/>
        <w:t xml:space="preserve">о приемке поставленного товара (выполненной работы (результатов работ), оказанной услуги), </w:t>
      </w:r>
      <w:r>
        <w:t xml:space="preserve">который утверждается уполномоченным представителем Заказчика либо мотивированный отказ</w:t>
      </w:r>
      <w:r>
        <w:br/>
        <w:t xml:space="preserve">от пр</w:t>
      </w:r>
      <w:r>
        <w:t xml:space="preserve">иемки Товара с указанием причин отказа. В случае принятия Товара Заказчиком утверждается Акт приемки товаров, работ, услуг по форме 0510452 (утвержденной приказом Министерства финансов Российской Федерации от 15.04.2021 № 61н) без подписи</w:t>
      </w:r>
      <w:r>
        <w:t xml:space="preserve"> Поставщика</w:t>
        <w:br/>
        <w:t xml:space="preserve">и в его адрес направляется скан-копия Акта приемки товаров, работ, услуг по форме 0510452.</w:t>
      </w:r>
      <w:r/>
    </w:p>
    <w:p>
      <w:pPr>
        <w:ind w:firstLine="709"/>
        <w:jc w:val="both"/>
      </w:pPr>
      <w:r>
        <w:t xml:space="preserve">3.4.4. В случае мотивированного отказа от приемки поставленного Товара Заказчик вправе установить срок для устранения недостатков. Поставщик своими силами и за свой счет обязан устранить все отмеченные недостатки в срок, указанный Заказчиком в мотивирова</w:t>
      </w:r>
      <w:r>
        <w:t xml:space="preserve">нном отказе.</w:t>
      </w:r>
      <w:r/>
    </w:p>
    <w:p>
      <w:pPr>
        <w:ind w:firstLine="709"/>
        <w:jc w:val="both"/>
        <w:rPr>
          <w:highlight w:val="none"/>
        </w:rPr>
      </w:pPr>
      <w:r>
        <w:t xml:space="preserve">3.5. Для проверки поставленного Товара Заказчик вправе провести экспертизу поставленного  Товара с привлечением экспертов, экспертных организаций в соответствии </w:t>
      </w:r>
      <w:r>
        <w:br/>
      </w:r>
      <w:r>
        <w:t xml:space="preserve">с частью 1 статьи 41 Закона.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</w:pPr>
      <w:r>
        <w:t xml:space="preserve">В случае положительных результатов экспертизы постав</w:t>
      </w:r>
      <w:r>
        <w:t xml:space="preserve">ленного Товара приемочная комиссия Заказчика оформляет протокол заседания приемочной комиссии, который утверждается уполномоченным представителем Заказчика. </w:t>
      </w:r>
      <w:r/>
    </w:p>
    <w:p>
      <w:pPr>
        <w:ind w:firstLine="709"/>
        <w:jc w:val="both"/>
      </w:pPr>
      <w:r>
        <w:t xml:space="preserve">В случае отрицательных результатов экспертизы поставленного Товара Заказчик направляет мотивирован</w:t>
      </w:r>
      <w:r>
        <w:t xml:space="preserve">ный отказ от приемки поставленного Товара с приложением копии экспертного заключения.</w:t>
      </w:r>
      <w:r/>
    </w:p>
    <w:p>
      <w:pPr>
        <w:ind w:firstLine="709"/>
        <w:jc w:val="both"/>
      </w:pPr>
      <w:r>
        <w:t xml:space="preserve">3.6. Для проведения экспертизы, указанной в подпункте 3.4.3. пункта 3.4., пункте 3.5. настоящего Контракта, Заказчик либо эксперт, экспертная организация имеют право запр</w:t>
      </w:r>
      <w:r>
        <w:t xml:space="preserve">ашивать </w:t>
      </w:r>
      <w:r>
        <w:br/>
        <w:t xml:space="preserve">у Поставщика дополнительные материалы, относящиеся к условиям исполнения Контракта.</w:t>
      </w:r>
      <w:r/>
    </w:p>
    <w:p>
      <w:pPr>
        <w:ind w:firstLine="709"/>
        <w:jc w:val="both"/>
      </w:pPr>
      <w:r>
        <w:t xml:space="preserve">3.7. Акт, подтверждающий сдачу приемку Товара, подписывается уполномоченным представителем Заказчика, один экземпляр которого направляется Поставщику.</w:t>
      </w:r>
      <w:r/>
    </w:p>
    <w:p>
      <w:pPr>
        <w:pStyle w:val="966"/>
        <w:ind w:firstLine="709"/>
        <w:jc w:val="both"/>
        <w:rPr>
          <w:highlight w:val="red"/>
        </w:rPr>
      </w:pPr>
      <w:r>
        <w:rPr>
          <w:highlight w:val="red"/>
        </w:rPr>
      </w:r>
      <w:r>
        <w:rPr>
          <w:highlight w:val="red"/>
        </w:rPr>
      </w:r>
      <w:r>
        <w:rPr>
          <w:highlight w:val="red"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  <w:t xml:space="preserve">4. Взаимодействие Сторон</w:t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  <w:rPr>
          <w:b/>
        </w:rPr>
      </w:pPr>
      <w:r>
        <w:rPr>
          <w:b/>
        </w:rPr>
        <w:t xml:space="preserve">4.1. Поставщик обязан:</w:t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</w:pPr>
      <w:r>
        <w:t xml:space="preserve">4.1.1. Поставить Товар в порядке, количестве, в срок и на условиях, предусмотренных Контрактом.</w:t>
      </w:r>
      <w:r/>
    </w:p>
    <w:p>
      <w:pPr>
        <w:pStyle w:val="966"/>
        <w:ind w:firstLine="709"/>
        <w:jc w:val="both"/>
      </w:pPr>
      <w:r>
        <w:t xml:space="preserve">4.1.2. </w:t>
      </w:r>
      <w:r>
        <w:t xml:space="preserve">Обеспечить соответствие поставляемого Това</w:t>
      </w:r>
      <w:r>
        <w:t xml:space="preserve">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Контрактом.</w:t>
      </w:r>
      <w:r/>
    </w:p>
    <w:p>
      <w:pPr>
        <w:pStyle w:val="966"/>
        <w:ind w:firstLine="709"/>
        <w:jc w:val="both"/>
      </w:pPr>
      <w:r>
        <w:t xml:space="preserve">4.1.3.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</w:t>
      </w:r>
      <w:r>
        <w:br/>
        <w:t xml:space="preserve">в порядке и на условиях, предусмотренных Контрактом.</w:t>
      </w:r>
      <w:r/>
    </w:p>
    <w:p>
      <w:pPr>
        <w:pStyle w:val="966"/>
        <w:ind w:firstLine="709"/>
        <w:jc w:val="both"/>
      </w:pPr>
      <w:r>
        <w:t xml:space="preserve">4.1.4. </w:t>
      </w:r>
      <w:r>
        <w:t xml:space="preserve"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  <w:r/>
    </w:p>
    <w:p>
      <w:pPr>
        <w:pStyle w:val="966"/>
        <w:ind w:firstLine="709"/>
        <w:jc w:val="both"/>
      </w:pPr>
      <w:r/>
      <w:bookmarkStart w:id="5" w:name="Par148"/>
      <w:r/>
      <w:bookmarkEnd w:id="5"/>
      <w:r>
        <w:t xml:space="preserve">4.1.5. Обеспечивать гарантии на Товар в соответствии с разделом 6 Контракта.</w:t>
      </w:r>
      <w:r/>
    </w:p>
    <w:p>
      <w:pPr>
        <w:pStyle w:val="966"/>
        <w:ind w:firstLine="709"/>
        <w:jc w:val="both"/>
      </w:pPr>
      <w:r>
        <w:t xml:space="preserve">4.1.6. Соблюдать</w:t>
      </w:r>
      <w:r>
        <w:t xml:space="preserve"> действующие у Заказчика правила внутреннего трудового распорядка, правила техники безопасности, охраны труда, пожарной и экологической безопасности, санитарно-гигиенические требования, установленные действующим законодательством, а также пропускной режим.</w:t>
      </w:r>
      <w:r/>
    </w:p>
    <w:p>
      <w:pPr>
        <w:pStyle w:val="966"/>
        <w:ind w:firstLine="709"/>
        <w:jc w:val="both"/>
      </w:pPr>
      <w:r>
        <w:t xml:space="preserve">4.1.7. Соблюдать требования Федерального закона от 27.07.2006 № 152-ФЗ</w:t>
        <w:br/>
        <w:t xml:space="preserve">«О персональных данных».</w:t>
      </w:r>
      <w:r/>
    </w:p>
    <w:p>
      <w:pPr>
        <w:pStyle w:val="966"/>
        <w:ind w:firstLine="709"/>
        <w:jc w:val="both"/>
        <w:rPr>
          <w:b/>
        </w:rPr>
      </w:pPr>
      <w:r>
        <w:rPr>
          <w:b/>
        </w:rPr>
        <w:t xml:space="preserve">4.2. Поставщик вправе:</w:t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</w:pPr>
      <w:r>
        <w:t xml:space="preserve">4.2.1. Требовать от Заказчика надлежащего исполнения обязательств в соответствии </w:t>
      </w:r>
      <w:r>
        <w:br/>
        <w:t xml:space="preserve">с условиями Контракта.</w:t>
      </w:r>
      <w:r/>
    </w:p>
    <w:p>
      <w:pPr>
        <w:pStyle w:val="966"/>
        <w:ind w:firstLine="709"/>
        <w:jc w:val="both"/>
      </w:pPr>
      <w:r/>
      <w:bookmarkStart w:id="6" w:name="Par165"/>
      <w:r/>
      <w:bookmarkEnd w:id="6"/>
      <w:r>
        <w:t xml:space="preserve">4.2.2. Требовать от Заказчика своевременной оплаты поставленного и принятого Заказчиком Товара в порядке и на условиях, предусмотренных Контрактом.</w:t>
      </w:r>
      <w:r/>
    </w:p>
    <w:p>
      <w:pPr>
        <w:pStyle w:val="966"/>
        <w:ind w:firstLine="709"/>
        <w:jc w:val="both"/>
      </w:pPr>
      <w:r/>
      <w:bookmarkStart w:id="7" w:name="Par166"/>
      <w:r/>
      <w:bookmarkEnd w:id="7"/>
      <w:r>
        <w:t xml:space="preserve">4.2.3. Принять решение об одностороннем отказе от исполнения Контракта </w:t>
      </w:r>
      <w:r>
        <w:br/>
        <w:t xml:space="preserve">в соответствии с гражданским законодательством Российской Федерации и в соответствии </w:t>
      </w:r>
      <w:r>
        <w:br/>
      </w:r>
      <w:r>
        <w:t xml:space="preserve">с положениями статьи 95 Закона.</w:t>
      </w:r>
      <w:r/>
    </w:p>
    <w:p>
      <w:pPr>
        <w:pStyle w:val="966"/>
        <w:ind w:firstLine="709"/>
        <w:jc w:val="both"/>
      </w:pPr>
      <w:r>
        <w:t xml:space="preserve">4.2.4. </w:t>
      </w:r>
      <w:bookmarkStart w:id="8" w:name="_Hlk108369318"/>
      <w:r>
        <w:t xml:space="preserve">Требовать возмещения убытков, уплаты неустоек (штрафов, пеней) в соответствии </w:t>
      </w:r>
      <w:r>
        <w:br/>
        <w:t xml:space="preserve">с разделом 7 Контракта.</w:t>
      </w:r>
      <w:bookmarkEnd w:id="8"/>
      <w:r/>
      <w:r/>
    </w:p>
    <w:p>
      <w:pPr>
        <w:ind w:firstLine="709"/>
        <w:jc w:val="both"/>
        <w:rPr>
          <w:b/>
          <w:highlight w:val="white"/>
        </w:rPr>
      </w:pPr>
      <w:r>
        <w:rPr>
          <w:highlight w:val="none"/>
        </w:rPr>
        <w:t xml:space="preserve">4.2.5. По согласованию с Зак</w:t>
      </w:r>
      <w:r>
        <w:rPr>
          <w:highlight w:val="none"/>
        </w:rPr>
        <w:t xml:space="preserve">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</w:t>
      </w:r>
      <w:r>
        <w:rPr>
          <w:highlight w:val="none"/>
        </w:rPr>
        <w:t xml:space="preserve">ми в Контракте </w:t>
      </w:r>
      <w:r>
        <w:rPr>
          <w:highlight w:val="white"/>
        </w:rPr>
        <w:t xml:space="preserve">(</w:t>
      </w:r>
      <w:r>
        <w:rPr>
          <w:highlight w:val="white"/>
        </w:rPr>
        <w:t xml:space="preserve">за исключением случаев, предусмотренных подпунктом «в» пункта 1, подпунктом «б» пункта 2, подпунктом «в» пункта 3 части 4 статьи 14 Закона</w:t>
      </w:r>
      <w:r>
        <w:rPr>
          <w:highlight w:val="white"/>
        </w:rPr>
        <w:t xml:space="preserve">).</w:t>
      </w:r>
      <w:r>
        <w:rPr>
          <w:b/>
          <w:highlight w:val="white"/>
        </w:rPr>
      </w:r>
      <w:r>
        <w:rPr>
          <w:b/>
          <w:highlight w:val="white"/>
        </w:rPr>
      </w:r>
    </w:p>
    <w:p>
      <w:pPr>
        <w:pStyle w:val="966"/>
        <w:ind w:firstLine="709"/>
        <w:jc w:val="both"/>
        <w:rPr>
          <w:b/>
        </w:rPr>
      </w:pPr>
      <w:r>
        <w:rPr>
          <w:b/>
        </w:rPr>
        <w:t xml:space="preserve">4.3. Заказчик обязан:</w:t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</w:pPr>
      <w:r>
        <w:t xml:space="preserve">4.3.1. Обеспечить своевременную оплату поставленного Товара, соответствующего условиям</w:t>
      </w:r>
      <w:r>
        <w:t xml:space="preserve"> Контракта, в порядке и сроки, предусмотренные Контрактом.</w:t>
      </w:r>
      <w:r/>
    </w:p>
    <w:p>
      <w:pPr>
        <w:pStyle w:val="966"/>
        <w:ind w:firstLine="709"/>
        <w:jc w:val="both"/>
      </w:pPr>
      <w:r>
        <w:t xml:space="preserve">4.3.2. Требовать уплаты неустоек (штрафов, пеней) в соответствии с разделом 7 Контракта.</w:t>
      </w:r>
      <w:r/>
    </w:p>
    <w:p>
      <w:pPr>
        <w:pStyle w:val="966"/>
        <w:ind w:firstLine="709"/>
        <w:jc w:val="both"/>
      </w:pPr>
      <w:r>
        <w:t xml:space="preserve">4.3.3. Обеспечить своевременную приемку поставленного Товара, соответствующего условиям Контракта, в порядке</w:t>
      </w:r>
      <w:r>
        <w:t xml:space="preserve"> и сроки, предусмотренные Контрактом, провести экспертизу поставленного Товара для проверки его соответствия условиям Контракта в соответствии </w:t>
      </w:r>
      <w:r>
        <w:br/>
        <w:t xml:space="preserve">с Законом и Контрактом.</w:t>
      </w:r>
      <w:r/>
    </w:p>
    <w:p>
      <w:pPr>
        <w:pStyle w:val="966"/>
        <w:ind w:firstLine="709"/>
        <w:jc w:val="both"/>
        <w:rPr>
          <w:szCs w:val="24"/>
        </w:rPr>
      </w:pPr>
      <w:r>
        <w:t xml:space="preserve">4.3.4. П</w:t>
      </w:r>
      <w:r>
        <w:rPr>
          <w:szCs w:val="24"/>
        </w:rPr>
        <w:t xml:space="preserve">ринять решение об одностороннем отказе от исполнения Контракта в случае, если </w:t>
      </w:r>
      <w:r>
        <w:rPr>
          <w:szCs w:val="24"/>
        </w:rPr>
        <w:br/>
        <w:t xml:space="preserve">в</w:t>
      </w:r>
      <w:r>
        <w:rPr>
          <w:szCs w:val="24"/>
        </w:rPr>
        <w:t xml:space="preserve"> ходе исполнения Контракта установлено, что Поставщик и (или) поставляемый Товар </w:t>
      </w:r>
      <w:r>
        <w:rPr>
          <w:szCs w:val="24"/>
        </w:rPr>
        <w:br/>
        <w:t xml:space="preserve">не соответствуют установленным требованиям к участникам закупки и (или) поставляемому товару или представил недостоверную информацию о своем соответствии и (или) соответствии</w:t>
      </w:r>
      <w:r>
        <w:rPr>
          <w:szCs w:val="24"/>
        </w:rPr>
        <w:t xml:space="preserve"> поставляемого Товара таким требованиям.</w:t>
      </w:r>
      <w:r>
        <w:rPr>
          <w:szCs w:val="24"/>
        </w:rPr>
      </w:r>
      <w:r>
        <w:rPr>
          <w:szCs w:val="24"/>
        </w:rPr>
      </w:r>
    </w:p>
    <w:p>
      <w:pPr>
        <w:pStyle w:val="966"/>
        <w:ind w:firstLine="709"/>
        <w:jc w:val="both"/>
        <w:rPr>
          <w:b/>
        </w:rPr>
      </w:pPr>
      <w:r>
        <w:t xml:space="preserve">4.3.5. Соблюдать требования Федерального закона от 27.07.2006 № 152-ФЗ</w:t>
        <w:br/>
        <w:t xml:space="preserve">«О  персональных данных».</w:t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  <w:rPr>
          <w:b/>
          <w:bCs/>
          <w:highlight w:val="none"/>
        </w:rPr>
      </w:pPr>
      <w:r>
        <w:rPr>
          <w:b/>
        </w:rPr>
        <w:t xml:space="preserve">4.4. Заказчик вправе: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6"/>
        <w:ind w:firstLine="709"/>
        <w:jc w:val="both"/>
      </w:pPr>
      <w:r>
        <w:t xml:space="preserve">4.4.1. Требовать от Поставщика надлежащего исполнения обязательств по Контракту.</w:t>
      </w:r>
      <w:r/>
    </w:p>
    <w:p>
      <w:pPr>
        <w:pStyle w:val="966"/>
        <w:ind w:firstLine="709"/>
        <w:jc w:val="both"/>
      </w:pPr>
      <w:r>
        <w:t xml:space="preserve">4.4.2. Требовать от Поставщика своевременного устранения нарушений, выявленных </w:t>
        <w:br/>
        <w:t xml:space="preserve">как </w:t>
      </w:r>
      <w:r>
        <w:t xml:space="preserve">в ходе приемки, так и в течение срока годности.</w:t>
      </w:r>
      <w:r/>
    </w:p>
    <w:p>
      <w:pPr>
        <w:pStyle w:val="966"/>
        <w:ind w:firstLine="709"/>
        <w:jc w:val="both"/>
      </w:pPr>
      <w:r>
        <w:t xml:space="preserve">4.4.3. Проверять ход и качество выполнения Поставщиком условий Контракта.</w:t>
      </w:r>
      <w:r/>
    </w:p>
    <w:p>
      <w:pPr>
        <w:pStyle w:val="966"/>
        <w:ind w:firstLine="709"/>
        <w:jc w:val="both"/>
      </w:pPr>
      <w:r>
        <w:t xml:space="preserve">4.4.4. Требовать возмещения убытков в соответствии с разделом 7 Контракта, причиненных по вине Поставщика.</w:t>
      </w:r>
      <w:r/>
    </w:p>
    <w:p>
      <w:pPr>
        <w:pStyle w:val="966"/>
        <w:ind w:firstLine="709"/>
        <w:jc w:val="both"/>
      </w:pPr>
      <w:r>
        <w:t xml:space="preserve">4.4.5. Отказаться от приемки и оплаты Товара, не соответствующего условиям Контракта.</w:t>
      </w:r>
      <w:r/>
    </w:p>
    <w:p>
      <w:pPr>
        <w:pStyle w:val="966"/>
        <w:ind w:firstLine="709"/>
        <w:jc w:val="both"/>
      </w:pPr>
      <w:r/>
      <w:bookmarkStart w:id="10" w:name="Par182"/>
      <w:r/>
      <w:bookmarkEnd w:id="10"/>
      <w:r>
        <w:t xml:space="preserve">4.4.6. Принять решение об одностороннем отказе от исполнения Контракта в соответствии </w:t>
      </w:r>
      <w:r>
        <w:br/>
        <w:t xml:space="preserve">с гражданским законодательством Российской Федерации и в соответствии с положениями </w:t>
      </w:r>
      <w:r>
        <w:br/>
      </w:r>
      <w:r>
        <w:t xml:space="preserve">статьи 95 Закона.</w:t>
      </w:r>
      <w:r>
        <w:rPr>
          <w:rStyle w:val="915"/>
        </w:rPr>
        <w:t xml:space="preserve"> </w:t>
      </w:r>
      <w:r/>
    </w:p>
    <w:p>
      <w:pPr>
        <w:pStyle w:val="966"/>
        <w:ind w:firstLine="709"/>
        <w:jc w:val="both"/>
      </w:pPr>
      <w:r>
        <w:t xml:space="preserve">4.4.7.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Законом.</w:t>
      </w:r>
      <w:r/>
    </w:p>
    <w:p>
      <w:pPr>
        <w:pStyle w:val="966"/>
        <w:jc w:val="center"/>
        <w:rPr>
          <w:b/>
          <w:bCs/>
        </w:rPr>
        <w:outlineLvl w:val="1"/>
      </w:pPr>
      <w:r>
        <w:rPr>
          <w:b/>
          <w:highlight w:val="none"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66"/>
        <w:jc w:val="center"/>
        <w:rPr>
          <w:b/>
          <w:bCs/>
          <w:highlight w:val="none"/>
        </w:rPr>
        <w:outlineLvl w:val="1"/>
      </w:pPr>
      <w:r>
        <w:rPr>
          <w:b/>
        </w:rPr>
        <w:t xml:space="preserve">5. Упаковка Товара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widowControl w:val="off"/>
      </w:pPr>
      <w:r>
        <w:t xml:space="preserve">5.1. Товар должен передаваться Заказчику в упаковке, соответствующей установленным </w:t>
      </w:r>
      <w:r>
        <w:t xml:space="preserve">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  <w:r/>
    </w:p>
    <w:p>
      <w:pPr>
        <w:ind w:firstLine="709"/>
        <w:jc w:val="both"/>
      </w:pPr>
      <w:r>
        <w:t xml:space="preserve">5.2. Поставщик должен обеспечить транспортную упаковку Товара, способную предотвратить его повреждение или порчу во время перевозки к месту доставки. Транспортная упаковка Товара должна полностью обеспечивать условия перевозки Товара.</w:t>
      </w:r>
      <w:r/>
    </w:p>
    <w:p>
      <w:pPr>
        <w:ind w:firstLine="709"/>
        <w:jc w:val="both"/>
      </w:pPr>
      <w:r>
        <w:t xml:space="preserve">5.3. Упаковка Товара, имеющая внешние дефекты, которые не позволяют использовать </w:t>
      </w:r>
      <w:r>
        <w:br/>
        <w:t xml:space="preserve">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  <w:r/>
    </w:p>
    <w:p>
      <w:pPr>
        <w:ind w:firstLine="709"/>
        <w:jc w:val="both"/>
      </w:pPr>
      <w:r>
        <w:t xml:space="preserve">5.4. Поставщик несет ответственность перед Заказчиком за повреждение Товара вследствие его ненадлежащей упаковки.</w:t>
      </w:r>
      <w:r/>
    </w:p>
    <w:p>
      <w:pPr>
        <w:ind w:firstLine="709"/>
        <w:jc w:val="both"/>
      </w:pPr>
      <w:r>
        <w:t xml:space="preserve"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/>
    </w:p>
    <w:p>
      <w:pPr>
        <w:pStyle w:val="966"/>
        <w:jc w:val="center"/>
        <w:rPr>
          <w:b/>
        </w:rPr>
        <w:outlineLvl w:val="1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jc w:val="center"/>
        <w:outlineLvl w:val="1"/>
      </w:pPr>
      <w:r>
        <w:rPr>
          <w:b/>
        </w:rPr>
        <w:t xml:space="preserve">6. Гарантия, качество Товара, обеспечение гарантийных обязательств</w:t>
      </w:r>
      <w:r>
        <w:t xml:space="preserve"> </w:t>
      </w:r>
      <w:r/>
    </w:p>
    <w:p>
      <w:pPr>
        <w:pStyle w:val="966"/>
        <w:ind w:firstLine="709"/>
        <w:jc w:val="both"/>
      </w:pPr>
      <w:r/>
      <w:r/>
    </w:p>
    <w:p>
      <w:pPr>
        <w:ind w:firstLine="709"/>
        <w:jc w:val="both"/>
      </w:pPr>
      <w:r>
        <w:t xml:space="preserve">6.1. Поставщик гарантирует, что поставляемый Товар соответствует требованиям, установленным Контрактом.</w:t>
      </w:r>
      <w:r/>
    </w:p>
    <w:p>
      <w:pPr>
        <w:ind w:firstLine="709"/>
        <w:jc w:val="both"/>
      </w:pPr>
      <w:r>
        <w:t xml:space="preserve"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</w:t>
      </w:r>
      <w:r>
        <w:t xml:space="preserve">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709"/>
        <w:jc w:val="both"/>
      </w:pPr>
      <w:r>
        <w:t xml:space="preserve">6.2.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</w:t>
      </w:r>
      <w:r>
        <w:br/>
        <w:t xml:space="preserve">а также надлежащее качество Товара.</w:t>
      </w:r>
      <w:r/>
    </w:p>
    <w:p>
      <w:pPr>
        <w:ind w:firstLine="709"/>
        <w:jc w:val="both"/>
      </w:pPr>
      <w:r>
        <w:t xml:space="preserve">6.3.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  <w:r/>
    </w:p>
    <w:p>
      <w:pPr>
        <w:ind w:firstLine="709"/>
        <w:jc w:val="both"/>
      </w:pPr>
      <w:r>
        <w:t xml:space="preserve">6.4. Гарантия Поставщика на поставленный Товар составляет 12 (Двенадцать) месяцев. Гарантийный срок начинает исчисляться со дня подписания соответствующего документа </w:t>
      </w:r>
      <w:r>
        <w:br/>
        <w:t xml:space="preserve">о приемке Товара в единой информационной системе в сфере закупок</w:t>
      </w:r>
      <w:r>
        <w:rPr>
          <w:bCs/>
        </w:rPr>
        <w:t xml:space="preserve">.</w:t>
      </w:r>
      <w:r/>
    </w:p>
    <w:p>
      <w:pPr>
        <w:ind w:firstLine="709"/>
        <w:jc w:val="both"/>
      </w:pPr>
      <w:r>
        <w:rPr>
          <w:highlight w:val="none"/>
        </w:rPr>
        <w:t xml:space="preserve">6.5.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Срок замены некачественного Товара – 5 (Пять) календарных дней с даты обнаружения Заказчиком недостатков в поставленном Товаре.</w:t>
      </w:r>
      <w:r/>
    </w:p>
    <w:p>
      <w:pPr>
        <w:ind w:firstLine="709"/>
        <w:jc w:val="both"/>
      </w:pPr>
      <w:r>
        <w:t xml:space="preserve">6.6. Неиспра</w:t>
      </w:r>
      <w:r>
        <w:t xml:space="preserve">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  <w:r/>
    </w:p>
    <w:p>
      <w:pPr>
        <w:ind w:firstLine="709"/>
        <w:jc w:val="both"/>
        <w:rPr>
          <w:highlight w:val="red"/>
        </w:rPr>
      </w:pPr>
      <w:r>
        <w:rPr>
          <w:highlight w:val="red"/>
        </w:rPr>
      </w:r>
      <w:r>
        <w:rPr>
          <w:highlight w:val="red"/>
        </w:rPr>
      </w:r>
      <w:r>
        <w:rPr>
          <w:highlight w:val="red"/>
        </w:rPr>
      </w:r>
    </w:p>
    <w:p>
      <w:pPr>
        <w:pStyle w:val="966"/>
        <w:jc w:val="center"/>
        <w:rPr>
          <w:highlight w:val="none"/>
        </w:rPr>
        <w:outlineLvl w:val="1"/>
      </w:pPr>
      <w:r>
        <w:rPr>
          <w:b/>
        </w:rPr>
        <w:t xml:space="preserve">7. Ответственность Сторон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7.1.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  <w:r/>
    </w:p>
    <w:p>
      <w:pPr>
        <w:ind w:firstLine="709"/>
        <w:jc w:val="both"/>
      </w:pPr>
      <w:r>
        <w:t xml:space="preserve"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  <w:r/>
    </w:p>
    <w:p>
      <w:pPr>
        <w:ind w:firstLine="709"/>
        <w:jc w:val="both"/>
      </w:pPr>
      <w:r>
        <w:t xml:space="preserve">7.2. </w:t>
      </w:r>
      <w: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</w:t>
      </w:r>
      <w:r>
        <w:t xml:space="preserve">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r/>
    </w:p>
    <w:p>
      <w:pPr>
        <w:ind w:firstLine="709"/>
        <w:jc w:val="both"/>
      </w:pPr>
      <w:r>
        <w:t xml:space="preserve">7.3. В случа</w:t>
      </w:r>
      <w:r>
        <w:t xml:space="preserve">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  <w:r/>
    </w:p>
    <w:p>
      <w:pPr>
        <w:ind w:firstLine="709"/>
        <w:jc w:val="both"/>
      </w:pPr>
      <w:r/>
      <w:bookmarkStart w:id="13" w:name="p292"/>
      <w:r/>
      <w:bookmarkEnd w:id="13"/>
      <w:r>
        <w:t xml:space="preserve">7.4. Пеня начисляется за каждый день просрочки исполнения Заказчиком обязательства, предусмот</w:t>
      </w:r>
      <w:r>
        <w:t xml:space="preserve">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</w:t>
      </w:r>
      <w:r>
        <w:br/>
        <w:t xml:space="preserve">в срок суммы.</w:t>
      </w:r>
      <w:r/>
    </w:p>
    <w:p>
      <w:pPr>
        <w:ind w:firstLine="709"/>
        <w:jc w:val="both"/>
      </w:pPr>
      <w:r/>
      <w:bookmarkStart w:id="14" w:name="p293"/>
      <w:r/>
      <w:bookmarkEnd w:id="14"/>
      <w:r>
        <w:t xml:space="preserve">7.5. </w:t>
      </w: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1 000 рублей 00 копеек (Одна тысяча рублей </w:t>
      </w:r>
      <w:r>
        <w:br/>
        <w:t xml:space="preserve">00 копеек).</w:t>
      </w:r>
      <w:r/>
    </w:p>
    <w:p>
      <w:pPr>
        <w:ind w:firstLine="709"/>
        <w:jc w:val="both"/>
        <w:rPr>
          <w:highlight w:val="yellow"/>
        </w:rPr>
      </w:pPr>
      <w:r>
        <w:rPr>
          <w:highlight w:val="none"/>
        </w:rPr>
      </w:r>
      <w:r>
        <w:rPr>
          <w:highlight w:val="none"/>
        </w:rPr>
        <w:t xml:space="preserve">7.6. В случае нарушения Поставщиком срока представления до</w:t>
      </w:r>
      <w:r>
        <w:rPr>
          <w:highlight w:val="none"/>
        </w:rPr>
        <w:t xml:space="preserve">кументов, предусмотренных подпунктом 3.4.1. пункта 3.4. Контракта, Заказчик не несет ответственность, установленную </w:t>
      </w:r>
      <w:hyperlink w:tooltip="#p292" w:anchor="p292" w:history="1">
        <w:r>
          <w:rPr>
            <w:rStyle w:val="906"/>
            <w:color w:val="000000"/>
            <w:highlight w:val="none"/>
            <w:u w:val="none"/>
          </w:rPr>
          <w:t xml:space="preserve">пунктами 7.4</w:t>
        </w:r>
      </w:hyperlink>
      <w:r>
        <w:rPr>
          <w:color w:val="000000"/>
          <w:highlight w:val="none"/>
        </w:rPr>
        <w:t xml:space="preserve">.,</w:t>
      </w:r>
      <w:r>
        <w:rPr>
          <w:highlight w:val="none"/>
        </w:rPr>
        <w:t xml:space="preserve"> 7.5. Контракта.</w:t>
      </w:r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</w:pPr>
      <w:r>
        <w:t xml:space="preserve"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ind w:firstLine="709"/>
        <w:jc w:val="both"/>
      </w:pPr>
      <w:r>
        <w:t xml:space="preserve">7.8. В случае просрочки исполнения Поставщиком обязательств (в том числ</w:t>
      </w:r>
      <w:r>
        <w:t xml:space="preserve">е</w:t>
      </w:r>
      <w:r>
        <w:t xml:space="preserve"> гарантийного обязательства), предусмотренных Контрактом, а также в иных случаях неисполнения </w:t>
        <w:br/>
        <w:t xml:space="preserve">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  <w:r/>
    </w:p>
    <w:p>
      <w:pPr>
        <w:ind w:firstLine="709"/>
        <w:jc w:val="both"/>
      </w:pPr>
      <w:r>
        <w:t xml:space="preserve">7.9. </w:t>
      </w:r>
      <w:r>
        <w:t xml:space="preserve">Пеня начисляется за каждый ден</w:t>
      </w:r>
      <w:r>
        <w:t xml:space="preserve">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</w:t>
      </w:r>
      <w:r>
        <w:t xml:space="preserve">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709"/>
        <w:jc w:val="both"/>
      </w:pPr>
      <w:r>
        <w:t xml:space="preserve">7.10. За кажды</w:t>
      </w:r>
      <w:r>
        <w:t xml:space="preserve">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10 % цены Контракта, что составляет</w:t>
      </w:r>
      <w:r>
        <w:t xml:space="preserve"> </w:t>
      </w:r>
      <w:r>
        <w:t xml:space="preserve">_____ рублей ___ копеек (_______)</w:t>
      </w:r>
      <w:r>
        <w:t xml:space="preserve">.</w:t>
      </w:r>
      <w:r/>
    </w:p>
    <w:p>
      <w:pPr>
        <w:ind w:firstLine="709"/>
        <w:jc w:val="both"/>
      </w:pPr>
      <w:r>
        <w:t xml:space="preserve">7.11. </w:t>
      </w:r>
      <w: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1 000 рублей 00 копеек (Одна тысяча рублей 00 копеек).</w:t>
      </w:r>
      <w:r/>
    </w:p>
    <w:p>
      <w:pPr>
        <w:ind w:firstLine="709"/>
        <w:jc w:val="both"/>
      </w:pPr>
      <w:r/>
      <w:bookmarkStart w:id="15" w:name="p340"/>
      <w:r/>
      <w:bookmarkEnd w:id="15"/>
      <w:r>
        <w:t xml:space="preserve">7.12.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  <w:r/>
    </w:p>
    <w:p>
      <w:pPr>
        <w:ind w:firstLine="709"/>
        <w:jc w:val="both"/>
      </w:pPr>
      <w:r>
        <w:t xml:space="preserve">7.13.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ind w:firstLine="709"/>
        <w:jc w:val="both"/>
      </w:pPr>
      <w:r>
        <w:t xml:space="preserve">7.14. Уплата неустойки (штрафа, пени) не освобождает Стороны от исполнения обязательств по Контракту.</w:t>
      </w:r>
      <w:bookmarkStart w:id="16" w:name="Par233"/>
      <w:r/>
      <w:bookmarkEnd w:id="16"/>
      <w:r/>
      <w:r/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</w:rPr>
        <w:t xml:space="preserve">8. Банковское сопровождение Контракта и (или)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</w:rPr>
      </w:pPr>
      <w:r>
        <w:rPr>
          <w:b/>
        </w:rPr>
        <w:t xml:space="preserve">казначейское сопровождение сре</w:t>
      </w:r>
      <w:r>
        <w:rPr>
          <w:b/>
        </w:rPr>
        <w:t xml:space="preserve">дств в в</w:t>
      </w:r>
      <w:r>
        <w:rPr>
          <w:b/>
        </w:rPr>
        <w:t xml:space="preserve">алюте Российской Федерации, предоставление которых осуществляется с последующим подтверждением их использования </w:t>
      </w:r>
      <w:r>
        <w:rPr>
          <w:b/>
        </w:rPr>
        <w:br/>
        <w:t xml:space="preserve">в соответствии с условиями и (или) целями предоставления указанных средств (казначейское сопровождение)</w:t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>
        <w:t xml:space="preserve">8.1. Банковское и (или) казначейское сопровождение Контракта не предусмотрено.</w:t>
      </w:r>
      <w:r/>
    </w:p>
    <w:p>
      <w:pPr>
        <w:pStyle w:val="966"/>
        <w:jc w:val="left"/>
        <w:rPr>
          <w:b/>
          <w:bCs/>
          <w:highlight w:val="none"/>
        </w:rPr>
        <w:outlineLvl w:val="1"/>
      </w:pPr>
      <w:r>
        <w:rPr>
          <w:b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6"/>
        <w:jc w:val="center"/>
        <w:rPr>
          <w:b/>
          <w:bCs/>
          <w:highlight w:val="none"/>
        </w:rPr>
        <w:outlineLvl w:val="1"/>
      </w:pPr>
      <w:r>
        <w:rPr>
          <w:b/>
        </w:rPr>
        <w:t xml:space="preserve">9. Обстоятельства непреодолимой силы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6"/>
        <w:ind w:firstLine="709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>
        <w:t xml:space="preserve"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r/>
    </w:p>
    <w:p>
      <w:pPr>
        <w:ind w:firstLine="709"/>
        <w:jc w:val="both"/>
      </w:pPr>
      <w:r>
        <w:t xml:space="preserve"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r>
        <w:t xml:space="preserve">но</w:t>
      </w:r>
      <w: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</w:t>
      </w:r>
      <w:r>
        <w:br/>
        <w:t xml:space="preserve">по Контракту и подтверждены соответствующими уполномоченными органами.</w:t>
      </w:r>
      <w:r/>
    </w:p>
    <w:p>
      <w:pPr>
        <w:ind w:firstLine="709"/>
        <w:jc w:val="both"/>
      </w:pPr>
      <w:r>
        <w:t xml:space="preserve">9.3. Сторона, у которой возникли обстоятельства непреодолимой силы, обязана </w:t>
      </w:r>
      <w:r>
        <w:br/>
        <w:t xml:space="preserve">в течение 10 (Десяти) рабочих дней письменно информировать другую Сторону о случившемся </w:t>
      </w:r>
      <w:r>
        <w:br/>
        <w:t xml:space="preserve">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  <w:r/>
    </w:p>
    <w:p>
      <w:pPr>
        <w:ind w:firstLine="709"/>
        <w:jc w:val="both"/>
      </w:pPr>
      <w:r>
        <w:t xml:space="preserve">9.4.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  <w:r/>
    </w:p>
    <w:p>
      <w:pPr>
        <w:ind w:firstLine="709"/>
        <w:jc w:val="both"/>
      </w:pPr>
      <w:r>
        <w:t xml:space="preserve">9.5. Если, по мнению Сторон, исполнение Контракта может быть продолжено </w:t>
      </w:r>
      <w:r>
        <w:br/>
        <w:t xml:space="preserve">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  <w:r/>
    </w:p>
    <w:p>
      <w:pPr>
        <w:ind w:firstLine="709"/>
        <w:jc w:val="both"/>
      </w:pPr>
      <w:r>
        <w:t xml:space="preserve">9.6.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  <w:r/>
    </w:p>
    <w:p>
      <w:pPr>
        <w:ind w:firstLine="709"/>
        <w:jc w:val="both"/>
      </w:pPr>
      <w:r/>
      <w:r/>
    </w:p>
    <w:p>
      <w:pPr>
        <w:pStyle w:val="966"/>
        <w:jc w:val="center"/>
        <w:rPr>
          <w:b/>
        </w:rPr>
        <w:outlineLvl w:val="1"/>
      </w:pPr>
      <w:r>
        <w:rPr>
          <w:b/>
        </w:rPr>
        <w:t xml:space="preserve">10. Рассмотрение и разрешение споров</w:t>
      </w:r>
      <w:r>
        <w:rPr>
          <w:b/>
        </w:rPr>
      </w:r>
      <w:r>
        <w:rPr>
          <w:b/>
        </w:rPr>
      </w:r>
    </w:p>
    <w:p>
      <w:pPr>
        <w:pStyle w:val="966"/>
        <w:ind w:firstLine="567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</w:pPr>
      <w:r>
        <w:t xml:space="preserve">10.1. Все споры, возникающие из Контракта, Стороны могут разрешать путем переговоров.</w:t>
      </w:r>
      <w:r/>
    </w:p>
    <w:p>
      <w:pPr>
        <w:pStyle w:val="966"/>
        <w:ind w:firstLine="709"/>
        <w:jc w:val="both"/>
      </w:pPr>
      <w:r>
        <w:t xml:space="preserve">10.2.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</w:t>
      </w:r>
      <w:r>
        <w:br/>
        <w:t xml:space="preserve">с действующим законодательством Российской Федерации и Контрактом.</w:t>
      </w:r>
      <w:r/>
    </w:p>
    <w:p>
      <w:pPr>
        <w:pStyle w:val="966"/>
        <w:ind w:firstLine="709"/>
        <w:jc w:val="both"/>
      </w:pPr>
      <w:r>
        <w:t xml:space="preserve">10.3. До передачи спора на разрешение Арбитражного суда города Санкт-Петербурга </w:t>
      </w:r>
      <w:r>
        <w:br/>
        <w:t xml:space="preserve">и Ленинградской области Стороны принимают предусмотренные настоящим разделом меры </w:t>
      </w:r>
      <w:r>
        <w:br/>
        <w:t xml:space="preserve">по досудебному урегулированию спора, за исключением дел, для которых согласно абзацу 4 </w:t>
      </w:r>
      <w:r>
        <w:br/>
        <w:t xml:space="preserve">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  <w:r/>
    </w:p>
    <w:p>
      <w:pPr>
        <w:pStyle w:val="966"/>
        <w:ind w:firstLine="709"/>
        <w:jc w:val="both"/>
      </w:pPr>
      <w:r>
        <w:t xml:space="preserve">10.4. Сторона должна дать ответ на претензию по существу в срок не позднее 10 (Десяти) рабочих дней </w:t>
      </w:r>
      <w:r>
        <w:t xml:space="preserve">с даты получения</w:t>
      </w:r>
      <w:r>
        <w:t xml:space="preserve"> претензии.</w:t>
      </w:r>
      <w:r/>
    </w:p>
    <w:p>
      <w:pPr>
        <w:pStyle w:val="966"/>
        <w:ind w:firstLine="709"/>
        <w:jc w:val="both"/>
      </w:pPr>
      <w:r>
        <w:t xml:space="preserve">10.5. В претензии должны быть указаны: наименование, почтовый адрес и реквизиты Стороны, предъявившей пр</w:t>
      </w:r>
      <w:r>
        <w:t xml:space="preserve">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 (или) нормативные правовые акты; требования; инфор</w:t>
      </w:r>
      <w:r>
        <w:t xml:space="preserve">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  <w:r/>
    </w:p>
    <w:p>
      <w:pPr>
        <w:pStyle w:val="966"/>
        <w:ind w:firstLine="709"/>
        <w:jc w:val="both"/>
      </w:pPr>
      <w:r>
        <w:t xml:space="preserve">10.6. Если требования в претензии подлежат денежной оценке, в претензии указывается </w:t>
      </w:r>
      <w:r>
        <w:t xml:space="preserve">истребуемая</w:t>
      </w:r>
      <w:r>
        <w:t xml:space="preserve"> денежная сумма и ее полный и обоснованный расчет.</w:t>
      </w:r>
      <w:r/>
    </w:p>
    <w:p>
      <w:pPr>
        <w:pStyle w:val="966"/>
        <w:ind w:firstLine="709"/>
        <w:jc w:val="both"/>
      </w:pPr>
      <w:r>
        <w:t xml:space="preserve">10.7. В подтверждение заявленных требований к претензии должны быть приложены </w:t>
      </w:r>
      <w:r>
        <w:t xml:space="preserve">надлежащим образом оформленные и заверенные необходимые документы, которые отсутствуют у Стороны-адресата, их копии либо выписки из них.</w:t>
      </w:r>
      <w:r/>
    </w:p>
    <w:p>
      <w:pPr>
        <w:pStyle w:val="966"/>
        <w:ind w:firstLine="709"/>
        <w:jc w:val="both"/>
      </w:pPr>
      <w:r>
        <w:t xml:space="preserve">10.8.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  <w:r/>
    </w:p>
    <w:p>
      <w:pPr>
        <w:pStyle w:val="966"/>
        <w:ind w:firstLine="709"/>
        <w:jc w:val="both"/>
      </w:pPr>
      <w:r>
        <w:t xml:space="preserve">10.9. </w:t>
      </w:r>
      <w:r>
        <w:t xml:space="preserve">При отклонении претензии полностью или частично либо неполучении ответа </w:t>
      </w:r>
      <w:r>
        <w:br/>
        <w:t xml:space="preserve">в установленные для ее рассмотрения сроки, либо неисполнении требований по претензии </w:t>
      </w:r>
      <w:r>
        <w:br/>
        <w:t xml:space="preserve">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  <w:r/>
    </w:p>
    <w:p>
      <w:pPr>
        <w:pStyle w:val="966"/>
        <w:jc w:val="center"/>
        <w:rPr>
          <w:b/>
        </w:rPr>
        <w:outlineLvl w:val="1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  <w:t xml:space="preserve">11. Срок действия и порядок изменения, расторжения Контракта </w:t>
      </w:r>
      <w:r>
        <w:rPr>
          <w:b/>
        </w:rPr>
        <w:br/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</w:pPr>
      <w:r/>
      <w:bookmarkStart w:id="21" w:name="Par277"/>
      <w:r/>
      <w:bookmarkEnd w:id="21"/>
      <w:r>
        <w:t xml:space="preserve">11.1. Контра</w:t>
      </w:r>
      <w:r>
        <w:t xml:space="preserve">кт вст</w:t>
      </w:r>
      <w:r>
        <w:t xml:space="preserve">упает в силу с даты его заключения обеими Сторонами и действует </w:t>
      </w:r>
      <w:r>
        <w:br/>
        <w:t xml:space="preserve">по «31» декабря 2026 г. </w:t>
      </w:r>
      <w:r>
        <w:rPr>
          <w:highlight w:val="none"/>
        </w:rPr>
        <w:t xml:space="preserve">(включительно)</w:t>
      </w:r>
      <w:r>
        <w:rPr>
          <w:color w:val="000000" w:themeColor="text1"/>
          <w:highlight w:val="none"/>
        </w:rPr>
        <w:t xml:space="preserve">,</w:t>
      </w:r>
      <w:r>
        <w:rPr>
          <w:color w:val="000000" w:themeColor="text1"/>
          <w:highlight w:val="none"/>
        </w:rPr>
        <w:t xml:space="preserve"> </w:t>
      </w:r>
      <w:r>
        <w:rPr>
          <w:color w:val="000000" w:themeColor="text1"/>
          <w:highlight w:val="none"/>
        </w:rPr>
        <w:t xml:space="preserve">а в части неисполненных обязательств – до полного </w:t>
        <w:br/>
        <w:t xml:space="preserve">их исполнения Сторонами. Окончание срока действия Контракта не влечет прекращения неисполненных обязательств Сторон по Контракту.</w:t>
      </w:r>
      <w:r>
        <w:t xml:space="preserve"> </w:t>
      </w:r>
      <w:r/>
    </w:p>
    <w:p>
      <w:pPr>
        <w:pStyle w:val="966"/>
        <w:ind w:firstLine="709"/>
        <w:jc w:val="both"/>
      </w:pPr>
      <w:r>
        <w:t xml:space="preserve">11.2. Изменение условий Контракта при его исполнении не допускается, за исключением случаев, предусмотренных Законом.</w:t>
      </w:r>
      <w:r/>
    </w:p>
    <w:p>
      <w:pPr>
        <w:pStyle w:val="966"/>
        <w:ind w:firstLine="709"/>
        <w:jc w:val="both"/>
      </w:pPr>
      <w:r>
        <w:t xml:space="preserve">11.3. Изменения, предусмотренные Контрактом, могут быть осуществлены Заказчиком, </w:t>
        <w:br/>
        <w:t xml:space="preserve">как получ</w:t>
      </w:r>
      <w:r>
        <w:t xml:space="preserve">ателем бюджетных средств в пределах,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  <w:r/>
    </w:p>
    <w:p>
      <w:pPr>
        <w:pStyle w:val="966"/>
        <w:ind w:firstLine="709"/>
        <w:jc w:val="both"/>
      </w:pPr>
      <w:r>
        <w:t xml:space="preserve">11.4. Изменения и дополнения по основаниям, предусмотренным Контрактом, вносятся </w:t>
      </w:r>
      <w:r>
        <w:br/>
        <w:t xml:space="preserve">по соглашению Сторон, которые оформляются соответствующими дополнительными соглашениями и являются неотъемлемой частью Контракта.</w:t>
      </w:r>
      <w:r/>
    </w:p>
    <w:p>
      <w:pPr>
        <w:pStyle w:val="966"/>
        <w:ind w:firstLine="709"/>
        <w:jc w:val="both"/>
      </w:pPr>
      <w:r>
        <w:t xml:space="preserve">11.5. Расторжение Контракта допускается по соглашению Сторон, по решению суда, </w:t>
      </w:r>
      <w:r>
        <w:br/>
        <w:t xml:space="preserve">в случае одностороннего отказа Стороны от исп</w:t>
      </w:r>
      <w:r>
        <w:t xml:space="preserve">олнения Контракта в соответствии </w:t>
      </w:r>
      <w:r>
        <w:br/>
        <w:t xml:space="preserve"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  <w:r/>
    </w:p>
    <w:p>
      <w:pPr>
        <w:ind w:firstLine="709"/>
        <w:jc w:val="both"/>
      </w:pPr>
      <w:r>
        <w:t xml:space="preserve">11.6. Стороны вправе отка</w:t>
      </w:r>
      <w:r>
        <w:t xml:space="preserve">заться от исполнения Контракта в одностороннем порядке </w:t>
      </w:r>
      <w:r>
        <w:br/>
        <w:t xml:space="preserve">в соответствии с положениями </w:t>
      </w:r>
      <w:hyperlink r:id="rId13" w:tooltip="consultantplus://offline/ref=2877D3D3AA872E733B5E7DF4B135E30F4BA62155F695B97A3C12631FADB02578F7897666E0D3EE740E05A372651CED7806DA201A5E5E4509n2D2R" w:history="1">
        <w:r>
          <w:t xml:space="preserve">частей 8</w:t>
        </w:r>
      </w:hyperlink>
      <w:r>
        <w:t xml:space="preserve">-</w:t>
      </w:r>
      <w:hyperlink r:id="rId14" w:tooltip="consultantplus://offline/ref=2877D3D3AA872E733B5E7DF4B135E30F4BA62155F695B97A3C12631FADB02578F7897666E0D3EE740305A372651CED7806DA201A5E5E4509n2D2R" w:history="1">
        <w:r>
          <w:t xml:space="preserve">11</w:t>
        </w:r>
      </w:hyperlink>
      <w:r>
        <w:t xml:space="preserve">, </w:t>
      </w:r>
      <w:hyperlink r:id="rId15" w:tooltip="consultantplus://offline/ref=2877D3D3AA872E733B5E7DF4B135E30F4BA62155F695B97A3C12631FADB02578F7897666E0D3EE750B05A372651CED7806DA201A5E5E4509n2D2R" w:history="1">
        <w:r>
          <w:t xml:space="preserve">13</w:t>
        </w:r>
      </w:hyperlink>
      <w:r>
        <w:t xml:space="preserve">-</w:t>
      </w:r>
      <w:hyperlink r:id="rId16" w:tooltip="consultantplus://offline/ref=2877D3D3AA872E733B5E7DF4B135E30F4BA62155F695B97A3C12631FADB02578F7897666E0D3EA7F0E05A372651CED7806DA201A5E5E4509n2D2R" w:history="1">
        <w:r>
          <w:t xml:space="preserve">19</w:t>
        </w:r>
      </w:hyperlink>
      <w:r>
        <w:t xml:space="preserve">, </w:t>
      </w:r>
      <w:hyperlink r:id="rId17" w:tooltip="consultantplus://offline/ref=2877D3D3AA872E733B5E7DF4B135E30F4BA62155F695B97A3C12631FADB02578F7897666E0D3EE750305A372651CED7806DA201A5E5E4509n2D2R" w:history="1">
        <w:r>
          <w:t xml:space="preserve">21</w:t>
        </w:r>
      </w:hyperlink>
      <w:r>
        <w:t xml:space="preserve">-</w:t>
      </w:r>
      <w:hyperlink r:id="rId18" w:tooltip="consultantplus://offline/ref=2877D3D3AA872E733B5E7DF4B135E30F4BA62155F695B97A3C12631FADB02578F7897666E0D3EE720B05A372651CED7806DA201A5E5E4509n2D2R" w:history="1">
        <w:r>
          <w:t xml:space="preserve">23 статьи 95</w:t>
        </w:r>
      </w:hyperlink>
      <w:r>
        <w:t xml:space="preserve"> Закона.</w:t>
      </w:r>
      <w:r/>
    </w:p>
    <w:p>
      <w:pPr>
        <w:ind w:firstLine="709"/>
        <w:jc w:val="both"/>
      </w:pPr>
      <w:r>
        <w:t xml:space="preserve">11.7. Заказчик вправе принять решение об </w:t>
      </w:r>
      <w:r>
        <w:t xml:space="preserve">одностороннем отказе от исполнения Контракта по основаниям, предусмотренным Гражданским кодексом Российской Федерации </w:t>
      </w:r>
      <w:r>
        <w:br/>
        <w:t xml:space="preserve">для одностороннего отказа от исполнения отдельных видов обязательств.</w:t>
      </w:r>
      <w:r/>
    </w:p>
    <w:p>
      <w:pPr>
        <w:ind w:firstLine="709"/>
        <w:jc w:val="both"/>
      </w:pPr>
      <w:r>
        <w:t xml:space="preserve">11.8. Решение Заказчика об одностороннем отказе от исполнения Контр</w:t>
      </w:r>
      <w:r>
        <w:t xml:space="preserve">акта вступает </w:t>
      </w:r>
      <w:r>
        <w:br/>
        <w:t xml:space="preserve">в силу,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  <w:r/>
    </w:p>
    <w:p>
      <w:pPr>
        <w:ind w:firstLine="709"/>
        <w:jc w:val="both"/>
      </w:pPr>
      <w:r>
        <w:rPr>
          <w:szCs w:val="20"/>
        </w:rPr>
        <w:t xml:space="preserve">11.9. З</w:t>
      </w:r>
      <w:r>
        <w:t xml:space="preserve">аказчик не позднее 2 (Двух) рабочих дней, следующих за днем вступл</w:t>
      </w:r>
      <w:r>
        <w:t xml:space="preserve">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обязательств, предусмотренных Контрактом, направляет в соответствии с порядком, предусмотренным пунктом 1 части </w:t>
      </w:r>
      <w:r>
        <w:t xml:space="preserve">10 статьи 104 Закона, обращение о включении информации об Исполнителе в реестр недобросовестных поставщиков (подрядчиков, исполнителей).</w:t>
      </w:r>
      <w:r/>
    </w:p>
    <w:p>
      <w:pPr>
        <w:ind w:firstLine="709"/>
        <w:jc w:val="both"/>
      </w:pPr>
      <w:r>
        <w:t xml:space="preserve">11.10. Заказчик обязан отменить не вступившее в силу решение об одностороннем отказе </w:t>
      </w:r>
      <w:r>
        <w:br/>
        <w:t xml:space="preserve">от исполнения Контракта, если в т</w:t>
      </w:r>
      <w:r>
        <w:t xml:space="preserve">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</w:t>
      </w:r>
      <w:r>
        <w:br/>
        <w:t xml:space="preserve">а также Заказчику комп</w:t>
      </w:r>
      <w:r>
        <w:t xml:space="preserve">енсированы затраты на проведение экспертизы, предусмотренной подпунктом</w:t>
      </w:r>
      <w:r>
        <w:rPr>
          <w:highlight w:val="white"/>
        </w:rPr>
        <w:t xml:space="preserve"> </w:t>
      </w:r>
      <w:r>
        <w:rPr>
          <w:highlight w:val="white"/>
        </w:rPr>
        <w:t xml:space="preserve">4.4.7. пункта 4.4. </w:t>
      </w:r>
      <w:r>
        <w:rPr>
          <w:highlight w:val="white"/>
        </w:rPr>
        <w:t xml:space="preserve">К</w:t>
      </w:r>
      <w:r>
        <w:t xml:space="preserve">онтракта. </w:t>
      </w:r>
      <w:r/>
    </w:p>
    <w:p>
      <w:pPr>
        <w:ind w:firstLine="709"/>
        <w:jc w:val="both"/>
      </w:pPr>
      <w:r>
        <w:t xml:space="preserve"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</w:t>
      </w:r>
      <w:r>
        <w:br/>
      </w:r>
      <w:r>
        <w:t xml:space="preserve">для одностороннего отказа Заказчика от исполнения Контракта.</w:t>
      </w:r>
      <w:r>
        <w:rPr>
          <w:rStyle w:val="930"/>
        </w:rPr>
        <w:t xml:space="preserve"> </w:t>
      </w:r>
      <w:r/>
    </w:p>
    <w:p>
      <w:pPr>
        <w:ind w:firstLine="709"/>
        <w:jc w:val="both"/>
      </w:pPr>
      <w:r>
        <w:t xml:space="preserve">11.11.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</w:t>
      </w:r>
      <w:r>
        <w:br/>
        <w:t xml:space="preserve">для одностороннего отказа от и</w:t>
      </w:r>
      <w:r>
        <w:t xml:space="preserve">сполнения отдельных видов обязательств.</w:t>
      </w:r>
      <w:r/>
    </w:p>
    <w:p>
      <w:pPr>
        <w:ind w:firstLine="709"/>
        <w:jc w:val="both"/>
      </w:pPr>
      <w:r>
        <w:t xml:space="preserve">11.12. Решение Исполнителя об одностороннем отказе от исполнения Контракта вступает </w:t>
      </w:r>
      <w:r>
        <w:br/>
        <w:t xml:space="preserve">в силу и Контракт считается расторгнутым через 10 (Десять) дней с даты надлежащего уведомления Исполнителем Заказчика об односторон</w:t>
      </w:r>
      <w:r>
        <w:t xml:space="preserve">нем отказе от исполнения Контракта.</w:t>
      </w:r>
      <w:r/>
    </w:p>
    <w:p>
      <w:pPr>
        <w:ind w:firstLine="709"/>
        <w:jc w:val="both"/>
      </w:pPr>
      <w:r>
        <w:t xml:space="preserve">Заказчик не позднее 2 (Двух) рабочих дней, следующих за днем вступления в силу решения Исполнителя об одностороннем отказе от исполнения Контракта, направляет в соответствии </w:t>
      </w:r>
      <w:r>
        <w:br/>
        <w:t xml:space="preserve">с порядком, предусмотренным пунктом 1 части 1</w:t>
      </w:r>
      <w:r>
        <w:t xml:space="preserve">0 статьи 104 Закона, обращение о включении информации об Исполнителе в реестр недобросовестных поставщиков (подрядчиков, исполнителей).</w:t>
      </w:r>
      <w:r/>
    </w:p>
    <w:p>
      <w:pPr>
        <w:ind w:firstLine="709"/>
        <w:jc w:val="both"/>
      </w:pPr>
      <w:r>
        <w:t xml:space="preserve">11.13. Исполнитель обязан отменить не вступившее в силу решение об одностороннем отказе от исполнения Контракта, если в </w:t>
      </w:r>
      <w:r>
        <w:t xml:space="preserve">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  <w:r>
        <w:rPr>
          <w:highlight w:val="none"/>
        </w:rPr>
      </w:r>
      <w:r/>
    </w:p>
    <w:p>
      <w:pPr>
        <w:jc w:val="center"/>
        <w:widowControl w:val="off"/>
        <w:rPr>
          <w:b/>
          <w:bCs/>
        </w:rPr>
      </w:pPr>
      <w:r>
        <w:rPr>
          <w:b/>
          <w:bCs/>
        </w:rPr>
        <w:t xml:space="preserve">12. </w:t>
      </w:r>
      <w:r>
        <w:rPr>
          <w:b/>
          <w:bCs/>
        </w:rPr>
        <w:t xml:space="preserve">Антикоррупционная</w:t>
      </w:r>
      <w:r>
        <w:rPr>
          <w:b/>
          <w:bCs/>
        </w:rPr>
        <w:t xml:space="preserve"> оговорка</w:t>
      </w:r>
      <w:r>
        <w:rPr>
          <w:b/>
          <w:bCs/>
        </w:rPr>
      </w:r>
      <w:r>
        <w:rPr>
          <w:b/>
          <w:bCs/>
        </w:rPr>
      </w:r>
    </w:p>
    <w:p>
      <w:pPr>
        <w:ind w:firstLine="567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567" w:leader="none"/>
        </w:tabs>
      </w:pPr>
      <w:r>
        <w:t xml:space="preserve">12.1. </w:t>
      </w:r>
      <w:r>
        <w:rPr>
          <w:bCs/>
        </w:rPr>
        <w:t xml:space="preserve">При исполнении своих обязательств по Контракту Стороны обязуются не совершать, </w:t>
      </w:r>
      <w:r>
        <w:rPr>
          <w:bCs/>
        </w:rPr>
        <w:br/>
        <w:t xml:space="preserve">а также обязуются обеспечивать, чтобы их </w:t>
      </w:r>
      <w:r>
        <w:rPr>
          <w:bCs/>
        </w:rPr>
        <w:t xml:space="preserve">аффилированные</w:t>
      </w:r>
      <w:r>
        <w:rPr>
          <w:bCs/>
        </w:rPr>
        <w:t xml:space="preserve"> лица, сотрудники и посредники </w:t>
      </w:r>
      <w:r>
        <w:rPr>
          <w:bCs/>
        </w:rPr>
        <w:br/>
        <w:t xml:space="preserve">не совершали прямо или косвенно следующих действий:</w:t>
      </w:r>
      <w:r/>
    </w:p>
    <w:p>
      <w:pPr>
        <w:ind w:firstLine="709"/>
        <w:jc w:val="both"/>
        <w:rPr>
          <w:bCs/>
        </w:rPr>
      </w:pPr>
      <w:r>
        <w:rPr>
          <w:bCs/>
        </w:rPr>
        <w:t xml:space="preserve">– платить или предлагать уплатить денежные средства или предоставить иные ценности, безвозмездно выполнить работы (оказать ус</w:t>
      </w:r>
      <w:r>
        <w:rPr>
          <w:bCs/>
        </w:rPr>
        <w:t xml:space="preserve">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</w:t>
      </w:r>
      <w:r>
        <w:rPr>
          <w:bCs/>
        </w:rPr>
        <w:t xml:space="preserve">аффилированных</w:t>
      </w:r>
      <w:r>
        <w:rPr>
          <w:bCs/>
        </w:rPr>
        <w:t xml:space="preserve"> лиц, работников или посредников, действующих по Контракту;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bCs/>
        </w:rPr>
      </w:pPr>
      <w:r>
        <w:rPr>
          <w:bCs/>
        </w:rPr>
        <w:t xml:space="preserve">–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bCs/>
        </w:rPr>
        <w:br/>
        <w:t xml:space="preserve">ее </w:t>
      </w:r>
      <w:r>
        <w:rPr>
          <w:bCs/>
        </w:rPr>
        <w:t xml:space="preserve">аффилированным</w:t>
      </w:r>
      <w:r>
        <w:rPr>
          <w:bCs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rPr>
          <w:bCs/>
        </w:rPr>
      </w:pPr>
      <w:r>
        <w:rPr>
          <w:bCs/>
        </w:rPr>
        <w:t xml:space="preserve">– не совершать иных действий, нарушающих </w:t>
      </w:r>
      <w:r>
        <w:rPr>
          <w:bCs/>
        </w:rPr>
        <w:t xml:space="preserve">антикоррупционное</w:t>
      </w:r>
      <w:r>
        <w:rPr>
          <w:bCs/>
        </w:rPr>
        <w:t xml:space="preserve"> законодательство Российской Федерации.</w:t>
      </w:r>
      <w:r>
        <w:rPr>
          <w:bCs/>
        </w:rPr>
      </w:r>
      <w:r>
        <w:rPr>
          <w:bCs/>
        </w:rPr>
      </w:r>
    </w:p>
    <w:p>
      <w:pPr>
        <w:pStyle w:val="966"/>
        <w:jc w:val="center"/>
        <w:rPr>
          <w:b/>
          <w:bCs/>
          <w:highlight w:val="none"/>
        </w:rPr>
        <w:outlineLvl w:val="1"/>
      </w:pPr>
      <w:r>
        <w:rPr>
          <w:b/>
        </w:rPr>
        <w:t xml:space="preserve">13. Прочие положения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6"/>
        <w:ind w:firstLine="709"/>
        <w:jc w:val="both"/>
      </w:pPr>
      <w:r/>
      <w:r/>
    </w:p>
    <w:p>
      <w:pPr>
        <w:pStyle w:val="966"/>
        <w:ind w:firstLine="709"/>
        <w:jc w:val="both"/>
      </w:pPr>
      <w:r>
        <w:t xml:space="preserve">13.1. Во всем, что не оговорено в Контракте, Стороны руководствуются действующим законодательством Российской Федерации.</w:t>
      </w:r>
      <w:r/>
    </w:p>
    <w:p>
      <w:pPr>
        <w:pStyle w:val="966"/>
        <w:ind w:firstLine="709"/>
        <w:jc w:val="both"/>
      </w:pPr>
      <w:r>
        <w:t xml:space="preserve">13.2.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3 (Трех) рабочих дней </w:t>
      </w:r>
      <w:r>
        <w:t xml:space="preserve">с даты</w:t>
      </w:r>
      <w:r>
        <w:t xml:space="preserve"> такого изменения. При этом если Поставщик </w:t>
      </w:r>
      <w:r>
        <w:br/>
        <w:t xml:space="preserve">не </w:t>
      </w:r>
      <w:r>
        <w:t xml:space="preserve">исполнит</w:t>
      </w:r>
      <w:r>
        <w:t xml:space="preserve">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</w:t>
      </w:r>
      <w:r>
        <w:br/>
        <w:t xml:space="preserve">в Контракте счет, несет Поставщик.</w:t>
      </w:r>
      <w:r/>
    </w:p>
    <w:p>
      <w:pPr>
        <w:pStyle w:val="966"/>
        <w:ind w:firstLine="709"/>
        <w:jc w:val="both"/>
      </w:pPr>
      <w:r>
        <w:t xml:space="preserve">13.3. 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</w:t>
      </w:r>
      <w:r>
        <w:t xml:space="preserve">спользованием почтовой связи заказным письмом с уведомлением о вручении по адресам Сторон, указанным в разделе 15 Контракта, либо с использованием электронной почты </w:t>
      </w:r>
      <w:r>
        <w:br/>
        <w:t xml:space="preserve">на электронные адреса, указанные в разделе 15 Контракта, либо с использованием факсимильно</w:t>
      </w:r>
      <w:r>
        <w:t xml:space="preserve">й связи.</w:t>
      </w:r>
      <w:r/>
    </w:p>
    <w:p>
      <w:pPr>
        <w:pStyle w:val="966"/>
        <w:ind w:firstLine="709"/>
        <w:jc w:val="both"/>
      </w:pPr>
      <w:r>
        <w:t xml:space="preserve">Момент получения Стороной сообщения или уведомления, направленного</w:t>
      </w:r>
      <w:r>
        <w:br/>
      </w:r>
      <w:r>
        <w:t xml:space="preserve">с использованием курьерской доставки, почтовой или факсимильной связи, определяется </w:t>
      </w:r>
      <w:r>
        <w:br/>
        <w:t xml:space="preserve">в соответствии с гражданским законодательством Российской Федерации. При этом направление уведо</w:t>
      </w:r>
      <w:r>
        <w:t xml:space="preserve">млений по адресам Сторон, указанным в разделе 15 Контракта, считается надлежащим уведомлением Сторон.</w:t>
      </w:r>
      <w:r/>
    </w:p>
    <w:p>
      <w:pPr>
        <w:pStyle w:val="966"/>
        <w:ind w:firstLine="709"/>
        <w:jc w:val="both"/>
      </w:pPr>
      <w:r>
        <w:t xml:space="preserve">13.4. При исполнении Контракта не допускается перемена Исполнителя, за исключением случая, если новый Исполнитель является правопреемником Исполнителя по </w:t>
      </w:r>
      <w:r>
        <w:t xml:space="preserve">Контракту вследствие реорганизации юридического лица в форме преобразования, слияния </w:t>
      </w:r>
      <w:r>
        <w:br/>
        <w:t xml:space="preserve">или присоединения.</w:t>
      </w:r>
      <w:r/>
    </w:p>
    <w:p>
      <w:pPr>
        <w:pStyle w:val="966"/>
        <w:ind w:firstLine="709"/>
        <w:jc w:val="both"/>
      </w:pPr>
      <w:r>
        <w:t xml:space="preserve"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  <w:r/>
    </w:p>
    <w:p>
      <w:pPr>
        <w:pStyle w:val="966"/>
        <w:ind w:firstLine="709"/>
        <w:jc w:val="both"/>
      </w:pPr>
      <w:r>
        <w:t xml:space="preserve">13.5. Стороны обязуются обеспечить конфиденциальность сведений, относящихся </w:t>
      </w:r>
      <w:r>
        <w:br/>
        <w:t xml:space="preserve">к предмету Контракта и ставших им известными в ходе исполнения Контракта.</w:t>
      </w:r>
      <w:r/>
    </w:p>
    <w:p>
      <w:pPr>
        <w:pStyle w:val="966"/>
        <w:ind w:firstLine="709"/>
        <w:jc w:val="both"/>
      </w:pPr>
      <w:r>
        <w:t xml:space="preserve">13.6. Контракт составлен в форме электронного документа, подписанного усиленными электронными подписями </w:t>
      </w:r>
      <w:r>
        <w:t xml:space="preserve">Сторон.</w:t>
      </w:r>
      <w:r/>
    </w:p>
    <w:p>
      <w:pPr>
        <w:ind w:firstLine="709"/>
        <w:jc w:val="both"/>
        <w:rPr>
          <w:highlight w:val="yellow"/>
        </w:rPr>
      </w:pPr>
      <w:r>
        <w:t xml:space="preserve">13.7. </w:t>
      </w:r>
      <w:r>
        <w:rPr>
          <w:bCs/>
        </w:rPr>
        <w:t xml:space="preserve">Должностное лицо Заказчика, ответственное за исполнение Контракта </w:t>
      </w:r>
      <w:r>
        <w:t xml:space="preserve">– контрактный управляющий – </w:t>
      </w:r>
      <w:r>
        <w:rPr>
          <w:color w:val="000000"/>
        </w:rPr>
        <w:t xml:space="preserve">начальник отдела государственных закупок и материального обеспечения Маликова Анна Владимировна, тел.: (812) 576-27-54, адрес электронной почты: </w:t>
      </w:r>
      <w:r>
        <w:rPr>
          <w:color w:val="000000"/>
        </w:rPr>
      </w:r>
      <w:hyperlink r:id="rId19" w:tooltip="mailto:a.malikova@kga.gov.spb.ru." w:history="1">
        <w:r>
          <w:rPr>
            <w:rStyle w:val="906"/>
            <w:color w:val="000000" w:themeColor="text1"/>
            <w:u w:val="none"/>
          </w:rPr>
          <w:t xml:space="preserve">a.m</w:t>
        </w:r>
        <w:r>
          <w:rPr>
            <w:rStyle w:val="906"/>
            <w:color w:val="000000" w:themeColor="text1"/>
            <w:u w:val="none"/>
          </w:rPr>
          <w:t xml:space="preserve">alikova@kga.gov.spb.ru</w:t>
        </w:r>
        <w:r>
          <w:rPr>
            <w:rStyle w:val="906"/>
            <w:color w:val="000000" w:themeColor="text1"/>
            <w:u w:val="none"/>
          </w:rPr>
          <w:t xml:space="preserve">. </w:t>
        </w:r>
      </w:hyperlink>
      <w:r>
        <w:rPr>
          <w:color w:val="000000"/>
        </w:rPr>
        <w:t xml:space="preserve">  </w:t>
      </w:r>
      <w:r>
        <w:rPr>
          <w:highlight w:val="yellow"/>
        </w:rPr>
        <w:t xml:space="preserve"> </w:t>
      </w:r>
      <w:r>
        <w:rPr>
          <w:highlight w:val="yellow"/>
        </w:rPr>
      </w:r>
      <w:r>
        <w:rPr>
          <w:highlight w:val="yellow"/>
        </w:rPr>
      </w:r>
    </w:p>
    <w:p>
      <w:pPr>
        <w:pStyle w:val="966"/>
        <w:jc w:val="center"/>
        <w:outlineLvl w:val="1"/>
      </w:pPr>
      <w:r>
        <w:rPr>
          <w:b/>
        </w:rPr>
        <w:t xml:space="preserve">14. Перечень приложений</w:t>
      </w:r>
      <w:r>
        <w:t xml:space="preserve"> </w:t>
      </w:r>
      <w:r/>
    </w:p>
    <w:p>
      <w:pPr>
        <w:pStyle w:val="966"/>
        <w:ind w:firstLine="709"/>
        <w:jc w:val="both"/>
      </w:pPr>
      <w:r/>
      <w:r/>
    </w:p>
    <w:p>
      <w:pPr>
        <w:pStyle w:val="966"/>
        <w:ind w:firstLine="709"/>
        <w:jc w:val="both"/>
      </w:pPr>
      <w:r>
        <w:t xml:space="preserve">Неотъемлемой частью Контракта является следующее:</w:t>
      </w:r>
      <w:r/>
    </w:p>
    <w:p>
      <w:pPr>
        <w:pStyle w:val="966"/>
        <w:ind w:firstLine="709"/>
        <w:jc w:val="both"/>
      </w:pPr>
      <w:r>
        <w:t xml:space="preserve">Приложение № 1 – Спецификация.</w:t>
      </w:r>
      <w:r/>
    </w:p>
    <w:p>
      <w:pPr>
        <w:pStyle w:val="966"/>
        <w:rPr>
          <w:b/>
        </w:rPr>
        <w:outlineLvl w:val="1"/>
      </w:pPr>
      <w:r/>
      <w:bookmarkStart w:id="22" w:name="Par308"/>
      <w:r/>
      <w:bookmarkEnd w:id="22"/>
      <w:r>
        <w:rPr>
          <w:b/>
        </w:rPr>
      </w:r>
      <w:r>
        <w:rPr>
          <w:b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  <w:t xml:space="preserve">15. Адреса, банковские реквизиты и подписи Сторон:</w:t>
      </w:r>
      <w:bookmarkStart w:id="23" w:name="Par328"/>
      <w:r/>
      <w:bookmarkEnd w:id="23"/>
      <w:r>
        <w:rPr>
          <w:b/>
        </w:rPr>
      </w:r>
      <w:r>
        <w:rPr>
          <w:b/>
        </w:rPr>
      </w:r>
    </w:p>
    <w:p>
      <w:pPr>
        <w:pStyle w:val="966"/>
        <w:jc w:val="center"/>
        <w:rPr>
          <w:b/>
        </w:rPr>
        <w:outlineLvl w:val="1"/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055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588"/>
        <w:gridCol w:w="147"/>
        <w:gridCol w:w="4817"/>
      </w:tblGrid>
      <w:tr>
        <w:tblPrEx/>
        <w:trPr/>
        <w:tc>
          <w:tcPr>
            <w:tcW w:w="5588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shd w:val="clear" w:color="auto" w:fill="ffffff"/>
              <w:tabs>
                <w:tab w:val="left" w:pos="-108" w:leader="none"/>
              </w:tabs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Санкт-Петербургское государственное казенное учреждение «Научно-исследовательский</w:t>
            </w:r>
            <w:r>
              <w:rPr>
                <w:b/>
                <w:lang w:eastAsia="ar-SA"/>
              </w:rPr>
              <w:br/>
              <w:t xml:space="preserve">и проектный центр Генерального плана</w:t>
            </w:r>
            <w:r>
              <w:rPr>
                <w:b/>
                <w:lang w:eastAsia="ar-SA"/>
              </w:rPr>
              <w:br/>
              <w:t xml:space="preserve">Санкт-Петербурга»</w:t>
            </w:r>
            <w:r>
              <w:rPr>
                <w:b/>
                <w:lang w:eastAsia="ar-SA"/>
              </w:rPr>
            </w:r>
            <w:r>
              <w:rPr>
                <w:b/>
                <w:lang w:eastAsia="ar-SA"/>
              </w:rPr>
            </w:r>
          </w:p>
          <w:p>
            <w:pPr>
              <w:ind w:right="-167"/>
              <w:shd w:val="clear" w:color="auto" w:fill="ffffff"/>
              <w:tabs>
                <w:tab w:val="left" w:pos="-108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Юридический и фактический адрес: 191023,</w:t>
            </w:r>
            <w:r>
              <w:rPr>
                <w:lang w:eastAsia="ar-SA"/>
              </w:rPr>
              <w:br/>
              <w:t xml:space="preserve">Санкт-Петербург, ул. Зодчего Росси, дом 1-3,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-167"/>
              <w:shd w:val="clear" w:color="auto" w:fill="ffffff"/>
              <w:tabs>
                <w:tab w:val="left" w:pos="-108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литера</w:t>
            </w:r>
            <w:r>
              <w:rPr>
                <w:lang w:eastAsia="ar-SA"/>
              </w:rPr>
              <w:t xml:space="preserve"> А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-167"/>
              <w:rPr>
                <w:lang w:eastAsia="ar-SA"/>
              </w:rPr>
            </w:pPr>
            <w:r>
              <w:rPr>
                <w:lang w:eastAsia="ar-SA"/>
              </w:rPr>
              <w:t xml:space="preserve">тел. (812) 576-27-73, факс (812) 576-27-74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-167"/>
              <w:rPr>
                <w:lang w:eastAsia="ar-SA"/>
              </w:rPr>
            </w:pPr>
            <w:r>
              <w:rPr>
                <w:lang w:val="en-US" w:eastAsia="ar-SA"/>
              </w:rPr>
              <w:t xml:space="preserve">E</w:t>
            </w:r>
            <w:r>
              <w:rPr>
                <w:lang w:eastAsia="ar-SA"/>
              </w:rPr>
              <w:t xml:space="preserve">-</w:t>
            </w:r>
            <w:r>
              <w:rPr>
                <w:lang w:val="en-US" w:eastAsia="ar-SA"/>
              </w:rPr>
              <w:t xml:space="preserve">mail</w:t>
            </w:r>
            <w:r>
              <w:rPr>
                <w:lang w:eastAsia="ar-SA"/>
              </w:rPr>
              <w:t xml:space="preserve">: </w:t>
            </w:r>
            <w:r>
              <w:rPr>
                <w:lang w:val="en-US" w:eastAsia="ar-SA"/>
              </w:rPr>
              <w:t xml:space="preserve">secretar</w:t>
            </w:r>
            <w:r>
              <w:rPr>
                <w:lang w:eastAsia="ar-SA"/>
              </w:rPr>
              <w:t xml:space="preserve">@</w:t>
            </w:r>
            <w:r>
              <w:rPr>
                <w:lang w:val="en-US" w:eastAsia="ar-SA"/>
              </w:rPr>
              <w:t xml:space="preserve">gugenplan</w:t>
            </w:r>
            <w:r>
              <w:rPr>
                <w:lang w:eastAsia="ar-SA"/>
              </w:rPr>
              <w:t xml:space="preserve">.</w:t>
            </w:r>
            <w:r>
              <w:rPr>
                <w:lang w:val="en-US" w:eastAsia="ar-SA"/>
              </w:rPr>
              <w:t xml:space="preserve">spb</w:t>
            </w:r>
            <w:r>
              <w:rPr>
                <w:lang w:eastAsia="ar-SA"/>
              </w:rPr>
              <w:t xml:space="preserve">.</w:t>
            </w:r>
            <w:r>
              <w:rPr>
                <w:lang w:val="en-US" w:eastAsia="ar-SA"/>
              </w:rPr>
              <w:t xml:space="preserve">ru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-167"/>
              <w:rPr>
                <w:lang w:eastAsia="ar-SA"/>
              </w:rPr>
            </w:pPr>
            <w:r>
              <w:rPr>
                <w:lang w:eastAsia="ar-SA"/>
              </w:rPr>
              <w:t xml:space="preserve">ИНН 7840309990, КПП 784001001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Получатель: Комитет финансов Санкт-Петербурга,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СПб ГКУ «НИПЦ Генплана Санкт-Петербурга», 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л</w:t>
            </w:r>
            <w:r>
              <w:rPr>
                <w:lang w:eastAsia="ar-SA"/>
              </w:rPr>
              <w:t xml:space="preserve">/с 0110001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Банковский счет: 40102810945370000005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Казначейский счет: 03221643400000007200 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БИК: 014030106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widowControl w:val="off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  <w:t xml:space="preserve">Банк: ОКЦ № 1 Северо-Западного ГУ Банка России//УФК по г. Санкт-Петербургу, </w:t>
            </w:r>
            <w:r>
              <w:rPr>
                <w:lang w:eastAsia="ar-SA"/>
              </w:rPr>
              <w:br/>
              <w:t xml:space="preserve">г. Санкт-Петербург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ind w:right="34"/>
              <w:tabs>
                <w:tab w:val="left" w:pos="4286" w:leader="none"/>
              </w:tabs>
              <w:rPr>
                <w:lang w:eastAsia="ar-SA"/>
              </w:rPr>
            </w:pPr>
            <w:r>
              <w:rPr>
                <w:lang w:eastAsia="ar-SA"/>
              </w:rPr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jc w:val="both"/>
              <w:widowControl w:val="off"/>
              <w:rPr>
                <w:lang w:eastAsia="ar-SA"/>
              </w:rPr>
            </w:pPr>
            <w:r>
              <w:rPr>
                <w:lang w:eastAsia="ar-SA"/>
              </w:rPr>
              <w:t xml:space="preserve">_____________________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  <w:tc>
          <w:tcPr>
            <w:tcW w:w="147" w:type="dxa"/>
            <w:textDirection w:val="lrTb"/>
            <w:noWrap w:val="false"/>
          </w:tcPr>
          <w:p>
            <w:pPr>
              <w:jc w:val="both"/>
              <w:widowControl w:val="off"/>
              <w:rPr>
                <w:lang w:eastAsia="ar-SA"/>
              </w:rPr>
            </w:pPr>
            <w:r>
              <w:rPr>
                <w:lang w:eastAsia="ar-SA"/>
              </w:rPr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  <w:p>
            <w:pPr>
              <w:jc w:val="both"/>
              <w:widowControl w:val="off"/>
            </w:pPr>
            <w:r/>
            <w:r/>
          </w:p>
        </w:tc>
        <w:tc>
          <w:tcPr>
            <w:tcW w:w="481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ПОСТАВЩИК: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r>
              <w:t xml:space="preserve">Наименование Поставщика:</w:t>
            </w:r>
            <w:r/>
          </w:p>
          <w:p>
            <w:r>
              <w:t xml:space="preserve">Юридический адрес: </w:t>
            </w:r>
            <w:r/>
          </w:p>
          <w:p>
            <w:r>
              <w:t xml:space="preserve">Почтовый адрес </w:t>
            </w:r>
            <w:r>
              <w:rPr>
                <w:i/>
                <w:u w:val="single"/>
              </w:rPr>
              <w:t xml:space="preserve">(указывается при наличии)</w:t>
            </w:r>
            <w:r>
              <w:t xml:space="preserve">:</w:t>
            </w:r>
            <w:r/>
          </w:p>
          <w:p>
            <w:r>
              <w:t xml:space="preserve">ИНН:</w:t>
            </w:r>
            <w:r/>
          </w:p>
          <w:p>
            <w:r>
              <w:t xml:space="preserve">КПП:</w:t>
            </w:r>
            <w:r/>
          </w:p>
          <w:p>
            <w:r>
              <w:rPr>
                <w:highlight w:val="none"/>
              </w:rPr>
            </w:r>
            <w:r>
              <w:t xml:space="preserve">ОГРН:</w:t>
            </w:r>
            <w:r>
              <w:rPr>
                <w:highlight w:val="none"/>
              </w:rPr>
            </w:r>
            <w:r/>
          </w:p>
          <w:p>
            <w:pPr>
              <w:rPr>
                <w:highlight w:val="none"/>
              </w:rPr>
            </w:pPr>
            <w:r>
              <w:t xml:space="preserve">ОКПО: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r>
              <w:t xml:space="preserve">ОКТМО:</w:t>
            </w:r>
            <w:r/>
          </w:p>
          <w:p>
            <w:r>
              <w:t xml:space="preserve">р</w:t>
            </w:r>
            <w:r>
              <w:t xml:space="preserve">/счет:</w:t>
            </w:r>
            <w:r/>
          </w:p>
          <w:p>
            <w:r>
              <w:t xml:space="preserve">в:</w:t>
            </w:r>
            <w:r/>
          </w:p>
          <w:p>
            <w:r>
              <w:t xml:space="preserve">к</w:t>
            </w:r>
            <w:r>
              <w:t xml:space="preserve">/счет:</w:t>
            </w:r>
            <w:r/>
          </w:p>
          <w:p>
            <w:r>
              <w:t xml:space="preserve">БИК:</w:t>
            </w:r>
            <w:r/>
          </w:p>
          <w:p>
            <w:r>
              <w:t xml:space="preserve">тел.:</w:t>
            </w:r>
            <w:r/>
          </w:p>
          <w:p>
            <w:r>
              <w:t xml:space="preserve">факс:</w:t>
            </w:r>
            <w:r/>
          </w:p>
          <w:p>
            <w:r>
              <w:rPr>
                <w:lang w:val="en-US"/>
              </w:rPr>
              <w:t xml:space="preserve">E</w:t>
            </w:r>
            <w:r>
              <w:t xml:space="preserve">-</w:t>
            </w:r>
            <w:r>
              <w:rPr>
                <w:lang w:val="en-US"/>
              </w:rPr>
              <w:t xml:space="preserve">mail</w:t>
            </w:r>
            <w:r>
              <w:t xml:space="preserve">:</w:t>
            </w:r>
            <w:r/>
          </w:p>
          <w:p>
            <w:r/>
            <w:r/>
          </w:p>
          <w:p>
            <w:r/>
            <w:r/>
          </w:p>
          <w:p>
            <w:pPr>
              <w:ind w:right="-186"/>
            </w:pPr>
            <w:r/>
            <w:r/>
          </w:p>
          <w:p>
            <w:pPr>
              <w:ind w:right="-186"/>
            </w:pPr>
            <w:r/>
            <w:r/>
          </w:p>
          <w:p>
            <w:pPr>
              <w:jc w:val="both"/>
              <w:widowControl w:val="off"/>
            </w:pPr>
            <w:r/>
            <w:r/>
          </w:p>
          <w:p>
            <w:pPr>
              <w:jc w:val="both"/>
              <w:widowControl w:val="off"/>
            </w:pPr>
            <w:r>
              <w:t xml:space="preserve">_____________________</w:t>
            </w:r>
            <w:r/>
          </w:p>
        </w:tc>
      </w:tr>
    </w:tbl>
    <w:p>
      <w:p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680" w:left="1134" w:header="720" w:footer="0" w:gutter="0"/>
          <w:cols w:num="1" w:sep="0" w:space="1701" w:equalWidth="1"/>
          <w:docGrid w:linePitch="360"/>
          <w:titlePg/>
        </w:sectPr>
      </w:pPr>
      <w:r/>
      <w:r/>
    </w:p>
    <w:p>
      <w:pPr>
        <w:pStyle w:val="966"/>
        <w:ind w:left="11199"/>
        <w:jc w:val="right"/>
        <w:outlineLvl w:val="1"/>
      </w:pPr>
      <w:r>
        <w:t xml:space="preserve">Приложение № 1 к Контракту</w:t>
      </w:r>
      <w:r>
        <w:br/>
        <w:t xml:space="preserve">от «__</w:t>
      </w:r>
      <w:r>
        <w:rPr>
          <w:b/>
        </w:rPr>
      </w:r>
      <w:r/>
    </w:p>
    <w:p>
      <w:pPr>
        <w:pStyle w:val="966"/>
        <w:jc w:val="center"/>
        <w:rPr>
          <w:b/>
        </w:rPr>
      </w:pPr>
      <w:r>
        <w:rPr>
          <w:b/>
        </w:rPr>
        <w:t xml:space="preserve">Спецификация</w:t>
      </w:r>
      <w:r>
        <w:rPr>
          <w:b/>
        </w:rPr>
      </w:r>
      <w:r>
        <w:rPr>
          <w:b/>
        </w:rPr>
      </w:r>
    </w:p>
    <w:p>
      <w:pPr>
        <w:pStyle w:val="966"/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23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0"/>
        <w:gridCol w:w="1602"/>
        <w:gridCol w:w="1336"/>
        <w:gridCol w:w="3520"/>
        <w:gridCol w:w="1791"/>
        <w:gridCol w:w="1276"/>
        <w:gridCol w:w="1276"/>
        <w:gridCol w:w="2268"/>
        <w:gridCol w:w="1701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0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/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2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Товара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6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Товарный знак (при наличии)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20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страны происхождения Товара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Единицы измерения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в единицах измерения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Цена за единицу измерения,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(включая НДС) (если облагается НДС)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Стоимость,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(включая НДС) (если облагается НДС)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0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2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6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20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/>
            <w:bookmarkStart w:id="24" w:name="Par345"/>
            <w:r/>
            <w:bookmarkEnd w:id="24"/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  <w:lang w:val="en-US"/>
              </w:rPr>
            </w:pPr>
            <w:r/>
            <w:bookmarkStart w:id="25" w:name="Par346"/>
            <w:r/>
            <w:bookmarkEnd w:id="25"/>
            <w:r>
              <w:rPr>
                <w:sz w:val="22"/>
                <w:szCs w:val="22"/>
                <w:lang w:val="en-US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  <w:lang w:val="en-US"/>
              </w:rPr>
            </w:pPr>
            <w:r/>
            <w:bookmarkStart w:id="26" w:name="Par348"/>
            <w:r/>
            <w:bookmarkEnd w:id="26"/>
            <w:r>
              <w:rPr>
                <w:sz w:val="22"/>
                <w:szCs w:val="22"/>
                <w:lang w:val="en-US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0" w:type="dxa"/>
            <w:textDirection w:val="lrTb"/>
            <w:noWrap w:val="false"/>
          </w:tcPr>
          <w:p>
            <w:pPr>
              <w:pStyle w:val="966"/>
              <w:jc w:val="center"/>
              <w:rPr>
                <w:sz w:val="22"/>
                <w:szCs w:val="22"/>
              </w:rPr>
            </w:pPr>
            <w:r/>
            <w:bookmarkStart w:id="27" w:name="Par349"/>
            <w:r/>
            <w:bookmarkEnd w:id="27"/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2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6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20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1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6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966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66"/>
        <w:ind w:left="5954"/>
        <w:jc w:val="both"/>
        <w:rPr>
          <w:i/>
          <w:sz w:val="22"/>
          <w:szCs w:val="22"/>
        </w:rPr>
        <w:outlineLvl w:val="1"/>
      </w:pPr>
      <w:r>
        <w:rPr>
          <w:i/>
          <w:sz w:val="22"/>
          <w:szCs w:val="22"/>
        </w:rPr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966"/>
        <w:ind w:left="5954"/>
        <w:jc w:val="both"/>
        <w:rPr>
          <w:i/>
          <w:sz w:val="22"/>
          <w:szCs w:val="22"/>
        </w:rPr>
        <w:outlineLvl w:val="1"/>
      </w:pPr>
      <w:r>
        <w:rPr>
          <w:i/>
          <w:sz w:val="22"/>
          <w:szCs w:val="22"/>
        </w:rPr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tbl>
      <w:tblPr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>
        <w:tblPrEx/>
        <w:trPr>
          <w:jc w:val="center"/>
        </w:trPr>
        <w:tc>
          <w:tcPr>
            <w:tcW w:w="4677" w:type="dxa"/>
            <w:textDirection w:val="lrTb"/>
            <w:noWrap w:val="false"/>
          </w:tcPr>
          <w:p>
            <w:pPr>
              <w:widowControl w:val="off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ЗАКАЗЧИК:</w:t>
            </w:r>
            <w:r>
              <w:rPr>
                <w:b/>
                <w:bCs/>
                <w:lang w:eastAsia="ar-SA"/>
              </w:rPr>
            </w:r>
            <w:r>
              <w:rPr>
                <w:b/>
                <w:bCs/>
                <w:lang w:eastAsia="ar-SA"/>
              </w:rPr>
            </w:r>
          </w:p>
          <w:p>
            <w:pPr>
              <w:widowControl w:val="off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</w:r>
            <w:r>
              <w:rPr>
                <w:b/>
                <w:bCs/>
                <w:lang w:eastAsia="ar-SA"/>
              </w:rPr>
            </w:r>
            <w:r>
              <w:rPr>
                <w:b/>
                <w:bCs/>
                <w:lang w:eastAsia="ar-SA"/>
              </w:rPr>
            </w:r>
          </w:p>
          <w:p>
            <w:pPr>
              <w:ind w:right="-186"/>
              <w:rPr>
                <w:lang w:eastAsia="ar-SA"/>
              </w:rPr>
            </w:pPr>
            <w:r>
              <w:rPr>
                <w:lang w:eastAsia="ar-SA"/>
              </w:rPr>
              <w:t xml:space="preserve">_____________________ 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  <w:tc>
          <w:tcPr>
            <w:tcW w:w="4678" w:type="dxa"/>
            <w:textDirection w:val="lrTb"/>
            <w:noWrap w:val="false"/>
          </w:tcPr>
          <w:p>
            <w:pPr>
              <w:widowControl w:val="off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ПОСТАВЩИК:</w:t>
            </w:r>
            <w:r>
              <w:rPr>
                <w:b/>
                <w:bCs/>
                <w:lang w:eastAsia="ar-SA"/>
              </w:rPr>
            </w:r>
            <w:r>
              <w:rPr>
                <w:b/>
                <w:bCs/>
                <w:lang w:eastAsia="ar-SA"/>
              </w:rPr>
            </w:r>
          </w:p>
          <w:p>
            <w:pPr>
              <w:widowControl w:val="off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</w:r>
            <w:r>
              <w:rPr>
                <w:b/>
                <w:bCs/>
                <w:lang w:eastAsia="ar-SA"/>
              </w:rPr>
            </w:r>
            <w:r>
              <w:rPr>
                <w:b/>
                <w:bCs/>
                <w:lang w:eastAsia="ar-SA"/>
              </w:rPr>
            </w:r>
          </w:p>
          <w:p>
            <w:pPr>
              <w:ind w:right="-186"/>
              <w:rPr>
                <w:lang w:eastAsia="ar-SA"/>
              </w:rPr>
            </w:pPr>
            <w:r>
              <w:rPr>
                <w:lang w:eastAsia="ar-SA"/>
              </w:rPr>
              <w:t xml:space="preserve">_____________________</w:t>
            </w:r>
            <w:r>
              <w:rPr>
                <w:lang w:eastAsia="ar-SA"/>
              </w:rPr>
            </w:r>
            <w:r>
              <w:rPr>
                <w:lang w:eastAsia="ar-SA"/>
              </w:rPr>
            </w:r>
          </w:p>
        </w:tc>
      </w:tr>
    </w:tbl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</w:p>
    <w:p>
      <w:pPr>
        <w:pStyle w:val="966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  <w:t xml:space="preserve">Техническое задание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bCs/>
        </w:rPr>
        <w:t xml:space="preserve">(требования к товару</w:t>
      </w:r>
      <w:r>
        <w:rPr>
          <w:b/>
          <w:bCs/>
        </w:rPr>
        <w:t xml:space="preserve">)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968"/>
        <w:jc w:val="center"/>
        <w:rPr>
          <w:b/>
          <w:bCs/>
          <w:i/>
          <w:u w:val="single"/>
        </w:rPr>
      </w:pPr>
      <w:r>
        <w:rPr>
          <w:b/>
          <w:bCs/>
          <w:i/>
          <w:iCs/>
          <w:u w:val="single"/>
        </w:rPr>
        <w:t xml:space="preserve">Техничес</w:t>
      </w:r>
      <w:r>
        <w:rPr>
          <w:b/>
          <w:bCs/>
          <w:i/>
          <w:iCs/>
          <w:u w:val="single"/>
        </w:rPr>
        <w:t xml:space="preserve">кое задание не включается в контракт на поставку товара и не является его приложением</w:t>
      </w:r>
      <w:r>
        <w:rPr>
          <w:b/>
          <w:bCs/>
          <w:i/>
          <w:u w:val="single"/>
        </w:rPr>
      </w:r>
      <w:r>
        <w:rPr>
          <w:b/>
          <w:bCs/>
          <w:i/>
          <w:u w:val="single"/>
        </w:rPr>
      </w:r>
    </w:p>
    <w:p>
      <w:pPr>
        <w:jc w:val="left"/>
      </w:pPr>
      <w:r/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6"/>
        <w:gridCol w:w="2441"/>
        <w:gridCol w:w="567"/>
        <w:gridCol w:w="3934"/>
        <w:gridCol w:w="2409"/>
        <w:gridCol w:w="3118"/>
        <w:gridCol w:w="1134"/>
        <w:gridCol w:w="992"/>
      </w:tblGrid>
      <w:tr>
        <w:tblPrEx/>
        <w:trPr>
          <w:trHeight w:val="110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№ </w:t>
            </w:r>
            <w:r>
              <w:rPr>
                <w:color w:val="000000"/>
                <w:sz w:val="21"/>
                <w:szCs w:val="21"/>
                <w:highlight w:val="white"/>
              </w:rPr>
              <w:t xml:space="preserve">п</w:t>
            </w:r>
            <w:r>
              <w:rPr>
                <w:color w:val="000000"/>
                <w:sz w:val="21"/>
                <w:szCs w:val="21"/>
                <w:highlight w:val="white"/>
              </w:rPr>
              <w:t xml:space="preserve">/</w:t>
            </w:r>
            <w:r>
              <w:rPr>
                <w:color w:val="000000"/>
                <w:sz w:val="21"/>
                <w:szCs w:val="21"/>
                <w:highlight w:val="white"/>
              </w:rPr>
              <w:t xml:space="preserve">п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Наименова</w:t>
            </w:r>
            <w:r>
              <w:rPr>
                <w:color w:val="000000"/>
                <w:sz w:val="21"/>
                <w:szCs w:val="21"/>
                <w:highlight w:val="white"/>
              </w:rPr>
              <w:t xml:space="preserve">ние товара</w:t>
            </w:r>
            <w:r>
              <w:rPr>
                <w:sz w:val="21"/>
                <w:szCs w:val="21"/>
                <w:highlight w:val="white"/>
              </w:rPr>
              <w:t xml:space="preserve">, ОКПД2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№ показателя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3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69" w:firstLine="108"/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Показатель (характеристика) товара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Требования к значениям показателей (характеристик) товара, или эквивалентности предлагаемого к поставке товара, позволяющие определить соответствие установленным заказчиком требованиям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Единица измерения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Количество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</w:tr>
      <w:tr>
        <w:tblPrEx/>
        <w:trPr>
          <w:trHeight w:val="7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34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69" w:firstLine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Минимальное значение показателя и/или максимальное значение показателя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</w:rPr>
              <w:t xml:space="preserve">Показатели, (характеристики) значения которых не могут изменяться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5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36" w:type="dxa"/>
            <w:vMerge w:val="restart"/>
            <w:textDirection w:val="lrTb"/>
            <w:noWrap w:val="false"/>
          </w:tcPr>
          <w:p>
            <w:pPr>
              <w:rPr>
                <w:highlight w:val="white"/>
              </w:rPr>
            </w:pPr>
            <w:r>
              <w:rPr>
                <w:color w:val="000000"/>
                <w:sz w:val="21"/>
                <w:szCs w:val="21"/>
                <w:highlight w:val="white"/>
                <w:lang w:val="en-US"/>
              </w:rPr>
              <w:t xml:space="preserve">1</w:t>
            </w:r>
            <w:r>
              <w:rPr>
                <w:color w:val="000000"/>
                <w:sz w:val="21"/>
                <w:szCs w:val="21"/>
                <w:highlight w:val="white"/>
              </w:rPr>
              <w:t xml:space="preserve">.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441" w:type="dxa"/>
            <w:vMerge w:val="restart"/>
            <w:textDirection w:val="lrTb"/>
            <w:noWrap w:val="false"/>
          </w:tcPr>
          <w:p>
            <w:pPr>
              <w:pStyle w:val="720"/>
              <w:rPr>
                <w:b/>
                <w:bCs/>
                <w:color w:val="000000"/>
                <w:sz w:val="21"/>
                <w:szCs w:val="21"/>
                <w:highlight w:val="white"/>
              </w:rPr>
            </w:pPr>
            <w:r>
              <w:rPr>
                <w:b w:val="0"/>
                <w:bCs w:val="0"/>
                <w:sz w:val="21"/>
                <w:szCs w:val="21"/>
                <w:highlight w:val="white"/>
              </w:rPr>
              <w:t xml:space="preserve">Т</w:t>
            </w:r>
            <w:r>
              <w:rPr>
                <w:b w:val="0"/>
                <w:bCs w:val="0"/>
                <w:sz w:val="21"/>
                <w:szCs w:val="21"/>
                <w:highlight w:val="white"/>
              </w:rPr>
              <w:t xml:space="preserve">ермотрансферные</w:t>
            </w:r>
            <w:r>
              <w:rPr>
                <w:b w:val="0"/>
                <w:bCs w:val="0"/>
                <w:color w:val="000000"/>
                <w:sz w:val="21"/>
                <w:szCs w:val="21"/>
                <w:highlight w:val="white"/>
              </w:rPr>
            </w:r>
            <w:r>
              <w:rPr>
                <w:b w:val="0"/>
                <w:bCs w:val="0"/>
                <w:color w:val="000000"/>
                <w:sz w:val="21"/>
                <w:szCs w:val="21"/>
                <w:highlight w:val="white"/>
              </w:rPr>
            </w:r>
          </w:p>
          <w:p>
            <w:pPr>
              <w:rPr>
                <w:b/>
                <w:bCs/>
                <w:color w:val="000000" w:themeColor="text1"/>
                <w:sz w:val="21"/>
                <w:szCs w:val="21"/>
                <w:highlight w:val="yellow"/>
              </w:rPr>
            </w:pPr>
            <w:r>
              <w:rPr>
                <w:b w:val="0"/>
                <w:bCs w:val="0"/>
                <w:color w:val="000000" w:themeColor="text1"/>
                <w:sz w:val="21"/>
                <w:szCs w:val="21"/>
                <w:highlight w:val="white"/>
              </w:rPr>
            </w:r>
            <w:r>
              <w:rPr>
                <w:b w:val="0"/>
                <w:bCs w:val="0"/>
                <w:sz w:val="21"/>
                <w:szCs w:val="21"/>
                <w:highlight w:val="white"/>
              </w:rPr>
              <w:t xml:space="preserve">э</w:t>
            </w:r>
            <w:r>
              <w:rPr>
                <w:b w:val="0"/>
                <w:bCs w:val="0"/>
                <w:sz w:val="21"/>
                <w:szCs w:val="21"/>
                <w:highlight w:val="white"/>
              </w:rPr>
              <w:t xml:space="preserve">тикетки </w:t>
            </w:r>
            <w:r>
              <w:rPr>
                <w:b w:val="0"/>
                <w:bCs w:val="0"/>
                <w:color w:val="000000" w:themeColor="text1"/>
                <w:sz w:val="21"/>
                <w:szCs w:val="21"/>
                <w:highlight w:val="yellow"/>
              </w:rPr>
            </w:r>
            <w:r>
              <w:rPr>
                <w:b w:val="0"/>
                <w:bCs w:val="0"/>
                <w:color w:val="000000" w:themeColor="text1"/>
                <w:sz w:val="21"/>
                <w:szCs w:val="21"/>
                <w:highlight w:val="yellow"/>
              </w:rPr>
            </w:r>
          </w:p>
          <w:p>
            <w:pPr>
              <w:rPr>
                <w:color w:val="000000" w:themeColor="text1"/>
                <w:sz w:val="21"/>
                <w:szCs w:val="21"/>
                <w:highlight w:val="yellow"/>
              </w:rPr>
            </w:pP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color w:val="000000" w:themeColor="text1"/>
                <w:sz w:val="21"/>
                <w:szCs w:val="21"/>
                <w:highlight w:val="yellow"/>
              </w:rPr>
            </w:r>
            <w:r>
              <w:rPr>
                <w:color w:val="000000" w:themeColor="text1"/>
                <w:sz w:val="21"/>
                <w:szCs w:val="21"/>
                <w:highlight w:val="yellow"/>
              </w:rPr>
            </w:r>
          </w:p>
          <w:p>
            <w:pPr>
              <w:rPr>
                <w:color w:val="000000" w:themeColor="text1"/>
                <w:sz w:val="21"/>
                <w:szCs w:val="21"/>
                <w:highlight w:val="none"/>
              </w:rPr>
            </w:pP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  <w:t xml:space="preserve">17.29.11.110</w:t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color w:val="000000"/>
                <w:sz w:val="21"/>
                <w:szCs w:val="21"/>
                <w:highlight w:val="white"/>
              </w:rPr>
            </w:r>
            <w:r>
              <w:rPr>
                <w:color w:val="000000"/>
                <w:sz w:val="21"/>
                <w:szCs w:val="21"/>
                <w:highlight w:val="white"/>
              </w:rPr>
            </w:r>
            <w:r>
              <w:rPr>
                <w:color w:val="000000"/>
                <w:sz w:val="21"/>
                <w:szCs w:val="21"/>
                <w:highlight w:val="whit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  <w:lang w:val="en-US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</w:rPr>
              <w:t xml:space="preserve">.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934" w:type="dxa"/>
            <w:textDirection w:val="lrTb"/>
            <w:noWrap w:val="false"/>
          </w:tcPr>
          <w:p>
            <w:pPr>
              <w:rPr>
                <w:color w:val="000000" w:themeColor="text1"/>
                <w:sz w:val="21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  <w:t xml:space="preserve">Размер этикеток, 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  <w:t xml:space="preserve">ширина, мм: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/>
            <w:r>
              <w:rPr>
                <w:color w:val="000000" w:themeColor="text1"/>
                <w:sz w:val="21"/>
                <w:szCs w:val="21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highlight w:val="none"/>
              </w:rPr>
              <w:t xml:space="preserve">Х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none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sz w:val="21"/>
                <w:szCs w:val="21"/>
                <w:highlight w:val="none"/>
              </w:rPr>
              <w:t xml:space="preserve">рулон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highlight w:val="white"/>
              </w:rPr>
            </w:pPr>
            <w:r>
              <w:rPr>
                <w:sz w:val="21"/>
                <w:szCs w:val="21"/>
                <w:highlight w:val="none"/>
              </w:rPr>
              <w:t xml:space="preserve">20</w:t>
            </w:r>
            <w:r>
              <w:rPr>
                <w:sz w:val="21"/>
                <w:szCs w:val="21"/>
                <w:highlight w:val="white"/>
              </w:rPr>
            </w:r>
            <w:r>
              <w:rPr>
                <w:sz w:val="21"/>
                <w:szCs w:val="21"/>
                <w:highlight w:val="white"/>
              </w:rPr>
            </w:r>
          </w:p>
        </w:tc>
      </w:tr>
      <w:tr>
        <w:tblPrEx/>
        <w:trPr>
          <w:trHeight w:val="165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536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</w:r>
            <w:r>
              <w:rPr>
                <w:color w:val="000000"/>
                <w:sz w:val="22"/>
                <w:szCs w:val="22"/>
                <w:lang w:val="en-US"/>
              </w:rPr>
            </w:r>
            <w:r>
              <w:rPr>
                <w:color w:val="000000"/>
                <w:sz w:val="22"/>
                <w:szCs w:val="22"/>
                <w:lang w:val="en-US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2441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</w:rPr>
              <w:t xml:space="preserve">2.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393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  <w:t xml:space="preserve">Размер этикеток, высота, мм:</w:t>
            </w:r>
            <w:r/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highlight w:val="none"/>
              </w:rPr>
              <w:t xml:space="preserve">Х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none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226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536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2441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</w:rPr>
              <w:t xml:space="preserve">3.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3934" w:type="dxa"/>
            <w:textDirection w:val="lrTb"/>
            <w:noWrap w:val="false"/>
          </w:tcPr>
          <w:p>
            <w:pPr>
              <w:pStyle w:val="720"/>
              <w:rPr>
                <w:color w:val="000000" w:themeColor="text1"/>
                <w:sz w:val="21"/>
                <w:szCs w:val="21"/>
                <w:highlight w:val="none"/>
              </w:rPr>
            </w:pP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  <w:t xml:space="preserve">Количество этикеток в рулоне, шт./рул.:</w:t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color w:val="000000" w:themeColor="text1"/>
                <w:sz w:val="21"/>
                <w:szCs w:val="21"/>
                <w:highlight w:val="non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1"/>
                <w:szCs w:val="21"/>
                <w:highlight w:val="none"/>
              </w:rPr>
              <w:t xml:space="preserve">Х</w:t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none"/>
              </w:rPr>
              <w:t xml:space="preserve">700</w:t>
            </w:r>
            <w:r>
              <w:rPr>
                <w:rFonts w:ascii="Times New Roman" w:hAnsi="Times New Roman" w:eastAsia="Times New Roman" w:cs="Times New Roman"/>
                <w:color w:val="000000"/>
                <w:sz w:val="21"/>
                <w:szCs w:val="21"/>
                <w:highlight w:val="white"/>
              </w:rPr>
            </w:r>
            <w:r>
              <w:rPr>
                <w:rFonts w:ascii="Times New Roman" w:hAnsi="Times New Roman" w:cs="Times New Roman"/>
                <w:sz w:val="21"/>
                <w:szCs w:val="21"/>
                <w:highlight w:val="white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  <w:r>
              <w:rPr>
                <w:color w:val="000000"/>
                <w:sz w:val="22"/>
                <w:szCs w:val="22"/>
                <w:highlight w:val="yellow"/>
              </w:rPr>
            </w:r>
          </w:p>
        </w:tc>
      </w:tr>
    </w:tbl>
    <w:p>
      <w:r/>
      <w:r/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  <w:highlight w:val="yellow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Требования к качеству товара, комплектности, таре, упаковке, маркировке и иные требования: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в соответствии с разделом 5 «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Упаковка Товара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», разделом 6</w:t>
      </w:r>
      <w:r>
        <w:rPr>
          <w:rFonts w:ascii="Times New Roman" w:hAnsi="Times New Roman" w:eastAsia="Times New Roman" w:cs="Times New Roman"/>
          <w:b/>
          <w:highlight w:val="none"/>
        </w:rPr>
        <w:t xml:space="preserve"> «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Гарантия, качес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тво Товара, обеспечение гарантийных обязательств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» проекта контракта;</w:t>
      </w:r>
      <w:r>
        <w:rPr>
          <w:rFonts w:ascii="Times New Roman" w:hAnsi="Times New Roman" w:cs="Times New Roman"/>
          <w:b w:val="0"/>
          <w:bCs w:val="0"/>
          <w:highlight w:val="yellow"/>
        </w:rPr>
      </w:r>
      <w:r>
        <w:rPr>
          <w:rFonts w:ascii="Times New Roman" w:hAnsi="Times New Roman" w:cs="Times New Roman"/>
          <w:b w:val="0"/>
          <w:bCs w:val="0"/>
          <w:highlight w:val="yellow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Адрес поставки: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в соответствии с пунктом 3.2 раздела 3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Порядок, сроки, условия поставки и приемки Товара»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проекта контракта;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Сопроводительные документы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: в соответствии с пп. 3.4.1 пункта 3.4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раздела 3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Порядок, сроки, условия поставки и приемки Товара»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проекта контракта;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 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Срок поставки: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в соответствии с пунктом 3.1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раздела 3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Порядок, сроки, условия поставки и приемки Товара»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проекта контракта;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Порядок приемки: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в соответствии с пунктом 3.4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раздела 3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Порядок, сроки, условия поставки и приемки Товара»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проекта контракта;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 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  <w:highlight w:val="white"/>
        </w:rPr>
      </w:pPr>
      <w:r>
        <w:rPr>
          <w:rFonts w:ascii="Times New Roman" w:hAnsi="Times New Roman" w:eastAsia="Times New Roman" w:cs="Times New Roman"/>
          <w:b/>
          <w:bCs/>
          <w:highlight w:val="white"/>
        </w:rPr>
        <w:t xml:space="preserve">Документы о приемке:</w:t>
      </w:r>
      <w:r>
        <w:rPr>
          <w:rFonts w:ascii="Times New Roman" w:hAnsi="Times New Roman" w:eastAsia="Times New Roman" w:cs="Times New Roman"/>
          <w:b/>
          <w:bCs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в соответствии с пп. 3.4.1, 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3.4.3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 пункта 3.4 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раздела 3 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Порядок, сроки, условия поставки и приемки Товара»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 проекта контракта;</w:t>
      </w:r>
      <w:r>
        <w:rPr>
          <w:rFonts w:ascii="Times New Roman" w:hAnsi="Times New Roman" w:eastAsia="Times New Roman" w:cs="Times New Roman"/>
          <w:b w:val="0"/>
          <w:bCs w:val="0"/>
          <w:highlight w:val="white"/>
        </w:rPr>
        <w:t xml:space="preserve">  </w:t>
      </w:r>
      <w:r>
        <w:rPr>
          <w:rFonts w:ascii="Times New Roman" w:hAnsi="Times New Roman" w:cs="Times New Roman"/>
          <w:b w:val="0"/>
          <w:bCs w:val="0"/>
          <w:highlight w:val="white"/>
        </w:rPr>
      </w:r>
      <w:r>
        <w:rPr>
          <w:rFonts w:ascii="Times New Roman" w:hAnsi="Times New Roman" w:cs="Times New Roman"/>
          <w:b w:val="0"/>
          <w:bCs w:val="0"/>
          <w:highlight w:val="white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Срок приемки: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в соответствии с пп. 3.4.3 пункта 3.4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раздела 3 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«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Порядок, сроки, условия поставки и приемки Товара»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проекта контракта;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tabs>
          <w:tab w:val="left" w:pos="283" w:leader="none"/>
        </w:tabs>
        <w:rPr>
          <w:rFonts w:ascii="Times New Roman" w:hAnsi="Times New Roman" w:eastAsia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Срок замены некачественного товара, гарантийный срок на заменяемый товар:</w:t>
      </w:r>
      <w:r>
        <w:rPr>
          <w:rFonts w:ascii="Times New Roman" w:hAnsi="Times New Roman" w:eastAsia="Times New Roman" w:cs="Times New Roman"/>
          <w:b w:val="0"/>
          <w:bCs w:val="0"/>
          <w:highlight w:val="none"/>
        </w:rPr>
        <w:t xml:space="preserve"> в соответствии с пунктами 6.4-6.5 раздела 6 «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Гарантия, качес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тво Товара, обеспечение гарантийных обязательств» проекта контракта;</w:t>
      </w:r>
      <w:r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</w:rPr>
      </w:r>
      <w:r>
        <w:rPr>
          <w:rFonts w:ascii="Times New Roman" w:hAnsi="Times New Roman" w:eastAsia="Times New Roman" w:cs="Times New Roman"/>
          <w:b w:val="0"/>
          <w:bCs w:val="0"/>
        </w:rPr>
      </w:r>
    </w:p>
    <w:p>
      <w:pPr>
        <w:pStyle w:val="724"/>
        <w:numPr>
          <w:ilvl w:val="0"/>
          <w:numId w:val="3"/>
        </w:numPr>
        <w:ind w:left="283" w:right="0" w:hanging="283"/>
        <w:jc w:val="both"/>
        <w:spacing w:after="0" w:afterAutospacing="0" w:line="240" w:lineRule="auto"/>
        <w:tabs>
          <w:tab w:val="left" w:pos="283" w:leader="none"/>
        </w:tabs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</w:rPr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Инструкция по заполнению оферты: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ind w:left="283" w:right="0" w:hanging="283"/>
        <w:jc w:val="both"/>
        <w:spacing w:after="0" w:afterAutospacing="0" w:line="240" w:lineRule="auto"/>
        <w:tabs>
          <w:tab w:val="left" w:pos="283" w:leader="none"/>
        </w:tabs>
        <w:rPr>
          <w:rFonts w:ascii="Times New Roman" w:hAnsi="Times New Roman" w:eastAsia="Calibri" w:cs="Times New Roman"/>
          <w:color w:val="auto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ab/>
        <w:t xml:space="preserve">При фор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мировании оферты в отношении характеристик поставляемого товара должны быть учтены следующие особенности: </w:t>
      </w:r>
      <w:r>
        <w:rPr>
          <w:rFonts w:ascii="Times New Roman" w:hAnsi="Times New Roman" w:eastAsia="Calibri" w:cs="Times New Roman"/>
          <w:color w:val="auto"/>
        </w:rPr>
      </w:r>
      <w:r>
        <w:rPr>
          <w:rFonts w:ascii="Times New Roman" w:hAnsi="Times New Roman" w:eastAsia="Calibri" w:cs="Times New Roman"/>
          <w:color w:val="auto"/>
        </w:rPr>
      </w:r>
    </w:p>
    <w:p>
      <w:pPr>
        <w:ind w:left="283" w:right="0" w:hanging="283"/>
        <w:jc w:val="both"/>
        <w:spacing w:after="0" w:afterAutospacing="0"/>
        <w:tabs>
          <w:tab w:val="left" w:pos="283" w:leader="none"/>
        </w:tabs>
        <w:rPr>
          <w:rFonts w:ascii="Times New Roman" w:hAnsi="Times New Roman" w:eastAsia="Calibri" w:cs="Times New Roman"/>
          <w:color w:val="auto"/>
          <w:highlight w:val="none"/>
        </w:rPr>
      </w:pP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ab/>
        <w:t xml:space="preserve">- у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частник  указывает в оферте значение характеристик 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в неизменном виде, со всеми словами и обозначениями, указанными в документации, включая единицы измерения (при их указании)без изменения значения характеристики;</w:t>
      </w:r>
      <w:r>
        <w:rPr>
          <w:rFonts w:ascii="Times New Roman" w:hAnsi="Times New Roman" w:eastAsia="Calibri" w:cs="Times New Roman"/>
          <w:color w:val="auto"/>
          <w:highlight w:val="none"/>
        </w:rPr>
      </w:r>
      <w:r>
        <w:rPr>
          <w:rFonts w:ascii="Times New Roman" w:hAnsi="Times New Roman" w:eastAsia="Calibri" w:cs="Times New Roman"/>
          <w:color w:val="auto"/>
          <w:highlight w:val="none"/>
        </w:rPr>
      </w:r>
    </w:p>
    <w:p>
      <w:pPr>
        <w:ind w:left="283" w:right="0" w:firstLine="0"/>
        <w:jc w:val="both"/>
        <w:spacing w:after="0" w:afterAutospacing="0"/>
        <w:tabs>
          <w:tab w:val="left" w:pos="283" w:leader="none"/>
        </w:tabs>
        <w:rPr>
          <w:rFonts w:ascii="Times New Roman" w:hAnsi="Times New Roman" w:eastAsia="Calibri" w:cs="Times New Roman"/>
          <w:color w:val="auto"/>
          <w:highlight w:val="none"/>
        </w:rPr>
      </w:pP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</w:r>
      <w:r>
        <w:rPr>
          <w:rFonts w:ascii="Times New Roman" w:hAnsi="Times New Roman" w:eastAsia="Calibri" w:cs="Times New Roman"/>
          <w:color w:val="auto"/>
          <w:sz w:val="22"/>
          <w:szCs w:val="22"/>
          <w:highlight w:val="none"/>
          <w:lang w:eastAsia="en-US" w:bidi="ar-SA"/>
        </w:rPr>
        <w:t xml:space="preserve">- н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аименование страны происхождения товар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а в соответствии с общероссийским классификатором,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hAnsi="Times New Roman" w:eastAsia="Calibri" w:cs="Times New Roman"/>
          <w:color w:val="auto"/>
          <w:sz w:val="22"/>
          <w:szCs w:val="22"/>
          <w:lang w:eastAsia="en-US" w:bidi="ar-SA"/>
        </w:rPr>
        <w:t xml:space="preserve">  используемым для идентификации стран мира.</w:t>
      </w:r>
      <w:r>
        <w:rPr>
          <w:rFonts w:ascii="Times New Roman" w:hAnsi="Times New Roman" w:eastAsia="Calibri" w:cs="Times New Roman"/>
          <w:color w:val="auto"/>
          <w:highlight w:val="none"/>
        </w:rPr>
      </w:r>
      <w:r>
        <w:rPr>
          <w:rFonts w:ascii="Times New Roman" w:hAnsi="Times New Roman" w:eastAsia="Calibri" w:cs="Times New Roman"/>
          <w:color w:val="auto"/>
          <w:highlight w:val="none"/>
        </w:rPr>
      </w:r>
    </w:p>
    <w:p>
      <w:pPr>
        <w:pStyle w:val="966"/>
        <w:ind w:left="283" w:right="0" w:hanging="283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ind w:left="283" w:right="0" w:hanging="283"/>
        <w:jc w:val="center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66"/>
        <w:jc w:val="left"/>
        <w:rPr>
          <w:lang w:val="en-US"/>
        </w:rPr>
        <w:outlineLvl w:val="1"/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sectPr>
      <w:headerReference w:type="default" r:id="rId11"/>
      <w:headerReference w:type="first" r:id="rId12"/>
      <w:footnotePr/>
      <w:endnotePr/>
      <w:type w:val="continuous"/>
      <w:pgSz w:w="16838" w:h="11906" w:orient="landscape"/>
      <w:pgMar w:top="1134" w:right="1134" w:bottom="709" w:left="1134" w:header="72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jaVu Sans;Calibri">
    <w:panose1 w:val="020B0603030804020204"/>
  </w:font>
  <w:font w:name="Times New Roman CYR">
    <w:panose1 w:val="02020603050405020304"/>
  </w:font>
  <w:font w:name="Calibri Light">
    <w:panose1 w:val="020F0502020204030204"/>
  </w:font>
  <w:font w:name="TimesDL;Times New Roman">
    <w:panose1 w:val="02000603000000000000"/>
  </w:font>
  <w:font w:name="Segoe UI">
    <w:panose1 w:val="020B0502040504020204"/>
  </w:font>
  <w:font w:name="Wingdings">
    <w:panose1 w:val="05010000000000000000"/>
  </w:font>
  <w:font w:name="PT Astra Serif;Times New Roman">
    <w:panose1 w:val="020A0603040505020204"/>
  </w:font>
  <w:font w:name="Noto Sans Devanagari;Times New">
    <w:panose1 w:val="020B0502040504020204"/>
  </w:font>
  <w:font w:name="Courier New">
    <w:panose1 w:val="020704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Noto Sans Devanagari">
    <w:panose1 w:val="020B0502040504020204"/>
  </w:font>
  <w:font w:name="PT Astra Serif">
    <w:panose1 w:val="020A0603040505020204"/>
  </w:font>
  <w:font w:name="Arial">
    <w:panose1 w:val="020B0604020202020204"/>
  </w:font>
  <w:font w:name="font181;Times New Roman">
    <w:panose1 w:val="02000603000000000000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rPr>
          <w:sz w:val="12"/>
        </w:rPr>
      </w:pPr>
      <w:r>
        <w:separator/>
      </w:r>
      <w:r>
        <w:rPr>
          <w:sz w:val="12"/>
        </w:rPr>
      </w:r>
      <w:r>
        <w:rPr>
          <w:sz w:val="12"/>
        </w:rPr>
      </w:r>
    </w:p>
  </w:footnote>
  <w:footnote w:type="continuationSeparator" w:id="0">
    <w:p>
      <w:pPr>
        <w:rPr>
          <w:sz w:val="12"/>
        </w:rPr>
      </w:pPr>
      <w:r>
        <w:continuationSeparator/>
      </w:r>
      <w:r>
        <w:rPr>
          <w:sz w:val="12"/>
        </w:rPr>
      </w:r>
      <w:r>
        <w:rPr>
          <w:sz w:val="12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14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15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95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  <w:rPr>
        <w:highlight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="Tahoma" w:cs="Noto Sans Devanagari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Title Char"/>
    <w:basedOn w:val="721"/>
    <w:link w:val="726"/>
    <w:uiPriority w:val="10"/>
    <w:rPr>
      <w:sz w:val="48"/>
      <w:szCs w:val="48"/>
    </w:rPr>
  </w:style>
  <w:style w:type="character" w:styleId="718">
    <w:name w:val="Quote Char"/>
    <w:link w:val="727"/>
    <w:uiPriority w:val="29"/>
    <w:rPr>
      <w:i/>
    </w:rPr>
  </w:style>
  <w:style w:type="character" w:styleId="719">
    <w:name w:val="Intense Quote Char"/>
    <w:link w:val="728"/>
    <w:uiPriority w:val="30"/>
    <w:rPr>
      <w:i/>
    </w:rPr>
  </w:style>
  <w:style w:type="paragraph" w:styleId="720" w:default="1">
    <w:name w:val="Normal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paragraph" w:styleId="724">
    <w:name w:val="List Paragraph"/>
    <w:basedOn w:val="720"/>
    <w:qFormat/>
    <w:pPr>
      <w:contextualSpacing/>
      <w:ind w:left="720"/>
      <w:spacing w:after="160" w:line="254" w:lineRule="auto"/>
    </w:pPr>
    <w:rPr>
      <w:rFonts w:ascii="Calibri" w:hAnsi="Calibri" w:eastAsia="Calibri" w:cs="Calibri"/>
      <w:sz w:val="22"/>
      <w:szCs w:val="22"/>
    </w:rPr>
  </w:style>
  <w:style w:type="paragraph" w:styleId="725">
    <w:name w:val="No Spacing"/>
    <w:qFormat/>
    <w:rPr>
      <w:rFonts w:ascii="Calibri" w:hAnsi="Calibri" w:eastAsia="Calibri" w:cs="Calibri"/>
      <w:sz w:val="22"/>
      <w:szCs w:val="22"/>
      <w:lang w:eastAsia="zh-CN"/>
    </w:rPr>
  </w:style>
  <w:style w:type="paragraph" w:styleId="726">
    <w:name w:val="Title"/>
    <w:basedOn w:val="720"/>
    <w:next w:val="720"/>
    <w:link w:val="856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27">
    <w:name w:val="Quote"/>
    <w:basedOn w:val="720"/>
    <w:next w:val="720"/>
    <w:link w:val="858"/>
    <w:qFormat/>
    <w:pPr>
      <w:ind w:left="720" w:right="720"/>
    </w:pPr>
    <w:rPr>
      <w:rFonts w:ascii="PT Astra Serif" w:hAnsi="PT Astra Serif" w:eastAsia="Tahoma"/>
      <w:i/>
      <w:sz w:val="20"/>
      <w:szCs w:val="20"/>
    </w:rPr>
  </w:style>
  <w:style w:type="paragraph" w:styleId="728">
    <w:name w:val="Intense Quote"/>
    <w:basedOn w:val="720"/>
    <w:next w:val="720"/>
    <w:link w:val="859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PT Astra Serif" w:hAnsi="PT Astra Serif" w:eastAsia="Tahoma"/>
      <w:i/>
      <w:sz w:val="20"/>
      <w:szCs w:val="20"/>
    </w:rPr>
  </w:style>
  <w:style w:type="table" w:styleId="729">
    <w:name w:val="Table Grid"/>
    <w:uiPriority w:val="59"/>
    <w:rPr>
      <w:sz w:val="24"/>
      <w:szCs w:val="24"/>
      <w:lang w:eastAsia="zh-CN" w:bidi="hi-I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Table Grid Light"/>
    <w:uiPriority w:val="59"/>
    <w:rPr>
      <w:sz w:val="24"/>
      <w:szCs w:val="24"/>
      <w:lang w:eastAsia="zh-CN" w:bidi="hi-I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 w:customStyle="1">
    <w:name w:val="Plain Table 1"/>
    <w:uiPriority w:val="59"/>
    <w:rPr>
      <w:sz w:val="24"/>
      <w:szCs w:val="24"/>
      <w:lang w:eastAsia="zh-CN" w:bidi="hi-I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 w:customStyle="1">
    <w:name w:val="Plain Table 2"/>
    <w:uiPriority w:val="59"/>
    <w:rPr>
      <w:sz w:val="24"/>
      <w:szCs w:val="24"/>
      <w:lang w:eastAsia="zh-CN" w:bidi="hi-I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 w:customStyle="1">
    <w:name w:val="Plain Table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Plain Table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Plain Table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1 Light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1 Light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1 Light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1 Light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1 Light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1 Light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1 Light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2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2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2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2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2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2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3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3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3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3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3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3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4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4 - Accent 1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4 - Accent 2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4 - Accent 3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4 - Accent 4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4 - Accent 5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4 - Accent 6"/>
    <w:uiPriority w:val="5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5 Dark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5 Dark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5 Dark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5 Dark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5 Dark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5 Dark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5 Dark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6 Colorful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6 Colorful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6 Colorful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6 Colorful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6 Colorful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6 Colorful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6 Colorful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7 Colorful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7 Colorful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7 Colorful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7 Colorful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7 Colorful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7 Colorful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7 Colorful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1 Light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1 Light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1 Light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1 Light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1 Light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1 Light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1 Light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2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2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2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2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2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2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3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3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3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3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3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3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4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4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4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4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4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4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5 Dark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5 Dark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5 Dark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5 Dark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5 Dark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5 Dark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5 Dark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6 Colorful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6 Colorful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6 Colorful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6 Colorful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6 Colorful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6 Colorful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6 Colorful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7 Colorful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7 Colorful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7 Colorful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7 Colorful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7 Colorful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7 Colorful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7 Colorful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- Accent 1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- Accent 2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- Accent 3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- Accent 4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- Accent 5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- Accent 6"/>
    <w:uiPriority w:val="99"/>
    <w:rPr>
      <w:sz w:val="24"/>
      <w:szCs w:val="24"/>
      <w:lang w:eastAsia="zh-CN" w:bidi="hi-I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paragraph" w:styleId="855">
    <w:name w:val="table of figures"/>
    <w:basedOn w:val="720"/>
    <w:next w:val="720"/>
    <w:qFormat/>
  </w:style>
  <w:style w:type="character" w:styleId="856" w:customStyle="1">
    <w:name w:val="Название Знак2"/>
    <w:basedOn w:val="721"/>
    <w:link w:val="726"/>
    <w:qFormat/>
    <w:rPr>
      <w:sz w:val="48"/>
      <w:szCs w:val="48"/>
    </w:rPr>
  </w:style>
  <w:style w:type="character" w:styleId="857" w:customStyle="1">
    <w:name w:val="Subtitle Char"/>
    <w:basedOn w:val="721"/>
    <w:qFormat/>
    <w:rPr>
      <w:sz w:val="24"/>
      <w:szCs w:val="24"/>
    </w:rPr>
  </w:style>
  <w:style w:type="character" w:styleId="858" w:customStyle="1">
    <w:name w:val="Цитата 2 Знак1"/>
    <w:link w:val="727"/>
    <w:qFormat/>
    <w:rPr>
      <w:i/>
    </w:rPr>
  </w:style>
  <w:style w:type="character" w:styleId="859" w:customStyle="1">
    <w:name w:val="Выделенная цитата Знак1"/>
    <w:link w:val="728"/>
    <w:qFormat/>
    <w:rPr>
      <w:i/>
    </w:rPr>
  </w:style>
  <w:style w:type="character" w:styleId="860" w:customStyle="1">
    <w:name w:val="Footnote Text Char"/>
    <w:qFormat/>
    <w:rPr>
      <w:sz w:val="18"/>
    </w:rPr>
  </w:style>
  <w:style w:type="character" w:styleId="861" w:customStyle="1">
    <w:name w:val="Endnote Text Char"/>
    <w:qFormat/>
    <w:rPr>
      <w:sz w:val="20"/>
    </w:rPr>
  </w:style>
  <w:style w:type="character" w:styleId="862" w:customStyle="1">
    <w:name w:val="Heading 1 Char"/>
    <w:qFormat/>
    <w:rPr>
      <w:rFonts w:ascii="Arial" w:hAnsi="Arial" w:eastAsia="Arial" w:cs="Arial"/>
      <w:sz w:val="40"/>
      <w:szCs w:val="40"/>
    </w:rPr>
  </w:style>
  <w:style w:type="character" w:styleId="863" w:customStyle="1">
    <w:name w:val="Heading 2 Char"/>
    <w:qFormat/>
    <w:rPr>
      <w:rFonts w:ascii="Arial" w:hAnsi="Arial" w:eastAsia="Arial" w:cs="Arial"/>
      <w:sz w:val="34"/>
    </w:rPr>
  </w:style>
  <w:style w:type="character" w:styleId="864" w:customStyle="1">
    <w:name w:val="Heading 3 Char"/>
    <w:qFormat/>
    <w:rPr>
      <w:rFonts w:ascii="Arial" w:hAnsi="Arial" w:eastAsia="Arial" w:cs="Arial"/>
      <w:sz w:val="30"/>
      <w:szCs w:val="30"/>
    </w:rPr>
  </w:style>
  <w:style w:type="character" w:styleId="865" w:customStyle="1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866" w:customStyle="1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867" w:customStyle="1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868" w:customStyle="1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69" w:customStyle="1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870" w:customStyle="1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871" w:customStyle="1">
    <w:name w:val="Название Знак1"/>
    <w:qFormat/>
    <w:rPr>
      <w:sz w:val="48"/>
      <w:szCs w:val="48"/>
    </w:rPr>
  </w:style>
  <w:style w:type="character" w:styleId="872" w:customStyle="1">
    <w:name w:val="Подзаголовок Знак1"/>
    <w:qFormat/>
    <w:rPr>
      <w:sz w:val="24"/>
      <w:szCs w:val="24"/>
    </w:rPr>
  </w:style>
  <w:style w:type="character" w:styleId="873" w:customStyle="1">
    <w:name w:val="Цитата 2 Знак"/>
    <w:qFormat/>
    <w:rPr>
      <w:i/>
    </w:rPr>
  </w:style>
  <w:style w:type="character" w:styleId="874" w:customStyle="1">
    <w:name w:val="Выделенная цитата Знак"/>
    <w:qFormat/>
    <w:rPr>
      <w:i/>
    </w:rPr>
  </w:style>
  <w:style w:type="character" w:styleId="875" w:customStyle="1">
    <w:name w:val="Header Char"/>
    <w:qFormat/>
  </w:style>
  <w:style w:type="character" w:styleId="876" w:customStyle="1">
    <w:name w:val="Footer Char"/>
    <w:qFormat/>
  </w:style>
  <w:style w:type="character" w:styleId="877" w:customStyle="1">
    <w:name w:val="Caption Char"/>
    <w:link w:val="958"/>
    <w:qFormat/>
  </w:style>
  <w:style w:type="character" w:styleId="878" w:customStyle="1">
    <w:name w:val="Текст сноски Знак1"/>
    <w:qFormat/>
    <w:rPr>
      <w:sz w:val="18"/>
    </w:rPr>
  </w:style>
  <w:style w:type="character" w:styleId="879" w:customStyle="1">
    <w:name w:val="Текст концевой сноски Знак1"/>
    <w:qFormat/>
    <w:rPr>
      <w:sz w:val="20"/>
    </w:rPr>
  </w:style>
  <w:style w:type="character" w:styleId="880" w:customStyle="1">
    <w:name w:val="WW8Num1z0"/>
    <w:qFormat/>
  </w:style>
  <w:style w:type="character" w:styleId="881" w:customStyle="1">
    <w:name w:val="WW8Num3z0"/>
    <w:qFormat/>
    <w:rPr>
      <w:rFonts w:eastAsia="Calibri"/>
    </w:rPr>
  </w:style>
  <w:style w:type="character" w:styleId="882" w:customStyle="1">
    <w:name w:val="WW8Num4z0"/>
    <w:qFormat/>
  </w:style>
  <w:style w:type="character" w:styleId="883" w:customStyle="1">
    <w:name w:val="WW8Num5z0"/>
    <w:qFormat/>
    <w:rPr>
      <w:rFonts w:ascii="Times New Roman" w:hAnsi="Times New Roman" w:eastAsia="Calibri" w:cs="Times New Roman"/>
    </w:rPr>
  </w:style>
  <w:style w:type="character" w:styleId="884" w:customStyle="1">
    <w:name w:val="WW8Num5z1"/>
    <w:qFormat/>
  </w:style>
  <w:style w:type="character" w:styleId="885" w:customStyle="1">
    <w:name w:val="WW8Num6z0"/>
    <w:qFormat/>
  </w:style>
  <w:style w:type="character" w:styleId="886" w:customStyle="1">
    <w:name w:val="WW8Num7z0"/>
    <w:qFormat/>
  </w:style>
  <w:style w:type="character" w:styleId="887" w:customStyle="1">
    <w:name w:val="WW8Num8z0"/>
    <w:qFormat/>
  </w:style>
  <w:style w:type="character" w:styleId="888" w:customStyle="1">
    <w:name w:val="WW8Num10z0"/>
    <w:qFormat/>
    <w:rPr>
      <w:rFonts w:ascii="Symbol" w:hAnsi="Symbol" w:cs="Symbol"/>
    </w:rPr>
  </w:style>
  <w:style w:type="character" w:styleId="889" w:customStyle="1">
    <w:name w:val="WW8Num10z1"/>
    <w:qFormat/>
    <w:rPr>
      <w:rFonts w:ascii="Courier New" w:hAnsi="Courier New" w:cs="Courier New"/>
    </w:rPr>
  </w:style>
  <w:style w:type="character" w:styleId="890" w:customStyle="1">
    <w:name w:val="WW8Num10z2"/>
    <w:qFormat/>
    <w:rPr>
      <w:rFonts w:ascii="Wingdings" w:hAnsi="Wingdings" w:cs="Wingdings"/>
    </w:rPr>
  </w:style>
  <w:style w:type="character" w:styleId="891" w:customStyle="1">
    <w:name w:val="WW8Num11z0"/>
    <w:qFormat/>
  </w:style>
  <w:style w:type="character" w:styleId="892" w:customStyle="1">
    <w:name w:val="WW8Num12z0"/>
    <w:qFormat/>
  </w:style>
  <w:style w:type="character" w:styleId="893" w:customStyle="1">
    <w:name w:val="WW8Num13z0"/>
    <w:qFormat/>
  </w:style>
  <w:style w:type="character" w:styleId="894" w:customStyle="1">
    <w:name w:val="WW8Num14z0"/>
    <w:qFormat/>
  </w:style>
  <w:style w:type="character" w:styleId="895" w:customStyle="1">
    <w:name w:val="WW8Num15z0"/>
    <w:qFormat/>
  </w:style>
  <w:style w:type="character" w:styleId="896" w:customStyle="1">
    <w:name w:val="WW8Num15z1"/>
    <w:qFormat/>
    <w:rPr>
      <w:sz w:val="24"/>
    </w:rPr>
  </w:style>
  <w:style w:type="character" w:styleId="897" w:customStyle="1">
    <w:name w:val="WW8Num16z0"/>
    <w:qFormat/>
  </w:style>
  <w:style w:type="character" w:styleId="898" w:customStyle="1">
    <w:name w:val="WW8Num17z0"/>
    <w:qFormat/>
  </w:style>
  <w:style w:type="character" w:styleId="899" w:customStyle="1">
    <w:name w:val="WW8Num18z0"/>
    <w:qFormat/>
  </w:style>
  <w:style w:type="character" w:styleId="900" w:customStyle="1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901" w:customStyle="1">
    <w:name w:val="add"/>
    <w:qFormat/>
  </w:style>
  <w:style w:type="character" w:styleId="902" w:customStyle="1">
    <w:name w:val="change"/>
    <w:qFormat/>
  </w:style>
  <w:style w:type="character" w:styleId="903" w:customStyle="1">
    <w:name w:val="ConsPlusNormal Знак"/>
    <w:qFormat/>
    <w:rPr>
      <w:sz w:val="24"/>
      <w:lang w:bidi="ar-SA"/>
    </w:rPr>
  </w:style>
  <w:style w:type="character" w:styleId="904" w:customStyle="1">
    <w:name w:val="Верхний колонтитул Знак"/>
    <w:qFormat/>
  </w:style>
  <w:style w:type="character" w:styleId="905" w:customStyle="1">
    <w:name w:val="Нижний колонтитул Знак"/>
    <w:qFormat/>
  </w:style>
  <w:style w:type="character" w:styleId="906">
    <w:name w:val="Hyperlink"/>
    <w:rPr>
      <w:color w:val="0000ff"/>
      <w:u w:val="single"/>
    </w:rPr>
  </w:style>
  <w:style w:type="character" w:styleId="907" w:customStyle="1">
    <w:name w:val="Заголовок 2 Знак"/>
    <w:qFormat/>
    <w:rPr>
      <w:rFonts w:ascii="Calibri Light" w:hAnsi="Calibri Light" w:cs="Calibri Light"/>
      <w:color w:val="2e74b5"/>
      <w:sz w:val="26"/>
      <w:szCs w:val="26"/>
    </w:rPr>
  </w:style>
  <w:style w:type="character" w:styleId="908" w:customStyle="1">
    <w:name w:val="Заголовок 3 Знак"/>
    <w:qFormat/>
    <w:rPr>
      <w:rFonts w:ascii="Calibri Light" w:hAnsi="Calibri Light" w:cs="Calibri Light"/>
      <w:color w:val="1f4d78"/>
      <w:sz w:val="24"/>
      <w:szCs w:val="24"/>
    </w:rPr>
  </w:style>
  <w:style w:type="character" w:styleId="909" w:customStyle="1">
    <w:name w:val="Заголовок 4 Знак"/>
    <w:qFormat/>
    <w:rPr>
      <w:rFonts w:ascii="Calibri Light" w:hAnsi="Calibri Light" w:cs="Calibri Light"/>
      <w:i/>
      <w:iCs/>
      <w:color w:val="2e74b5"/>
      <w:sz w:val="22"/>
      <w:szCs w:val="22"/>
    </w:rPr>
  </w:style>
  <w:style w:type="character" w:styleId="910" w:customStyle="1">
    <w:name w:val="Заголовок 1 Знак"/>
    <w:qFormat/>
    <w:rPr>
      <w:b/>
      <w:bCs/>
      <w:spacing w:val="4"/>
      <w:sz w:val="28"/>
      <w:szCs w:val="24"/>
    </w:rPr>
  </w:style>
  <w:style w:type="character" w:styleId="911" w:customStyle="1">
    <w:name w:val="Заголовок 5 Знак"/>
    <w:qFormat/>
    <w:rPr>
      <w:b/>
      <w:sz w:val="16"/>
    </w:rPr>
  </w:style>
  <w:style w:type="character" w:styleId="912" w:customStyle="1">
    <w:name w:val="Заголовок 8 Знак"/>
    <w:qFormat/>
    <w:rPr>
      <w:b/>
      <w:spacing w:val="4"/>
      <w:sz w:val="24"/>
    </w:rPr>
  </w:style>
  <w:style w:type="character" w:styleId="913" w:customStyle="1">
    <w:name w:val="Подзаголовок Знак"/>
    <w:qFormat/>
    <w:rPr>
      <w:rFonts w:ascii="Calibri" w:hAnsi="Calibri" w:cs="Calibri"/>
      <w:color w:val="5a5a5a"/>
      <w:spacing w:val="15"/>
      <w:sz w:val="22"/>
      <w:szCs w:val="22"/>
    </w:rPr>
  </w:style>
  <w:style w:type="character" w:styleId="914" w:customStyle="1">
    <w:name w:val="Текст сноски Знак"/>
    <w:qFormat/>
    <w:rPr>
      <w:rFonts w:ascii="Calibri" w:hAnsi="Calibri" w:eastAsia="Calibri" w:cs="Calibri"/>
    </w:rPr>
  </w:style>
  <w:style w:type="character" w:styleId="915" w:customStyle="1">
    <w:name w:val="Символ сноски"/>
    <w:qFormat/>
    <w:rPr>
      <w:vertAlign w:val="superscript"/>
    </w:rPr>
  </w:style>
  <w:style w:type="character" w:styleId="916" w:customStyle="1">
    <w:name w:val="Название Знак"/>
    <w:qFormat/>
    <w:rPr>
      <w:rFonts w:ascii="Calibri Light" w:hAnsi="Calibri Light" w:cs="Calibri Light"/>
      <w:spacing w:val="-10"/>
      <w:sz w:val="56"/>
      <w:szCs w:val="56"/>
    </w:rPr>
  </w:style>
  <w:style w:type="character" w:styleId="917">
    <w:name w:val="Placeholder Text"/>
    <w:qFormat/>
    <w:rPr>
      <w:color w:val="808080"/>
    </w:rPr>
  </w:style>
  <w:style w:type="character" w:styleId="918">
    <w:name w:val="annotation reference"/>
    <w:qFormat/>
    <w:rPr>
      <w:sz w:val="16"/>
      <w:szCs w:val="16"/>
    </w:rPr>
  </w:style>
  <w:style w:type="character" w:styleId="919" w:customStyle="1">
    <w:name w:val="Текст примечания Знак"/>
    <w:qFormat/>
    <w:rPr>
      <w:rFonts w:ascii="Calibri" w:hAnsi="Calibri" w:eastAsia="Calibri" w:cs="Calibri"/>
    </w:rPr>
  </w:style>
  <w:style w:type="character" w:styleId="920">
    <w:name w:val="FollowedHyperlink"/>
    <w:rPr>
      <w:color w:val="800080"/>
      <w:u w:val="single"/>
    </w:rPr>
  </w:style>
  <w:style w:type="character" w:styleId="921" w:customStyle="1">
    <w:name w:val="Стандартный HTML Знак"/>
    <w:qFormat/>
    <w:rPr>
      <w:rFonts w:ascii="Courier New" w:hAnsi="Courier New" w:cs="Courier New"/>
    </w:rPr>
  </w:style>
  <w:style w:type="character" w:styleId="922" w:customStyle="1">
    <w:name w:val="Текст концевой сноски Знак"/>
    <w:basedOn w:val="721"/>
    <w:qFormat/>
  </w:style>
  <w:style w:type="character" w:styleId="923" w:customStyle="1">
    <w:name w:val="Символ концевой сноски"/>
    <w:qFormat/>
    <w:rPr>
      <w:vertAlign w:val="superscript"/>
    </w:rPr>
  </w:style>
  <w:style w:type="character" w:styleId="924" w:customStyle="1">
    <w:name w:val="Основной текст_"/>
    <w:qFormat/>
    <w:rPr>
      <w:sz w:val="28"/>
      <w:szCs w:val="28"/>
      <w:shd w:val="clear" w:color="auto" w:fill="ffffff"/>
    </w:rPr>
  </w:style>
  <w:style w:type="character" w:styleId="925" w:customStyle="1">
    <w:name w:val="Font Style117"/>
    <w:basedOn w:val="721"/>
    <w:qFormat/>
    <w:rPr>
      <w:rFonts w:ascii="Times New Roman" w:hAnsi="Times New Roman" w:cs="Times New Roman"/>
      <w:b/>
      <w:bCs/>
      <w:sz w:val="18"/>
      <w:szCs w:val="18"/>
    </w:rPr>
  </w:style>
  <w:style w:type="character" w:styleId="926" w:customStyle="1">
    <w:name w:val="Font Style118"/>
    <w:basedOn w:val="721"/>
    <w:qFormat/>
    <w:rPr>
      <w:rFonts w:ascii="Times New Roman" w:hAnsi="Times New Roman" w:cs="Times New Roman"/>
      <w:sz w:val="18"/>
      <w:szCs w:val="18"/>
    </w:rPr>
  </w:style>
  <w:style w:type="character" w:styleId="927" w:customStyle="1">
    <w:name w:val="Font Style122"/>
    <w:basedOn w:val="721"/>
    <w:qFormat/>
    <w:rPr>
      <w:rFonts w:ascii="Times New Roman" w:hAnsi="Times New Roman" w:cs="Times New Roman"/>
      <w:sz w:val="22"/>
      <w:szCs w:val="22"/>
    </w:rPr>
  </w:style>
  <w:style w:type="character" w:styleId="928" w:customStyle="1">
    <w:name w:val="Font Style125"/>
    <w:basedOn w:val="721"/>
    <w:qFormat/>
    <w:rPr>
      <w:rFonts w:ascii="Times New Roman" w:hAnsi="Times New Roman" w:cs="Times New Roman"/>
      <w:i/>
      <w:iCs/>
      <w:sz w:val="22"/>
      <w:szCs w:val="22"/>
    </w:rPr>
  </w:style>
  <w:style w:type="character" w:styleId="929" w:customStyle="1">
    <w:name w:val="Тема примечания Знак"/>
    <w:basedOn w:val="919"/>
    <w:qFormat/>
    <w:rPr>
      <w:b/>
      <w:bCs/>
    </w:rPr>
  </w:style>
  <w:style w:type="character" w:styleId="930">
    <w:name w:val="footnote reference"/>
    <w:rPr>
      <w:vertAlign w:val="superscript"/>
    </w:rPr>
  </w:style>
  <w:style w:type="character" w:styleId="931">
    <w:name w:val="endnote reference"/>
    <w:rPr>
      <w:vertAlign w:val="superscript"/>
    </w:rPr>
  </w:style>
  <w:style w:type="paragraph" w:styleId="932" w:customStyle="1">
    <w:name w:val="Заголовок"/>
    <w:basedOn w:val="720"/>
    <w:next w:val="720"/>
    <w:qFormat/>
    <w:pPr>
      <w:contextualSpacing/>
      <w:spacing w:before="300" w:after="200"/>
    </w:pPr>
    <w:rPr>
      <w:rFonts w:ascii="PT Astra Serif;Times New Roman" w:hAnsi="PT Astra Serif;Times New Roman" w:eastAsia="Tahoma" w:cs="PT Astra Serif;Times New Roman"/>
      <w:sz w:val="48"/>
      <w:szCs w:val="48"/>
    </w:rPr>
  </w:style>
  <w:style w:type="paragraph" w:styleId="933">
    <w:name w:val="Body Text"/>
    <w:basedOn w:val="720"/>
    <w:pPr>
      <w:jc w:val="both"/>
    </w:pPr>
    <w:rPr>
      <w:rFonts w:ascii="Times New Roman CYR" w:hAnsi="Times New Roman CYR" w:cs="Times New Roman CYR"/>
      <w:sz w:val="26"/>
      <w:szCs w:val="20"/>
    </w:rPr>
  </w:style>
  <w:style w:type="paragraph" w:styleId="934">
    <w:name w:val="List"/>
    <w:basedOn w:val="933"/>
    <w:rPr>
      <w:rFonts w:ascii="PT Astra Serif;Times New Roman" w:hAnsi="PT Astra Serif;Times New Roman" w:cs="Noto Sans Devanagari;Times New"/>
    </w:rPr>
  </w:style>
  <w:style w:type="paragraph" w:styleId="935" w:customStyle="1">
    <w:name w:val="Caption"/>
    <w:basedOn w:val="720"/>
    <w:link w:val="877"/>
    <w:qFormat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936">
    <w:name w:val="index heading"/>
    <w:basedOn w:val="720"/>
    <w:qFormat/>
    <w:pPr>
      <w:suppressLineNumbers/>
    </w:pPr>
    <w:rPr>
      <w:rFonts w:ascii="PT Astra Serif" w:hAnsi="PT Astra Serif" w:cs="Noto Sans Devanagari"/>
    </w:rPr>
  </w:style>
  <w:style w:type="paragraph" w:styleId="937" w:customStyle="1">
    <w:name w:val="Heading 6"/>
    <w:basedOn w:val="720"/>
    <w:next w:val="720"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938" w:customStyle="1">
    <w:name w:val="Heading 7"/>
    <w:basedOn w:val="720"/>
    <w:next w:val="720"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39" w:customStyle="1">
    <w:name w:val="Heading 9"/>
    <w:basedOn w:val="720"/>
    <w:next w:val="720"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940">
    <w:name w:val="toc 1"/>
    <w:basedOn w:val="720"/>
    <w:next w:val="720"/>
    <w:pPr>
      <w:spacing w:after="57"/>
    </w:pPr>
  </w:style>
  <w:style w:type="paragraph" w:styleId="941">
    <w:name w:val="toc 2"/>
    <w:basedOn w:val="720"/>
    <w:next w:val="720"/>
    <w:pPr>
      <w:ind w:left="283"/>
      <w:spacing w:after="57"/>
    </w:pPr>
  </w:style>
  <w:style w:type="paragraph" w:styleId="942">
    <w:name w:val="toc 3"/>
    <w:basedOn w:val="720"/>
    <w:next w:val="720"/>
    <w:pPr>
      <w:ind w:left="567"/>
      <w:spacing w:after="57"/>
    </w:pPr>
  </w:style>
  <w:style w:type="paragraph" w:styleId="943">
    <w:name w:val="toc 4"/>
    <w:basedOn w:val="720"/>
    <w:next w:val="720"/>
    <w:pPr>
      <w:ind w:left="850"/>
      <w:spacing w:after="57"/>
    </w:pPr>
  </w:style>
  <w:style w:type="paragraph" w:styleId="944">
    <w:name w:val="toc 5"/>
    <w:basedOn w:val="720"/>
    <w:next w:val="720"/>
    <w:pPr>
      <w:ind w:left="1134"/>
      <w:spacing w:after="57"/>
    </w:pPr>
  </w:style>
  <w:style w:type="paragraph" w:styleId="945">
    <w:name w:val="toc 6"/>
    <w:basedOn w:val="720"/>
    <w:next w:val="720"/>
    <w:pPr>
      <w:ind w:left="1417"/>
      <w:spacing w:after="57"/>
    </w:pPr>
  </w:style>
  <w:style w:type="paragraph" w:styleId="946">
    <w:name w:val="toc 7"/>
    <w:basedOn w:val="720"/>
    <w:next w:val="720"/>
    <w:pPr>
      <w:ind w:left="1701"/>
      <w:spacing w:after="57"/>
    </w:pPr>
  </w:style>
  <w:style w:type="paragraph" w:styleId="947">
    <w:name w:val="toc 8"/>
    <w:basedOn w:val="720"/>
    <w:next w:val="720"/>
    <w:pPr>
      <w:ind w:left="1984"/>
      <w:spacing w:after="57"/>
    </w:pPr>
  </w:style>
  <w:style w:type="paragraph" w:styleId="948">
    <w:name w:val="toc 9"/>
    <w:basedOn w:val="720"/>
    <w:next w:val="720"/>
    <w:pPr>
      <w:ind w:left="2268"/>
      <w:spacing w:after="57"/>
    </w:pPr>
  </w:style>
  <w:style w:type="paragraph" w:styleId="949" w:customStyle="1">
    <w:name w:val="Index Heading"/>
    <w:basedOn w:val="720"/>
    <w:pPr>
      <w:suppressLineNumbers/>
    </w:pPr>
    <w:rPr>
      <w:rFonts w:ascii="PT Astra Serif;Times New Roman" w:hAnsi="PT Astra Serif;Times New Roman" w:cs="Noto Sans Devanagari;Times New"/>
    </w:rPr>
  </w:style>
  <w:style w:type="paragraph" w:styleId="950">
    <w:name w:val="TOC Heading"/>
    <w:rPr>
      <w:rFonts w:ascii="PT Astra Serif;Times New Roman" w:hAnsi="PT Astra Serif;Times New Roman" w:cs="Noto Sans Devanagari;Times New"/>
      <w:sz w:val="24"/>
      <w:szCs w:val="24"/>
      <w:lang w:eastAsia="zh-CN" w:bidi="hi-IN"/>
    </w:rPr>
  </w:style>
  <w:style w:type="paragraph" w:styleId="951" w:customStyle="1">
    <w:name w:val="Heading 1"/>
    <w:basedOn w:val="720"/>
    <w:next w:val="720"/>
    <w:qFormat/>
    <w:pPr>
      <w:numPr>
        <w:ilvl w:val="0"/>
        <w:numId w:val="1"/>
      </w:numPr>
      <w:keepNext/>
      <w:outlineLvl w:val="0"/>
    </w:pPr>
    <w:rPr>
      <w:rFonts w:ascii="Arial" w:hAnsi="Arial" w:eastAsia="Arial" w:cs="Arial"/>
      <w:sz w:val="40"/>
      <w:szCs w:val="40"/>
    </w:rPr>
  </w:style>
  <w:style w:type="paragraph" w:styleId="952" w:customStyle="1">
    <w:name w:val="Heading 2"/>
    <w:basedOn w:val="720"/>
    <w:next w:val="720"/>
    <w:qFormat/>
    <w:pPr>
      <w:keepLines/>
      <w:keepNext/>
      <w:spacing w:before="40" w:line="254" w:lineRule="auto"/>
      <w:tabs>
        <w:tab w:val="num" w:pos="0" w:leader="none"/>
      </w:tabs>
      <w:outlineLvl w:val="1"/>
    </w:pPr>
    <w:rPr>
      <w:rFonts w:ascii="Arial" w:hAnsi="Arial" w:eastAsia="Arial" w:cs="Arial"/>
      <w:sz w:val="34"/>
      <w:szCs w:val="20"/>
    </w:rPr>
  </w:style>
  <w:style w:type="paragraph" w:styleId="953" w:customStyle="1">
    <w:name w:val="Heading 3"/>
    <w:basedOn w:val="720"/>
    <w:next w:val="720"/>
    <w:qFormat/>
    <w:pPr>
      <w:keepLines/>
      <w:keepNext/>
      <w:spacing w:before="40" w:line="254" w:lineRule="auto"/>
      <w:tabs>
        <w:tab w:val="num" w:pos="0" w:leader="none"/>
      </w:tabs>
      <w:outlineLvl w:val="2"/>
    </w:pPr>
    <w:rPr>
      <w:rFonts w:ascii="Arial" w:hAnsi="Arial" w:eastAsia="Arial" w:cs="Arial"/>
      <w:sz w:val="30"/>
      <w:szCs w:val="30"/>
    </w:rPr>
  </w:style>
  <w:style w:type="paragraph" w:styleId="954" w:customStyle="1">
    <w:name w:val="Heading 4"/>
    <w:basedOn w:val="720"/>
    <w:next w:val="720"/>
    <w:qFormat/>
    <w:pPr>
      <w:keepLines/>
      <w:keepNext/>
      <w:spacing w:before="40" w:line="254" w:lineRule="auto"/>
      <w:tabs>
        <w:tab w:val="num" w:pos="0" w:leader="none"/>
      </w:tabs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955" w:customStyle="1">
    <w:name w:val="Heading 5"/>
    <w:basedOn w:val="720"/>
    <w:next w:val="720"/>
    <w:qFormat/>
    <w:pPr>
      <w:jc w:val="center"/>
      <w:keepNext/>
      <w:tabs>
        <w:tab w:val="num" w:pos="0" w:leader="none"/>
      </w:tabs>
      <w:outlineLvl w:val="4"/>
    </w:pPr>
    <w:rPr>
      <w:rFonts w:ascii="Arial" w:hAnsi="Arial" w:eastAsia="Arial" w:cs="Arial"/>
      <w:b/>
      <w:bCs/>
    </w:rPr>
  </w:style>
  <w:style w:type="paragraph" w:styleId="956" w:customStyle="1">
    <w:name w:val="Heading 8"/>
    <w:basedOn w:val="720"/>
    <w:next w:val="720"/>
    <w:qFormat/>
    <w:pPr>
      <w:jc w:val="center"/>
      <w:keepNext/>
      <w:tabs>
        <w:tab w:val="num" w:pos="0" w:leader="none"/>
      </w:tabs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57" w:customStyle="1">
    <w:name w:val="WW-Заголовок"/>
    <w:basedOn w:val="720"/>
    <w:next w:val="720"/>
    <w:qFormat/>
    <w:pPr>
      <w:contextualSpacing/>
    </w:pPr>
    <w:rPr>
      <w:rFonts w:ascii="Calibri Light" w:hAnsi="Calibri Light" w:cs="Calibri Light"/>
      <w:spacing w:val="-10"/>
      <w:sz w:val="56"/>
      <w:szCs w:val="56"/>
    </w:rPr>
  </w:style>
  <w:style w:type="paragraph" w:styleId="958" w:customStyle="1">
    <w:name w:val="Caption"/>
    <w:basedOn w:val="720"/>
    <w:link w:val="877"/>
    <w:qFormat/>
    <w:pPr>
      <w:spacing w:before="120" w:after="120"/>
      <w:suppressLineNumbers/>
    </w:pPr>
    <w:rPr>
      <w:rFonts w:ascii="PT Astra Serif;Times New Roman" w:hAnsi="PT Astra Serif;Times New Roman" w:cs="Noto Sans Devanagari;Times New"/>
      <w:i/>
      <w:iCs/>
    </w:rPr>
  </w:style>
  <w:style w:type="paragraph" w:styleId="959" w:customStyle="1">
    <w:name w:val="Колонтитул"/>
    <w:basedOn w:val="720"/>
    <w:qFormat/>
    <w:pPr>
      <w:suppressLineNumbers/>
    </w:pPr>
  </w:style>
  <w:style w:type="paragraph" w:styleId="960" w:customStyle="1">
    <w:name w:val="Header"/>
    <w:basedOn w:val="720"/>
    <w:qFormat/>
    <w:rPr>
      <w:sz w:val="20"/>
      <w:szCs w:val="20"/>
    </w:rPr>
  </w:style>
  <w:style w:type="paragraph" w:styleId="961" w:customStyle="1">
    <w:name w:val="Footer"/>
    <w:basedOn w:val="720"/>
    <w:qFormat/>
    <w:rPr>
      <w:sz w:val="20"/>
      <w:szCs w:val="20"/>
    </w:rPr>
  </w:style>
  <w:style w:type="paragraph" w:styleId="962">
    <w:name w:val="Balloon Text"/>
    <w:basedOn w:val="720"/>
    <w:qFormat/>
    <w:rPr>
      <w:rFonts w:ascii="Segoe UI" w:hAnsi="Segoe UI" w:cs="Segoe UI"/>
      <w:sz w:val="18"/>
      <w:szCs w:val="18"/>
    </w:rPr>
  </w:style>
  <w:style w:type="paragraph" w:styleId="963" w:customStyle="1">
    <w:name w:val="ConsPlusTitle"/>
    <w:qFormat/>
    <w:rPr>
      <w:rFonts w:ascii="Times New Roman" w:hAnsi="Times New Roman" w:eastAsia="Times New Roman" w:cs="Times New Roman"/>
      <w:b/>
      <w:bCs/>
      <w:sz w:val="28"/>
      <w:szCs w:val="28"/>
      <w:lang w:eastAsia="zh-CN"/>
    </w:rPr>
  </w:style>
  <w:style w:type="paragraph" w:styleId="964" w:customStyle="1">
    <w:name w:val="formattext"/>
    <w:basedOn w:val="720"/>
    <w:qFormat/>
    <w:pPr>
      <w:spacing w:before="280" w:after="280"/>
    </w:pPr>
  </w:style>
  <w:style w:type="paragraph" w:styleId="965" w:customStyle="1">
    <w:name w:val="headertext"/>
    <w:basedOn w:val="720"/>
    <w:qFormat/>
    <w:pPr>
      <w:spacing w:before="280" w:after="280"/>
    </w:pPr>
  </w:style>
  <w:style w:type="paragraph" w:styleId="966" w:customStyle="1">
    <w:name w:val="ConsPlusNormal"/>
    <w:qFormat/>
    <w:pPr>
      <w:widowControl w:val="off"/>
    </w:pPr>
    <w:rPr>
      <w:rFonts w:ascii="Times New Roman" w:hAnsi="Times New Roman" w:eastAsia="Times New Roman" w:cs="Times New Roman"/>
      <w:sz w:val="24"/>
      <w:lang w:eastAsia="zh-CN"/>
    </w:rPr>
  </w:style>
  <w:style w:type="paragraph" w:styleId="967">
    <w:name w:val="Subtitle"/>
    <w:basedOn w:val="720"/>
    <w:next w:val="720"/>
    <w:qFormat/>
    <w:pPr>
      <w:spacing w:after="160" w:line="254" w:lineRule="auto"/>
    </w:pPr>
    <w:rPr>
      <w:rFonts w:ascii="PT Astra Serif;Times New Roman" w:hAnsi="PT Astra Serif;Times New Roman" w:eastAsia="Tahoma" w:cs="PT Astra Serif;Times New Roman"/>
    </w:rPr>
  </w:style>
  <w:style w:type="paragraph" w:styleId="968">
    <w:name w:val="footnote text"/>
    <w:basedOn w:val="720"/>
    <w:rPr>
      <w:rFonts w:ascii="PT Astra Serif;Times New Roman" w:hAnsi="PT Astra Serif;Times New Roman" w:eastAsia="Tahoma" w:cs="PT Astra Serif;Times New Roman"/>
      <w:sz w:val="18"/>
      <w:szCs w:val="20"/>
    </w:rPr>
  </w:style>
  <w:style w:type="paragraph" w:styleId="969">
    <w:name w:val="annotation text"/>
    <w:basedOn w:val="720"/>
    <w:qFormat/>
    <w:pPr>
      <w:spacing w:after="160"/>
    </w:pPr>
    <w:rPr>
      <w:rFonts w:ascii="Calibri" w:hAnsi="Calibri" w:eastAsia="Calibri" w:cs="Calibri"/>
      <w:sz w:val="20"/>
      <w:szCs w:val="20"/>
    </w:rPr>
  </w:style>
  <w:style w:type="paragraph" w:styleId="970">
    <w:name w:val="HTML Preformatted"/>
    <w:basedOn w:val="720"/>
    <w:qFormat/>
    <w:rPr>
      <w:rFonts w:ascii="Courier New" w:hAnsi="Courier New" w:cs="Courier New"/>
      <w:sz w:val="20"/>
      <w:szCs w:val="20"/>
    </w:rPr>
  </w:style>
  <w:style w:type="paragraph" w:styleId="971" w:customStyle="1">
    <w:name w:val="Подраздел"/>
    <w:qFormat/>
    <w:pPr>
      <w:jc w:val="center"/>
      <w:spacing w:before="240" w:after="120" w:line="100" w:lineRule="atLeast"/>
      <w:widowControl w:val="off"/>
    </w:pPr>
    <w:rPr>
      <w:rFonts w:ascii="TimesDL;Times New Roman" w:hAnsi="TimesDL;Times New Roman" w:eastAsia="DejaVu Sans;Calibri" w:cs="font181;Times New Roman"/>
      <w:b/>
      <w:smallCaps/>
      <w:spacing w:val="-2"/>
      <w:sz w:val="24"/>
      <w:lang w:eastAsia="zh-CN"/>
    </w:rPr>
  </w:style>
  <w:style w:type="paragraph" w:styleId="972">
    <w:name w:val="endnote text"/>
    <w:basedOn w:val="720"/>
    <w:rPr>
      <w:rFonts w:ascii="PT Astra Serif;Times New Roman" w:hAnsi="PT Astra Serif;Times New Roman" w:eastAsia="Tahoma" w:cs="PT Astra Serif;Times New Roman"/>
      <w:sz w:val="20"/>
      <w:szCs w:val="20"/>
    </w:rPr>
  </w:style>
  <w:style w:type="paragraph" w:styleId="973" w:customStyle="1">
    <w:name w:val="Знак сноски1"/>
    <w:basedOn w:val="720"/>
    <w:qFormat/>
    <w:pPr>
      <w:spacing w:after="200" w:line="276" w:lineRule="auto"/>
    </w:pPr>
    <w:rPr>
      <w:sz w:val="20"/>
      <w:szCs w:val="20"/>
      <w:vertAlign w:val="superscript"/>
    </w:rPr>
  </w:style>
  <w:style w:type="paragraph" w:styleId="974" w:customStyle="1">
    <w:name w:val="Основной текст1"/>
    <w:basedOn w:val="720"/>
    <w:qFormat/>
    <w:pPr>
      <w:spacing w:after="200"/>
      <w:shd w:val="clear" w:color="auto" w:fill="ffffff"/>
      <w:widowControl w:val="off"/>
    </w:pPr>
    <w:rPr>
      <w:sz w:val="28"/>
      <w:szCs w:val="28"/>
    </w:rPr>
  </w:style>
  <w:style w:type="paragraph" w:styleId="975" w:customStyle="1">
    <w:name w:val="Style100"/>
    <w:basedOn w:val="720"/>
    <w:qFormat/>
    <w:pPr>
      <w:widowControl w:val="off"/>
    </w:pPr>
  </w:style>
  <w:style w:type="paragraph" w:styleId="976">
    <w:name w:val="annotation subject"/>
    <w:basedOn w:val="969"/>
    <w:next w:val="969"/>
    <w:qFormat/>
    <w:pPr>
      <w:spacing w:after="0"/>
    </w:pPr>
    <w:rPr>
      <w:rFonts w:ascii="Times New Roman" w:hAnsi="Times New Roman" w:eastAsia="Times New Roman" w:cs="Times New Roman"/>
      <w:b/>
      <w:bCs/>
    </w:rPr>
  </w:style>
  <w:style w:type="paragraph" w:styleId="977" w:customStyle="1">
    <w:name w:val="Содержимое таблицы"/>
    <w:basedOn w:val="720"/>
    <w:qFormat/>
    <w:pPr>
      <w:widowControl w:val="off"/>
      <w:suppressLineNumbers/>
    </w:pPr>
  </w:style>
  <w:style w:type="paragraph" w:styleId="978" w:customStyle="1">
    <w:name w:val="Заголовок таблицы"/>
    <w:basedOn w:val="977"/>
    <w:qFormat/>
    <w:pPr>
      <w:jc w:val="center"/>
    </w:pPr>
    <w:rPr>
      <w:b/>
      <w:bCs/>
    </w:rPr>
  </w:style>
  <w:style w:type="paragraph" w:styleId="979" w:customStyle="1">
    <w:name w:val="Header"/>
    <w:basedOn w:val="959"/>
    <w:pPr>
      <w:tabs>
        <w:tab w:val="center" w:pos="4819" w:leader="none"/>
        <w:tab w:val="right" w:pos="9638" w:leader="none"/>
      </w:tabs>
    </w:pPr>
  </w:style>
  <w:style w:type="numbering" w:styleId="980" w:customStyle="1">
    <w:name w:val="WW8Num1"/>
    <w:qFormat/>
  </w:style>
  <w:style w:type="paragraph" w:styleId="981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4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5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6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17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18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19" Type="http://schemas.openxmlformats.org/officeDocument/2006/relationships/hyperlink" Target="mailto:a.malikova@kga.gov.spb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dc:language>ru-RU</dc:language>
  <cp:lastModifiedBy>t.kuzmina</cp:lastModifiedBy>
  <cp:revision>28</cp:revision>
  <dcterms:created xsi:type="dcterms:W3CDTF">2024-09-10T11:38:00Z</dcterms:created>
  <dcterms:modified xsi:type="dcterms:W3CDTF">2026-05-12T07:45:15Z</dcterms:modified>
</cp:coreProperties>
</file>