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spacing w:line="360" w:lineRule="auto"/>
        <w:rPr>
          <w:rFonts w:ascii="Times New Roman" w:hAnsi="Times New Roman" w:cs="Times New Roman"/>
          <w:b/>
          <w:bCs/>
        </w:rPr>
        <w:outlineLvl w:val="0"/>
      </w:pPr>
      <w:r>
        <w:rPr>
          <w:rFonts w:ascii="Times New Roman" w:hAnsi="Times New Roman" w:cs="Times New Roman"/>
          <w:b/>
          <w:bCs/>
        </w:rPr>
        <w:t xml:space="preserve">«УТВЕРЖДАЮ»</w: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ind w:left="635"/>
        <w:jc w:val="right"/>
        <w:spacing w:line="360" w:lineRule="auto"/>
        <w:rPr>
          <w:rFonts w:ascii="Times New Roman" w:hAnsi="Times New Roman" w:cs="Times New Roman"/>
        </w:rPr>
        <w:outlineLvl w:val="0"/>
      </w:pPr>
      <w:r>
        <w:rPr>
          <w:rFonts w:ascii="Times New Roman" w:hAnsi="Times New Roman" w:cs="Times New Roman"/>
        </w:rPr>
        <w:t xml:space="preserve">И.о. директора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635"/>
        <w:jc w:val="right"/>
        <w:spacing w:line="360" w:lineRule="auto"/>
        <w:rPr>
          <w:rFonts w:ascii="Times New Roman" w:hAnsi="Times New Roman" w:cs="Times New Roman"/>
        </w:rPr>
        <w:outlineLvl w:val="0"/>
      </w:pPr>
      <w:r>
        <w:rPr>
          <w:rFonts w:ascii="Times New Roman" w:hAnsi="Times New Roman" w:cs="Times New Roman"/>
        </w:rPr>
        <w:t xml:space="preserve">Санкт-Петербургского государственного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635"/>
        <w:jc w:val="righ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казенного учреждения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635"/>
        <w:jc w:val="righ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«Научно-исследовательский и проектный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635"/>
        <w:jc w:val="righ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центр Генерального плана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-284"/>
        <w:jc w:val="right"/>
        <w:spacing w:line="360" w:lineRule="auto"/>
        <w:rPr>
          <w:rFonts w:ascii="Times New Roman" w:hAnsi="Times New Roman" w:cs="Times New Roman"/>
        </w:rPr>
        <w:outlineLvl w:val="0"/>
      </w:pPr>
      <w:r>
        <w:rPr>
          <w:rFonts w:ascii="Times New Roman" w:hAnsi="Times New Roman" w:cs="Times New Roman"/>
        </w:rPr>
        <w:t xml:space="preserve">Санкт-Петербурга»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635"/>
        <w:jc w:val="right"/>
        <w:spacing w:line="360" w:lineRule="auto"/>
        <w:rPr>
          <w:rFonts w:ascii="Times New Roman" w:hAnsi="Times New Roman" w:cs="Times New Roman"/>
        </w:rPr>
        <w:outlineLvl w:val="0"/>
      </w:pPr>
      <w:r>
        <w:rPr>
          <w:rFonts w:ascii="Times New Roman" w:hAnsi="Times New Roman" w:cs="Times New Roman"/>
        </w:rPr>
        <w:t xml:space="preserve">Д.А.</w:t>
      </w: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 xml:space="preserve">Авилов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right"/>
        <w:tabs>
          <w:tab w:val="left" w:pos="6039" w:leader="none"/>
          <w:tab w:val="left" w:pos="8222" w:leader="none"/>
        </w:tabs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eastAsia="Times New Roman" w:cs="Times New Roman"/>
          <w:color w:val="auto"/>
        </w:rPr>
        <w:t xml:space="preserve">    </w:t>
      </w:r>
      <w:r>
        <w:rPr>
          <w:rFonts w:ascii="Times New Roman" w:hAnsi="Times New Roman" w:cs="Times New Roman"/>
          <w:bCs/>
          <w:color w:val="auto"/>
        </w:rPr>
      </w:r>
      <w:r>
        <w:rPr>
          <w:rFonts w:ascii="Times New Roman" w:hAnsi="Times New Roman" w:cs="Times New Roman"/>
          <w:bCs/>
          <w:color w:val="auto"/>
        </w:rPr>
      </w:r>
    </w:p>
    <w:p>
      <w:pPr>
        <w:jc w:val="center"/>
        <w:spacing w:after="160" w:line="259" w:lineRule="auto"/>
        <w:widowControl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</w:rPr>
        <w:t xml:space="preserve">Обоснование цены контракта (договора), заключаемого с единственным </w:t>
      </w:r>
      <w:r>
        <w:rPr>
          <w:rFonts w:ascii="Times New Roman" w:hAnsi="Times New Roman" w:cs="Times New Roman"/>
          <w:b/>
        </w:rPr>
        <w:t xml:space="preserve">исполнителем</w:t>
      </w:r>
      <w:r>
        <w:rPr>
          <w:rFonts w:ascii="Times New Roman" w:hAnsi="Times New Roman" w:cs="Times New Roman"/>
          <w:b/>
          <w:bCs/>
          <w:color w:val="auto"/>
        </w:rPr>
      </w:r>
      <w:r>
        <w:rPr>
          <w:rFonts w:ascii="Times New Roman" w:hAnsi="Times New Roman" w:cs="Times New Roman"/>
          <w:b/>
          <w:bCs/>
          <w:color w:val="auto"/>
        </w:rPr>
      </w:r>
    </w:p>
    <w:p>
      <w:pPr>
        <w:jc w:val="center"/>
        <w:rPr>
          <w:rFonts w:ascii="Times New Roman" w:hAnsi="Times New Roman" w:eastAsia="Times New Roman" w:cs="Times New Roman"/>
          <w:i/>
          <w:color w:val="auto"/>
          <w:lang w:eastAsia="ar-SA" w:bidi="ar-SA"/>
        </w:rPr>
      </w:pPr>
      <w:r>
        <w:rPr>
          <w:rFonts w:ascii="Times New Roman" w:hAnsi="Times New Roman" w:eastAsia="Times New Roman" w:cs="Times New Roman"/>
          <w:i/>
          <w:color w:val="auto"/>
          <w:lang w:eastAsia="ar-SA" w:bidi="ar-SA"/>
        </w:rPr>
        <w:t xml:space="preserve">«</w:t>
      </w:r>
      <w:r>
        <w:rPr>
          <w:rFonts w:ascii="Times New Roman" w:hAnsi="Times New Roman" w:eastAsia="Times New Roman" w:cs="Times New Roman"/>
          <w:i/>
          <w:color w:val="auto"/>
          <w:lang w:eastAsia="ar-SA" w:bidi="ar-SA"/>
        </w:rPr>
        <w:t xml:space="preserve">Поставка  </w:t>
      </w:r>
      <w:r>
        <w:rPr>
          <w:rFonts w:ascii="Times New Roman" w:hAnsi="Times New Roman" w:eastAsia="Times New Roman" w:cs="Times New Roman"/>
          <w:i/>
          <w:color w:val="auto"/>
          <w:lang w:eastAsia="ar-SA" w:bidi="ar-SA"/>
        </w:rPr>
        <w:t xml:space="preserve">термотрансферных этикеток</w:t>
      </w:r>
      <w:r>
        <w:rPr>
          <w:rFonts w:ascii="Times New Roman" w:hAnsi="Times New Roman" w:eastAsia="Times New Roman" w:cs="Times New Roman"/>
          <w:i/>
          <w:color w:val="auto"/>
          <w:lang w:eastAsia="ar-SA" w:bidi="ar-SA"/>
        </w:rPr>
        <w:t xml:space="preserve"> </w:t>
      </w:r>
      <w:r>
        <w:rPr>
          <w:rFonts w:ascii="Times New Roman" w:hAnsi="Times New Roman" w:eastAsia="Times New Roman" w:cs="Times New Roman"/>
          <w:i/>
          <w:color w:val="auto"/>
          <w:lang w:eastAsia="ar-SA" w:bidi="ar-SA"/>
        </w:rPr>
        <w:t xml:space="preserve">для обеспечения нужд Санкт-Петербурга»</w:t>
      </w:r>
      <w:r>
        <w:rPr>
          <w:rFonts w:ascii="Times New Roman" w:hAnsi="Times New Roman" w:eastAsia="Times New Roman" w:cs="Times New Roman"/>
          <w:i/>
          <w:color w:val="auto"/>
          <w:lang w:eastAsia="ar-SA" w:bidi="ar-SA"/>
        </w:rPr>
      </w:r>
      <w:r>
        <w:rPr>
          <w:rFonts w:ascii="Times New Roman" w:hAnsi="Times New Roman" w:eastAsia="Times New Roman" w:cs="Times New Roman"/>
          <w:i/>
          <w:color w:val="auto"/>
          <w:lang w:eastAsia="ar-SA" w:bidi="ar-SA"/>
        </w:rPr>
      </w:r>
    </w:p>
    <w:p>
      <w:pPr>
        <w:jc w:val="center"/>
        <w:widowControl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</w:r>
      <w:r>
        <w:rPr>
          <w:rFonts w:ascii="Times New Roman" w:hAnsi="Times New Roman" w:cs="Times New Roman"/>
          <w:i/>
          <w:u w:val="single"/>
        </w:rPr>
      </w:r>
      <w:r>
        <w:rPr>
          <w:rFonts w:ascii="Times New Roman" w:hAnsi="Times New Roman" w:cs="Times New Roman"/>
          <w:i/>
          <w:u w:val="single"/>
        </w:rPr>
      </w:r>
    </w:p>
    <w:p>
      <w:pPr>
        <w:ind w:left="-142"/>
        <w:jc w:val="center"/>
        <w:rPr>
          <w:rFonts w:ascii="Times New Roman" w:hAnsi="Times New Roman" w:cs="Times New Roman"/>
          <w:i/>
          <w:iCs/>
        </w:rPr>
        <w:outlineLvl w:val="0"/>
      </w:pPr>
      <w:r>
        <w:rPr>
          <w:rFonts w:ascii="Times New Roman" w:hAnsi="Times New Roman" w:cs="Times New Roman"/>
          <w:i/>
        </w:rPr>
        <w:t xml:space="preserve">Способ определения исполнителя</w:t>
      </w:r>
      <w:r>
        <w:rPr>
          <w:rFonts w:ascii="Times New Roman" w:hAnsi="Times New Roman" w:cs="Times New Roman"/>
          <w:i/>
        </w:rPr>
        <w:t xml:space="preserve">: у единственно</w:t>
      </w:r>
      <w:r>
        <w:rPr>
          <w:rFonts w:ascii="Times New Roman" w:hAnsi="Times New Roman" w:cs="Times New Roman"/>
          <w:i/>
        </w:rPr>
        <w:t xml:space="preserve">го исполнителя</w:t>
      </w:r>
      <w:r>
        <w:rPr>
          <w:rFonts w:ascii="Times New Roman" w:hAnsi="Times New Roman" w:cs="Times New Roman"/>
          <w:i/>
        </w:rPr>
        <w:t xml:space="preserve">, </w:t>
      </w:r>
      <w:r>
        <w:rPr>
          <w:rFonts w:ascii="Times New Roman" w:hAnsi="Times New Roman" w:cs="Times New Roman"/>
          <w:i/>
        </w:rPr>
        <w:br/>
        <w:t xml:space="preserve">в </w:t>
      </w:r>
      <w:r>
        <w:rPr>
          <w:rFonts w:ascii="Times New Roman" w:hAnsi="Times New Roman" w:cs="Times New Roman"/>
          <w:i/>
        </w:rPr>
        <w:t xml:space="preserve">соответствии</w:t>
      </w:r>
      <w:r>
        <w:rPr>
          <w:rFonts w:ascii="Times New Roman" w:hAnsi="Times New Roman" w:cs="Times New Roman"/>
          <w:i/>
        </w:rPr>
        <w:t xml:space="preserve"> с пунктом 4 части 1 статьи 93 </w:t>
      </w:r>
      <w:r>
        <w:rPr>
          <w:rFonts w:ascii="Times New Roman" w:hAnsi="Times New Roman" w:cs="Times New Roman"/>
          <w:i/>
          <w:iCs/>
        </w:rPr>
        <w:t xml:space="preserve">Федерального закона от 05.04.2013</w:t>
      </w:r>
      <w:r>
        <w:rPr>
          <w:rFonts w:ascii="Times New Roman" w:hAnsi="Times New Roman" w:cs="Times New Roman"/>
          <w:i/>
          <w:iCs/>
        </w:rPr>
      </w:r>
      <w:r>
        <w:rPr>
          <w:rFonts w:ascii="Times New Roman" w:hAnsi="Times New Roman" w:cs="Times New Roman"/>
          <w:i/>
          <w:iCs/>
        </w:rPr>
      </w:r>
    </w:p>
    <w:p>
      <w:pPr>
        <w:ind w:left="-142"/>
        <w:jc w:val="center"/>
        <w:rPr>
          <w:rFonts w:ascii="Times New Roman" w:hAnsi="Times New Roman" w:cs="Times New Roman"/>
          <w:b/>
          <w:i/>
          <w:u w:val="single"/>
        </w:rPr>
        <w:outlineLvl w:val="0"/>
      </w:pPr>
      <w:r>
        <w:rPr>
          <w:rFonts w:ascii="Times New Roman" w:hAnsi="Times New Roman" w:cs="Times New Roman"/>
          <w:i/>
          <w:iCs/>
        </w:rPr>
        <w:t xml:space="preserve"> № 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i/>
          <w:iCs/>
        </w:rPr>
        <w:br/>
      </w:r>
      <w:r>
        <w:rPr>
          <w:rFonts w:ascii="Times New Roman" w:hAnsi="Times New Roman" w:cs="Times New Roman"/>
          <w:b/>
          <w:i/>
          <w:u w:val="single"/>
        </w:rPr>
        <w:t xml:space="preserve">посредством «АИС ГЗ: Электронный магазин»</w:t>
      </w:r>
      <w:r>
        <w:rPr>
          <w:rFonts w:ascii="Times New Roman" w:hAnsi="Times New Roman" w:cs="Times New Roman"/>
          <w:b/>
          <w:i/>
          <w:u w:val="single"/>
        </w:rPr>
      </w:r>
      <w:r>
        <w:rPr>
          <w:rFonts w:ascii="Times New Roman" w:hAnsi="Times New Roman" w:cs="Times New Roman"/>
          <w:b/>
          <w:i/>
          <w:u w:val="single"/>
        </w:rPr>
      </w:r>
    </w:p>
    <w:p>
      <w:pPr>
        <w:jc w:val="center"/>
        <w:widowControl/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u w:val="single"/>
        </w:rPr>
      </w:r>
      <w:r>
        <w:rPr>
          <w:rFonts w:ascii="Times New Roman" w:hAnsi="Times New Roman" w:cs="Times New Roman"/>
          <w:i/>
          <w:u w:val="single"/>
        </w:rPr>
      </w:r>
      <w:r>
        <w:rPr>
          <w:rFonts w:ascii="Times New Roman" w:hAnsi="Times New Roman" w:cs="Times New Roman"/>
          <w:i/>
          <w:u w:val="single"/>
        </w:rPr>
      </w:r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Цена контракта определена и обоснована в соответствии с </w:t>
      </w:r>
      <w:r>
        <w:rPr>
          <w:rFonts w:ascii="Times New Roman" w:hAnsi="Times New Roman" w:cs="Times New Roman"/>
          <w:color w:val="auto"/>
        </w:rPr>
        <w:t xml:space="preserve">требованиями </w:t>
      </w:r>
      <w:hyperlink r:id="rId10" w:tooltip="consultantplus://offline/ref=EB9854B23D85897930905B1BBECE8AF7685842A66EE54FE1014FD39FA00362A8A0152E9B42EDA878w5k0H" w:history="1">
        <w:r>
          <w:rPr>
            <w:rStyle w:val="863"/>
            <w:rFonts w:ascii="Times New Roman" w:hAnsi="Times New Roman"/>
            <w:color w:val="auto"/>
            <w:u w:val="none"/>
          </w:rPr>
          <w:t xml:space="preserve">статьи 22</w:t>
        </w:r>
      </w:hyperlink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Cs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</w:t>
      </w:r>
      <w:r>
        <w:rPr>
          <w:rFonts w:ascii="Times New Roman" w:hAnsi="Times New Roman" w:cs="Times New Roman"/>
          <w:iCs/>
        </w:rPr>
        <w:t xml:space="preserve">иципальных нужд»</w:t>
      </w:r>
      <w:r>
        <w:rPr>
          <w:rFonts w:ascii="Times New Roman" w:hAnsi="Times New Roman" w:cs="Times New Roman"/>
          <w:iCs/>
        </w:rPr>
        <w:t xml:space="preserve">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м</w:t>
      </w:r>
      <w:r>
        <w:rPr>
          <w:rFonts w:ascii="Times New Roman" w:hAnsi="Times New Roman" w:cs="Times New Roman"/>
          <w:color w:val="auto"/>
        </w:rPr>
        <w:t xml:space="preserve">етодических </w:t>
      </w:r>
      <w:hyperlink r:id="rId11" w:tooltip="consultantplus://offline/ref=EB9854B23D85897930905B1BBECE8AF76B5546A760EB4FE1014FD39FA00362A8A0152E9B42EDAA79w5k1H" w:history="1">
        <w:r>
          <w:rPr>
            <w:rStyle w:val="863"/>
            <w:rFonts w:ascii="Times New Roman" w:hAnsi="Times New Roman"/>
            <w:color w:val="auto"/>
            <w:u w:val="none"/>
          </w:rPr>
          <w:t xml:space="preserve">рекомендаций</w:t>
        </w:r>
      </w:hyperlink>
      <w:r>
        <w:rPr>
          <w:rFonts w:ascii="Times New Roman" w:hAnsi="Times New Roman" w:cs="Times New Roman"/>
          <w:color w:val="auto"/>
        </w:rPr>
        <w:t xml:space="preserve"> по применению методов определения начальной (максимальной) цены контракта</w:t>
      </w:r>
      <w:r>
        <w:rPr>
          <w:rFonts w:ascii="Times New Roman" w:hAnsi="Times New Roman" w:cs="Times New Roman"/>
        </w:rPr>
        <w:t xml:space="preserve">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(далее - Методические рекомендации),</w:t>
      </w:r>
      <w:r>
        <w:rPr>
          <w:rFonts w:ascii="Times New Roman" w:hAnsi="Times New Roman" w:cs="Times New Roman"/>
        </w:rPr>
        <w:t xml:space="preserve"> постановлением Правительства от 23.12.2024 №1875 «</w:t>
      </w:r>
      <w:r>
        <w:rPr>
          <w:rFonts w:ascii="Times New Roman" w:hAnsi="Times New Roman" w:cs="Times New Roman"/>
        </w:rPr>
        <w:t xml:space="preserve">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для обеспечения</w:t>
      </w:r>
      <w:r>
        <w:rPr>
          <w:rFonts w:ascii="Times New Roman" w:hAnsi="Times New Roman" w:cs="Times New Roman"/>
        </w:rPr>
        <w:t xml:space="preserve"> государственных и муниципальных нужд, закупок товаров, работ, услуг отдельными видами юридических лиц» (далее – ПП №1875) </w:t>
      </w:r>
      <w:r>
        <w:rPr>
          <w:rFonts w:ascii="Times New Roman" w:hAnsi="Times New Roman" w:cs="Times New Roman"/>
        </w:rPr>
        <w:t xml:space="preserve">посредством применения следующего метода: метод сопоставимых рыночных цен (анализа рынка).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r>
        <w:rPr>
          <w:rFonts w:ascii="Times New Roman" w:hAnsi="Times New Roman" w:cs="Times New Roman"/>
        </w:rPr>
        <w:t xml:space="preserve">соответствии</w:t>
      </w:r>
      <w:r>
        <w:rPr>
          <w:rFonts w:ascii="Times New Roman" w:hAnsi="Times New Roman" w:cs="Times New Roman"/>
        </w:rPr>
        <w:t xml:space="preserve"> с разделом 3 Методических рекомендац</w:t>
      </w:r>
      <w:r>
        <w:rPr>
          <w:rFonts w:ascii="Times New Roman" w:hAnsi="Times New Roman" w:cs="Times New Roman"/>
        </w:rPr>
        <w:t xml:space="preserve">ий Заказчиком осуществлен сбор </w:t>
      </w:r>
      <w:r>
        <w:rPr>
          <w:rFonts w:ascii="Times New Roman" w:hAnsi="Times New Roman" w:cs="Times New Roman"/>
        </w:rPr>
        <w:t xml:space="preserve">и анализ общедоступной ценовой информации, размещенной в открытом доступе </w:t>
      </w:r>
      <w:r>
        <w:rPr>
          <w:rFonts w:ascii="Times New Roman" w:hAnsi="Times New Roman" w:cs="Times New Roman"/>
        </w:rPr>
        <w:br/>
        <w:t xml:space="preserve">в информационно-телекоммуникационной сети «Интернет». В </w:t>
      </w:r>
      <w:r>
        <w:rPr>
          <w:rFonts w:ascii="Times New Roman" w:hAnsi="Times New Roman" w:cs="Times New Roman"/>
        </w:rPr>
        <w:t xml:space="preserve">расчете</w:t>
      </w:r>
      <w:r>
        <w:rPr>
          <w:rFonts w:ascii="Times New Roman" w:hAnsi="Times New Roman" w:cs="Times New Roman"/>
        </w:rPr>
        <w:t xml:space="preserve"> цены контракта Заказчиком использована информац</w:t>
      </w:r>
      <w:r>
        <w:rPr>
          <w:rFonts w:ascii="Times New Roman" w:hAnsi="Times New Roman" w:cs="Times New Roman"/>
        </w:rPr>
        <w:t xml:space="preserve">ия о цене т</w:t>
      </w:r>
      <w:r>
        <w:rPr>
          <w:rFonts w:ascii="Times New Roman" w:hAnsi="Times New Roman" w:cs="Times New Roman"/>
        </w:rPr>
        <w:t xml:space="preserve">овара, содержащаяся на сайтах поставщиков идентичных товаров в информационно-телекоммуникационной сети «Интернет».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ar-SA"/>
        </w:rPr>
        <w:t xml:space="preserve">В </w:t>
      </w:r>
      <w:r>
        <w:rPr>
          <w:rFonts w:ascii="Times New Roman" w:hAnsi="Times New Roman" w:cs="Times New Roman"/>
          <w:lang w:eastAsia="ar-SA"/>
        </w:rPr>
        <w:t xml:space="preserve">цену контракта включены все расходы на перевозку, разгрузку, перенос Товара </w:t>
        <w:br/>
        <w:t xml:space="preserve">до места хранения,</w:t>
      </w:r>
      <w:r>
        <w:rPr>
          <w:rFonts w:ascii="Times New Roman" w:hAnsi="Times New Roman" w:cs="Times New Roman"/>
          <w:lang w:eastAsia="ar-SA"/>
        </w:rPr>
        <w:t xml:space="preserve"> страхование, уплату </w:t>
      </w:r>
      <w:r>
        <w:rPr>
          <w:rFonts w:ascii="Times New Roman" w:hAnsi="Times New Roman" w:cs="Times New Roman"/>
          <w:lang w:eastAsia="ar-SA"/>
        </w:rPr>
        <w:t xml:space="preserve">пошлин, налогов, в том числе налога </w:t>
        <w:br/>
        <w:t xml:space="preserve">на добавленную стоимость,</w:t>
      </w:r>
      <w:r>
        <w:rPr>
          <w:rFonts w:ascii="Times New Roman" w:hAnsi="Times New Roman" w:cs="Times New Roman"/>
          <w:lang w:eastAsia="ar-SA"/>
        </w:rPr>
        <w:t xml:space="preserve"> сборов</w:t>
      </w:r>
      <w:r>
        <w:rPr>
          <w:rFonts w:ascii="Times New Roman" w:hAnsi="Times New Roman" w:cs="Times New Roman"/>
          <w:lang w:eastAsia="ar-SA"/>
        </w:rPr>
        <w:t xml:space="preserve"> и других обязательных платежей,</w:t>
      </w:r>
      <w:r>
        <w:rPr>
          <w:rFonts w:ascii="Times New Roman" w:hAnsi="Times New Roman" w:cs="Times New Roman"/>
          <w:lang w:eastAsia="ar-SA"/>
        </w:rPr>
        <w:br/>
      </w:r>
      <w:r>
        <w:rPr>
          <w:rFonts w:ascii="Times New Roman" w:hAnsi="Times New Roman" w:cs="Times New Roman"/>
          <w:lang w:eastAsia="ar-SA"/>
        </w:rPr>
        <w:t xml:space="preserve">а также прочие расходы, связанные с исполнением контракта.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540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Согласно р</w:t>
      </w:r>
      <w:r>
        <w:rPr>
          <w:rFonts w:ascii="Times New Roman" w:hAnsi="Times New Roman" w:eastAsia="Times New Roman" w:cs="Times New Roman"/>
        </w:rPr>
        <w:t xml:space="preserve">екомендациям Комитета по государственному заказу Санкт-Петербурга </w:t>
      </w:r>
      <w:r>
        <w:rPr>
          <w:rFonts w:ascii="Times New Roman" w:hAnsi="Times New Roman" w:eastAsia="Times New Roman" w:cs="Times New Roman"/>
        </w:rPr>
        <w:br/>
        <w:t xml:space="preserve">по определению и обоснованию цены контракта, заключаемого с единственным </w:t>
      </w:r>
      <w:r>
        <w:rPr>
          <w:rFonts w:ascii="Times New Roman" w:hAnsi="Times New Roman" w:eastAsia="Times New Roman" w:cs="Times New Roman"/>
        </w:rPr>
        <w:t xml:space="preserve">исполнителем</w:t>
      </w:r>
      <w:r>
        <w:rPr>
          <w:rFonts w:ascii="Times New Roman" w:hAnsi="Times New Roman" w:eastAsia="Times New Roman" w:cs="Times New Roman"/>
        </w:rPr>
        <w:t xml:space="preserve"> </w:t>
      </w:r>
      <w:r>
        <w:rPr>
          <w:rFonts w:ascii="Times New Roman" w:hAnsi="Times New Roman" w:eastAsia="Times New Roman" w:cs="Times New Roman"/>
        </w:rPr>
        <w:t xml:space="preserve">в случаях, установленных Законом, </w:t>
      </w:r>
      <w:bookmarkStart w:id="0" w:name="undefined"/>
      <w:r/>
      <w:bookmarkEnd w:id="0"/>
      <w:r>
        <w:rPr>
          <w:rFonts w:ascii="Times New Roman" w:hAnsi="Times New Roman" w:eastAsia="Times New Roman" w:cs="Times New Roman"/>
        </w:rPr>
        <w:t xml:space="preserve">цена контракта определена </w:t>
        <w:br/>
      </w:r>
      <w:r>
        <w:rPr>
          <w:rFonts w:ascii="Times New Roman" w:hAnsi="Times New Roman" w:eastAsia="Times New Roman" w:cs="Times New Roman"/>
          <w:bCs/>
          <w:iCs/>
        </w:rPr>
        <w:t xml:space="preserve">по </w:t>
      </w:r>
      <w:r>
        <w:rPr>
          <w:rFonts w:ascii="Times New Roman" w:hAnsi="Times New Roman" w:eastAsia="Times New Roman" w:cs="Times New Roman"/>
          <w:bCs/>
          <w:iCs/>
        </w:rPr>
        <w:t xml:space="preserve">минимальному источнику ценовой информации</w:t>
      </w:r>
      <w:r>
        <w:rPr>
          <w:rFonts w:ascii="Times New Roman" w:hAnsi="Times New Roman" w:eastAsia="Times New Roman" w:cs="Times New Roman"/>
          <w:bCs/>
          <w:iCs/>
        </w:rPr>
        <w:t xml:space="preserve"> (Письмо </w:t>
      </w:r>
      <w:r>
        <w:rPr>
          <w:rFonts w:ascii="Times New Roman" w:hAnsi="Times New Roman" w:eastAsia="Times New Roman" w:cs="Times New Roman"/>
        </w:rPr>
        <w:t xml:space="preserve">Коми</w:t>
      </w:r>
      <w:r>
        <w:rPr>
          <w:rFonts w:ascii="Times New Roman" w:hAnsi="Times New Roman" w:eastAsia="Times New Roman" w:cs="Times New Roman"/>
        </w:rPr>
        <w:t xml:space="preserve">тета </w:t>
        <w:br/>
        <w:t xml:space="preserve">по государственному заказу</w:t>
      </w:r>
      <w:r>
        <w:rPr>
          <w:rFonts w:ascii="Times New Roman" w:hAnsi="Times New Roman" w:eastAsia="Times New Roman" w:cs="Times New Roman"/>
        </w:rPr>
        <w:t xml:space="preserve"> </w:t>
      </w:r>
      <w:r>
        <w:rPr>
          <w:rFonts w:ascii="Times New Roman" w:hAnsi="Times New Roman" w:eastAsia="Times New Roman" w:cs="Times New Roman"/>
        </w:rPr>
        <w:t xml:space="preserve">Санкт-Петербурга</w:t>
      </w:r>
      <w:r>
        <w:rPr>
          <w:rFonts w:ascii="Times New Roman" w:hAnsi="Times New Roman" w:eastAsia="Times New Roman" w:cs="Times New Roman"/>
        </w:rPr>
        <w:t xml:space="preserve"> </w:t>
      </w:r>
      <w:r>
        <w:rPr>
          <w:rFonts w:ascii="Times New Roman" w:hAnsi="Times New Roman" w:eastAsia="Times New Roman" w:cs="Times New Roman"/>
        </w:rPr>
        <w:t xml:space="preserve">от 20.05.2025 № 05-32-1850/25-0-1</w:t>
      </w:r>
      <w:r>
        <w:rPr>
          <w:rFonts w:ascii="Times New Roman" w:hAnsi="Times New Roman" w:eastAsia="Times New Roman" w:cs="Times New Roman"/>
          <w:bCs/>
          <w:iCs/>
        </w:rPr>
        <w:t xml:space="preserve">)</w:t>
      </w:r>
      <w:r>
        <w:rPr>
          <w:rFonts w:ascii="Times New Roman" w:hAnsi="Times New Roman" w:eastAsia="Times New Roman" w:cs="Times New Roman"/>
        </w:rPr>
        <w:t xml:space="preserve">.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ind w:firstLine="540"/>
        <w:jc w:val="both"/>
        <w:widowControl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Cs/>
          <w:color w:val="auto"/>
        </w:rPr>
        <w:t xml:space="preserve">Валюта, используемая для формирования цены контракта и расчетов с </w:t>
      </w:r>
      <w:r>
        <w:rPr>
          <w:rFonts w:ascii="Times New Roman" w:hAnsi="Times New Roman" w:cs="Times New Roman"/>
          <w:color w:val="auto"/>
        </w:rPr>
        <w:t xml:space="preserve">поставщиком  - рубль Российской Федерации.</w:t>
      </w:r>
      <w:r>
        <w:rPr>
          <w:rFonts w:ascii="Times New Roman" w:hAnsi="Times New Roman" w:cs="Times New Roman"/>
          <w:color w:val="auto"/>
        </w:rPr>
      </w:r>
      <w:r>
        <w:rPr>
          <w:rFonts w:ascii="Times New Roman" w:hAnsi="Times New Roman" w:cs="Times New Roman"/>
          <w:color w:val="auto"/>
        </w:rPr>
      </w:r>
    </w:p>
    <w:p>
      <w:pPr>
        <w:jc w:val="both"/>
        <w:widowControl/>
        <w:rPr>
          <w:rFonts w:ascii="Times New Roman" w:hAnsi="Times New Roman" w:cs="Times New Roman"/>
          <w:color w:val="auto"/>
        </w:rPr>
        <w:sectPr>
          <w:footnotePr/>
          <w:endnotePr/>
          <w:type w:val="nextPage"/>
          <w:pgSz w:w="11906" w:h="16838" w:orient="portrait"/>
          <w:pgMar w:top="397" w:right="851" w:bottom="624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color w:val="auto"/>
        </w:rPr>
      </w:r>
      <w:r>
        <w:rPr>
          <w:rFonts w:ascii="Times New Roman" w:hAnsi="Times New Roman" w:cs="Times New Roman"/>
          <w:color w:val="auto"/>
        </w:rPr>
      </w:r>
      <w:r>
        <w:rPr>
          <w:rFonts w:ascii="Times New Roman" w:hAnsi="Times New Roman" w:cs="Times New Roman"/>
          <w:color w:val="auto"/>
        </w:rPr>
      </w:r>
    </w:p>
    <w:p>
      <w:pPr>
        <w:ind w:left="-142"/>
        <w:jc w:val="center"/>
        <w:rPr>
          <w:rFonts w:ascii="Times New Roman" w:hAnsi="Times New Roman" w:cs="Times New Roman"/>
          <w:b/>
          <w:bCs/>
        </w:rPr>
        <w:outlineLvl w:val="0"/>
      </w:pPr>
      <w:r>
        <w:rPr>
          <w:rFonts w:ascii="Times New Roman" w:hAnsi="Times New Roman" w:cs="Times New Roman"/>
          <w:b/>
          <w:bCs/>
        </w:rPr>
        <w:t xml:space="preserve">Расчет цены контракта</w: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ind w:left="-142"/>
        <w:jc w:val="center"/>
        <w:rPr>
          <w:rFonts w:ascii="Times New Roman" w:hAnsi="Times New Roman" w:cs="Times New Roman"/>
          <w:b/>
          <w:bCs/>
        </w:rPr>
        <w:outlineLvl w:val="0"/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rPr>
          <w:rFonts w:ascii="Times New Roman" w:hAnsi="Times New Roman" w:eastAsia="Times New Roman" w:cs="Times New Roman"/>
          <w:i/>
          <w:color w:val="auto"/>
          <w:lang w:eastAsia="ar-SA" w:bidi="ar-SA"/>
        </w:rPr>
      </w:pPr>
      <w:r>
        <w:rPr>
          <w:rFonts w:ascii="Times New Roman" w:hAnsi="Times New Roman" w:eastAsia="Times New Roman" w:cs="Times New Roman"/>
          <w:i/>
          <w:color w:val="auto"/>
          <w:lang w:eastAsia="ar-SA" w:bidi="ar-SA"/>
        </w:rPr>
        <w:t xml:space="preserve">«Поставка  </w:t>
      </w:r>
      <w:r>
        <w:rPr>
          <w:rFonts w:ascii="Times New Roman" w:hAnsi="Times New Roman" w:eastAsia="Times New Roman" w:cs="Times New Roman"/>
          <w:i/>
          <w:color w:val="auto"/>
          <w:lang w:eastAsia="ar-SA" w:bidi="ar-SA"/>
        </w:rPr>
        <w:t xml:space="preserve">термотрансферных</w:t>
      </w:r>
      <w:r>
        <w:rPr>
          <w:rFonts w:ascii="Times New Roman" w:hAnsi="Times New Roman" w:eastAsia="Times New Roman" w:cs="Times New Roman"/>
          <w:i/>
          <w:color w:val="auto"/>
          <w:lang w:eastAsia="ar-SA" w:bidi="ar-SA"/>
        </w:rPr>
        <w:t xml:space="preserve">  этикеток для обеспечения нужд Санкт-Петербурга»</w:t>
      </w:r>
      <w:r>
        <w:rPr>
          <w:rFonts w:ascii="Times New Roman" w:hAnsi="Times New Roman" w:eastAsia="Times New Roman" w:cs="Times New Roman"/>
          <w:i/>
          <w:color w:val="auto"/>
          <w:lang w:eastAsia="ar-SA" w:bidi="ar-SA"/>
        </w:rPr>
      </w:r>
      <w:r>
        <w:rPr>
          <w:rFonts w:ascii="Times New Roman" w:hAnsi="Times New Roman" w:eastAsia="Times New Roman" w:cs="Times New Roman"/>
          <w:i/>
          <w:color w:val="auto"/>
          <w:lang w:eastAsia="ar-SA" w:bidi="ar-SA"/>
        </w:rPr>
      </w:r>
    </w:p>
    <w:p>
      <w:pPr>
        <w:ind w:left="-142"/>
        <w:jc w:val="center"/>
        <w:rPr>
          <w:rFonts w:ascii="Times New Roman" w:hAnsi="Times New Roman" w:cs="Times New Roman"/>
        </w:rPr>
        <w:outlineLvl w:val="0"/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rPr>
          <w:rFonts w:ascii="Times New Roman" w:hAnsi="Times New Roman" w:cs="Times New Roman"/>
          <w:bCs/>
          <w:i/>
          <w:color w:val="auto"/>
          <w:sz w:val="26"/>
          <w:szCs w:val="26"/>
          <w:u w:val="single"/>
        </w:rPr>
      </w:pPr>
      <w:r>
        <w:rPr>
          <w:rFonts w:ascii="Times New Roman" w:hAnsi="Times New Roman" w:cs="Times New Roman"/>
          <w:bCs/>
          <w:i/>
          <w:color w:val="auto"/>
          <w:sz w:val="26"/>
          <w:szCs w:val="26"/>
          <w:u w:val="single"/>
        </w:rPr>
      </w:r>
      <w:r>
        <w:rPr>
          <w:rFonts w:ascii="Times New Roman" w:hAnsi="Times New Roman" w:cs="Times New Roman"/>
          <w:bCs/>
          <w:i/>
          <w:color w:val="auto"/>
          <w:sz w:val="26"/>
          <w:szCs w:val="26"/>
          <w:u w:val="single"/>
        </w:rPr>
      </w:r>
      <w:r>
        <w:rPr>
          <w:rFonts w:ascii="Times New Roman" w:hAnsi="Times New Roman" w:cs="Times New Roman"/>
          <w:bCs/>
          <w:i/>
          <w:color w:val="auto"/>
          <w:sz w:val="26"/>
          <w:szCs w:val="26"/>
          <w:u w:val="single"/>
        </w:rPr>
      </w:r>
    </w:p>
    <w:tbl>
      <w:tblPr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567"/>
        <w:gridCol w:w="2410"/>
        <w:gridCol w:w="1843"/>
        <w:gridCol w:w="1643"/>
        <w:gridCol w:w="1643"/>
        <w:gridCol w:w="1643"/>
        <w:gridCol w:w="1643"/>
        <w:gridCol w:w="1643"/>
        <w:gridCol w:w="1849"/>
      </w:tblGrid>
      <w:tr>
        <w:tblPrEx/>
        <w:trPr>
          <w:trHeight w:val="182"/>
        </w:trPr>
        <w:tc>
          <w:tcPr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bidi="ar-SA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bidi="ar-SA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bidi="ar-SA"/>
              </w:rPr>
              <w:t xml:space="preserve">/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bidi="ar-SA"/>
              </w:rPr>
              <w:t xml:space="preserve">п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</w:r>
          </w:p>
        </w:tc>
        <w:tc>
          <w:tcPr>
            <w:tcW w:w="241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bidi="ar-SA"/>
              </w:rPr>
              <w:t xml:space="preserve">Наименование услуги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bidi="ar-SA"/>
              </w:rPr>
              <w:t xml:space="preserve">/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bidi="ar-SA"/>
              </w:rPr>
              <w:t xml:space="preserve">ОКПД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bidi="ar-SA"/>
              </w:rPr>
              <w:t xml:space="preserve">2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</w:r>
          </w:p>
        </w:tc>
        <w:tc>
          <w:tcPr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Единица измерения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gridSpan w:val="3"/>
            <w:tcW w:w="492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bidi="ar-SA"/>
              </w:rPr>
              <w:t xml:space="preserve">Номер источника ценовой информации (ИЦИ №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bidi="ar-SA"/>
              </w:rPr>
              <w:t xml:space="preserve">i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bidi="ar-SA"/>
              </w:rPr>
              <w:t xml:space="preserve">) и цена единицы услуги, представленная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bidi="ar-SA"/>
              </w:rPr>
              <w:t xml:space="preserve">i-тым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bidi="ar-SA"/>
              </w:rPr>
              <w:t xml:space="preserve"> ИЦИ (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bidi="ar-SA"/>
              </w:rPr>
              <w:t xml:space="preserve">Ц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bidi="ar-SA"/>
              </w:rPr>
              <w:t xml:space="preserve">i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bidi="ar-SA"/>
              </w:rPr>
              <w:t xml:space="preserve">), руб.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16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  <w:outlineLvl w:val="0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bidi="ar-SA"/>
              </w:rPr>
              <w:t xml:space="preserve">v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bidi="ar-SA"/>
              </w:rPr>
              <w:t xml:space="preserve"> - кол-во (объем) закупаемой услуги, ед.</w:t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sz w:val="28"/>
                <w:szCs w:val="28"/>
              </w:rPr>
            </w:r>
          </w:p>
        </w:tc>
        <w:tc>
          <w:tcPr>
            <w:tcW w:w="16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Минимальное ценовое предложение, руб.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84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Итого цена, руб. (7*8)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40"/>
        </w:trPr>
        <w:tc>
          <w:tcPr>
            <w:tcW w:w="56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i/>
                <w:sz w:val="28"/>
                <w:szCs w:val="28"/>
              </w:rPr>
              <w:outlineLvl w:val="0"/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i/>
                <w:sz w:val="28"/>
                <w:szCs w:val="28"/>
              </w:rPr>
              <w:outlineLvl w:val="0"/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</w:r>
          </w:p>
        </w:tc>
        <w:tc>
          <w:tcPr>
            <w:tcW w:w="184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i/>
                <w:sz w:val="28"/>
                <w:szCs w:val="28"/>
              </w:rPr>
              <w:outlineLvl w:val="0"/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</w:r>
          </w:p>
        </w:tc>
        <w:tc>
          <w:tcPr>
            <w:tcW w:w="16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Источник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№1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  <w:outlineLvl w:val="0"/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</w:r>
          </w:p>
        </w:tc>
        <w:tc>
          <w:tcPr>
            <w:tcW w:w="16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Источник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№2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outlineLvl w:val="0"/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r>
          </w:p>
        </w:tc>
        <w:tc>
          <w:tcPr>
            <w:tcW w:w="1643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Источник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инф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№3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  <w:outlineLvl w:val="0"/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</w:r>
          </w:p>
        </w:tc>
        <w:tc>
          <w:tcPr>
            <w:tcW w:w="164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i/>
                <w:sz w:val="28"/>
                <w:szCs w:val="28"/>
              </w:rPr>
              <w:outlineLvl w:val="0"/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</w:r>
          </w:p>
        </w:tc>
        <w:tc>
          <w:tcPr>
            <w:tcW w:w="164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i/>
                <w:sz w:val="28"/>
                <w:szCs w:val="28"/>
              </w:rPr>
              <w:outlineLvl w:val="0"/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</w:r>
          </w:p>
        </w:tc>
        <w:tc>
          <w:tcPr>
            <w:tcW w:w="184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i/>
                <w:sz w:val="28"/>
                <w:szCs w:val="28"/>
              </w:rPr>
              <w:outlineLvl w:val="0"/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</w:r>
          </w:p>
        </w:tc>
      </w:tr>
      <w:tr>
        <w:tblPrEx/>
        <w:trPr/>
        <w:tc>
          <w:tcPr>
            <w:tcW w:w="56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  <w:outlineLvl w:val="0"/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1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  <w:outlineLvl w:val="0"/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2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  <w:outlineLvl w:val="0"/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3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</w:r>
          </w:p>
        </w:tc>
        <w:tc>
          <w:tcPr>
            <w:tcW w:w="164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  <w:outlineLvl w:val="0"/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4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</w:r>
          </w:p>
        </w:tc>
        <w:tc>
          <w:tcPr>
            <w:tcW w:w="164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  <w:outlineLvl w:val="0"/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5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</w:r>
          </w:p>
        </w:tc>
        <w:tc>
          <w:tcPr>
            <w:tcW w:w="164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  <w:outlineLvl w:val="0"/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6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</w:r>
          </w:p>
        </w:tc>
        <w:tc>
          <w:tcPr>
            <w:tcW w:w="164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  <w:outlineLvl w:val="0"/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7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</w:r>
          </w:p>
        </w:tc>
        <w:tc>
          <w:tcPr>
            <w:tcW w:w="164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  <w:outlineLvl w:val="0"/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8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</w:r>
          </w:p>
        </w:tc>
        <w:tc>
          <w:tcPr>
            <w:tcW w:w="184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  <w:outlineLvl w:val="0"/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9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</w:r>
          </w:p>
        </w:tc>
      </w:tr>
      <w:tr>
        <w:tblPrEx/>
        <w:trPr>
          <w:trHeight w:val="920"/>
        </w:trPr>
        <w:tc>
          <w:tcPr>
            <w:tcW w:w="56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  <w:outlineLvl w:val="0"/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</w:r>
          </w:p>
        </w:tc>
        <w:tc>
          <w:tcPr>
            <w:tcW w:w="241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866"/>
                <w:rFonts w:eastAsia="Calibri"/>
                <w:sz w:val="20"/>
                <w:szCs w:val="20"/>
              </w:rPr>
              <w:t xml:space="preserve">Термотрансферные этикетки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17.29.11.110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рулон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43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146,63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43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154,68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43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157,00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43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43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146,63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849" w:type="dxa"/>
            <w:vAlign w:val="top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  <w:outlineLvl w:val="0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2 932,60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gridSpan w:val="8"/>
            <w:tcW w:w="13035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b/>
              </w:rPr>
              <w:outlineLvl w:val="0"/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ИТОГО, в том числе НДС: 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tcW w:w="184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</w:rPr>
              <w:outlineLvl w:val="0"/>
            </w:pPr>
            <w:r>
              <w:rPr>
                <w:rFonts w:ascii="Times New Roman" w:hAnsi="Times New Roman" w:cs="Times New Roman"/>
                <w:b/>
              </w:rPr>
              <w:t xml:space="preserve">2 932,60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</w:tr>
    </w:tbl>
    <w:p>
      <w:pPr>
        <w:pStyle w:val="859"/>
        <w:ind w:firstLine="0"/>
        <w:rPr>
          <w:sz w:val="12"/>
          <w:szCs w:val="12"/>
        </w:rPr>
      </w:pPr>
      <w:r>
        <w:rPr>
          <w:sz w:val="12"/>
          <w:szCs w:val="12"/>
        </w:rPr>
      </w:r>
      <w:r>
        <w:rPr>
          <w:sz w:val="12"/>
          <w:szCs w:val="12"/>
        </w:rPr>
      </w:r>
      <w:r>
        <w:rPr>
          <w:sz w:val="12"/>
          <w:szCs w:val="12"/>
        </w:rPr>
      </w:r>
    </w:p>
    <w:p>
      <w:pPr>
        <w:pStyle w:val="859"/>
        <w:ind w:firstLine="0"/>
      </w:pPr>
      <w:r/>
      <w:r/>
    </w:p>
    <w:p>
      <w:pPr>
        <w:pStyle w:val="859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Начальник</w:t>
      </w:r>
      <w:r>
        <w:rPr>
          <w:rFonts w:ascii="Times New Roman" w:hAnsi="Times New Roman"/>
        </w:rPr>
        <w:t xml:space="preserve"> планово-производственного отдела 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9"/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планово-экономического управления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Л.И.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Евсегнеева</w:t>
      </w:r>
      <w:r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9"/>
        <w:ind w:firstLine="1418"/>
        <w:rPr>
          <w:rFonts w:ascii="Times New Roman" w:hAnsi="Times New Roman"/>
        </w:rP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9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Начальник </w:t>
      </w:r>
      <w:r>
        <w:rPr>
          <w:rFonts w:ascii="Times New Roman" w:hAnsi="Times New Roman"/>
        </w:rPr>
        <w:t xml:space="preserve">планово-экономического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59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управления – главный бухгалтер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П.С.</w:t>
      </w:r>
      <w:r>
        <w:rPr>
          <w:rFonts w:ascii="Times New Roman" w:hAnsi="Times New Roman"/>
          <w:lang w:val="en-US"/>
        </w:rPr>
        <w:t xml:space="preserve"> </w:t>
      </w:r>
      <w:r>
        <w:rPr>
          <w:rFonts w:ascii="Times New Roman" w:hAnsi="Times New Roman"/>
        </w:rPr>
        <w:t xml:space="preserve">Выдряков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sectPr>
      <w:footnotePr/>
      <w:endnotePr/>
      <w:type w:val="nextPage"/>
      <w:pgSz w:w="16838" w:h="11906" w:orient="landscape"/>
      <w:pgMar w:top="1701" w:right="680" w:bottom="851" w:left="62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50102010706020507"/>
  </w:font>
  <w:font w:name="Times New Roman">
    <w:panose1 w:val="02020603050405020304"/>
  </w:font>
  <w:font w:name="Courier New">
    <w:panose1 w:val="02070409020205020404"/>
  </w:font>
  <w:font w:name="Wingdings">
    <w:panose1 w:val="05010000000000000000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2" w:hanging="360"/>
        <w:tabs>
          <w:tab w:val="num" w:pos="1492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9" w:hanging="360"/>
        <w:tabs>
          <w:tab w:val="num" w:pos="1209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6" w:hanging="360"/>
        <w:tabs>
          <w:tab w:val="num" w:pos="926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3" w:hanging="360"/>
        <w:tabs>
          <w:tab w:val="num" w:pos="643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92" w:hanging="360"/>
        <w:tabs>
          <w:tab w:val="num" w:pos="1492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09" w:hanging="360"/>
        <w:tabs>
          <w:tab w:val="num" w:pos="1209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26" w:hanging="360"/>
        <w:tabs>
          <w:tab w:val="num" w:pos="926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643" w:hanging="360"/>
        <w:tabs>
          <w:tab w:val="num" w:pos="643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5">
    <w:name w:val="Heading 1 Char"/>
    <w:basedOn w:val="853"/>
    <w:link w:val="850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76">
    <w:name w:val="Heading 2 Char"/>
    <w:basedOn w:val="853"/>
    <w:link w:val="851"/>
    <w:uiPriority w:val="9"/>
    <w:rPr>
      <w:rFonts w:ascii="Liberation Sans" w:hAnsi="Liberation Sans" w:eastAsia="Liberation Sans" w:cs="Liberation Sans"/>
      <w:sz w:val="34"/>
    </w:rPr>
  </w:style>
  <w:style w:type="character" w:styleId="677">
    <w:name w:val="Heading 3 Char"/>
    <w:basedOn w:val="853"/>
    <w:link w:val="852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78">
    <w:name w:val="Heading 4"/>
    <w:basedOn w:val="849"/>
    <w:next w:val="849"/>
    <w:link w:val="679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9">
    <w:name w:val="Heading 4 Char"/>
    <w:basedOn w:val="853"/>
    <w:link w:val="67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80">
    <w:name w:val="Heading 5"/>
    <w:basedOn w:val="849"/>
    <w:next w:val="849"/>
    <w:link w:val="681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81">
    <w:name w:val="Heading 5 Char"/>
    <w:basedOn w:val="853"/>
    <w:link w:val="680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82">
    <w:name w:val="Heading 6"/>
    <w:basedOn w:val="849"/>
    <w:next w:val="849"/>
    <w:link w:val="683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83">
    <w:name w:val="Heading 6 Char"/>
    <w:basedOn w:val="853"/>
    <w:link w:val="682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84">
    <w:name w:val="Heading 7"/>
    <w:basedOn w:val="849"/>
    <w:next w:val="849"/>
    <w:link w:val="685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85">
    <w:name w:val="Heading 7 Char"/>
    <w:basedOn w:val="853"/>
    <w:link w:val="68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86">
    <w:name w:val="Heading 8"/>
    <w:basedOn w:val="849"/>
    <w:next w:val="849"/>
    <w:link w:val="687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7">
    <w:name w:val="Heading 8 Char"/>
    <w:basedOn w:val="853"/>
    <w:link w:val="68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88">
    <w:name w:val="Heading 9"/>
    <w:basedOn w:val="849"/>
    <w:next w:val="849"/>
    <w:link w:val="68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9">
    <w:name w:val="Heading 9 Char"/>
    <w:basedOn w:val="853"/>
    <w:link w:val="68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90">
    <w:name w:val="List Paragraph"/>
    <w:basedOn w:val="849"/>
    <w:uiPriority w:val="34"/>
    <w:qFormat/>
    <w:pPr>
      <w:contextualSpacing/>
      <w:ind w:left="720"/>
    </w:pPr>
  </w:style>
  <w:style w:type="paragraph" w:styleId="691">
    <w:name w:val="No Spacing"/>
    <w:uiPriority w:val="1"/>
    <w:qFormat/>
    <w:pPr>
      <w:spacing w:before="0" w:after="0" w:line="240" w:lineRule="auto"/>
    </w:pPr>
  </w:style>
  <w:style w:type="paragraph" w:styleId="692">
    <w:name w:val="Title"/>
    <w:basedOn w:val="849"/>
    <w:next w:val="849"/>
    <w:link w:val="69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3">
    <w:name w:val="Title Char"/>
    <w:basedOn w:val="853"/>
    <w:link w:val="692"/>
    <w:uiPriority w:val="10"/>
    <w:rPr>
      <w:sz w:val="48"/>
      <w:szCs w:val="48"/>
    </w:rPr>
  </w:style>
  <w:style w:type="paragraph" w:styleId="694">
    <w:name w:val="Subtitle"/>
    <w:basedOn w:val="849"/>
    <w:next w:val="849"/>
    <w:link w:val="695"/>
    <w:uiPriority w:val="11"/>
    <w:qFormat/>
    <w:pPr>
      <w:spacing w:before="200" w:after="200"/>
    </w:pPr>
    <w:rPr>
      <w:sz w:val="24"/>
      <w:szCs w:val="24"/>
    </w:rPr>
  </w:style>
  <w:style w:type="character" w:styleId="695">
    <w:name w:val="Subtitle Char"/>
    <w:basedOn w:val="853"/>
    <w:link w:val="694"/>
    <w:uiPriority w:val="11"/>
    <w:rPr>
      <w:sz w:val="24"/>
      <w:szCs w:val="24"/>
    </w:rPr>
  </w:style>
  <w:style w:type="paragraph" w:styleId="696">
    <w:name w:val="Quote"/>
    <w:basedOn w:val="849"/>
    <w:next w:val="849"/>
    <w:link w:val="697"/>
    <w:uiPriority w:val="29"/>
    <w:qFormat/>
    <w:pPr>
      <w:ind w:left="720" w:right="720"/>
    </w:pPr>
    <w:rPr>
      <w:i/>
    </w:rPr>
  </w:style>
  <w:style w:type="character" w:styleId="697">
    <w:name w:val="Quote Char"/>
    <w:link w:val="696"/>
    <w:uiPriority w:val="29"/>
    <w:rPr>
      <w:i/>
    </w:rPr>
  </w:style>
  <w:style w:type="paragraph" w:styleId="698">
    <w:name w:val="Intense Quote"/>
    <w:basedOn w:val="849"/>
    <w:next w:val="849"/>
    <w:link w:val="69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>
    <w:name w:val="Intense Quote Char"/>
    <w:link w:val="698"/>
    <w:uiPriority w:val="30"/>
    <w:rPr>
      <w:i/>
    </w:rPr>
  </w:style>
  <w:style w:type="paragraph" w:styleId="700">
    <w:name w:val="Header"/>
    <w:basedOn w:val="849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1">
    <w:name w:val="Header Char"/>
    <w:basedOn w:val="853"/>
    <w:link w:val="700"/>
    <w:uiPriority w:val="99"/>
  </w:style>
  <w:style w:type="paragraph" w:styleId="702">
    <w:name w:val="Footer"/>
    <w:basedOn w:val="849"/>
    <w:link w:val="70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>
    <w:name w:val="Footer Char"/>
    <w:basedOn w:val="853"/>
    <w:link w:val="702"/>
    <w:uiPriority w:val="99"/>
  </w:style>
  <w:style w:type="paragraph" w:styleId="704">
    <w:name w:val="Caption"/>
    <w:basedOn w:val="849"/>
    <w:next w:val="849"/>
    <w:link w:val="70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5">
    <w:name w:val="Caption Char"/>
    <w:basedOn w:val="853"/>
    <w:link w:val="704"/>
    <w:uiPriority w:val="35"/>
    <w:rPr>
      <w:b/>
      <w:bCs/>
      <w:color w:val="4f81bd" w:themeColor="accent1"/>
      <w:sz w:val="18"/>
      <w:szCs w:val="18"/>
    </w:rPr>
  </w:style>
  <w:style w:type="table" w:styleId="706">
    <w:name w:val="Table Grid"/>
    <w:basedOn w:val="85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Table Grid Light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8">
    <w:name w:val="Plain Table 1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9">
    <w:name w:val="Plain Table 2"/>
    <w:basedOn w:val="85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10">
    <w:name w:val="Plain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1">
    <w:name w:val="Plain Table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Plain Table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3">
    <w:name w:val="Grid Table 1 Light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4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5">
    <w:name w:val="Grid Table 4 - Accent 1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6">
    <w:name w:val="Grid Table 4 - Accent 2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7">
    <w:name w:val="Grid Table 4 - Accent 3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8">
    <w:name w:val="Grid Table 4 - Accent 4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9">
    <w:name w:val="Grid Table 4 - Accent 5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0">
    <w:name w:val="Grid Table 4 - Accent 6"/>
    <w:basedOn w:val="85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1">
    <w:name w:val="Grid Table 5 Dark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2">
    <w:name w:val="Grid Table 5 Dark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5">
    <w:name w:val="Grid Table 5 Dark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8">
    <w:name w:val="Grid Table 6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49">
    <w:name w:val="Grid Table 6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50">
    <w:name w:val="Grid Table 6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51">
    <w:name w:val="Grid Table 6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52">
    <w:name w:val="Grid Table 6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53">
    <w:name w:val="Grid Table 6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4">
    <w:name w:val="Grid Table 6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5">
    <w:name w:val="Grid Table 7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0">
    <w:name w:val="List Table 2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1">
    <w:name w:val="List Table 2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2">
    <w:name w:val="List Table 2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3">
    <w:name w:val="List Table 2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4">
    <w:name w:val="List Table 2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5">
    <w:name w:val="List Table 2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6">
    <w:name w:val="List Table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5 Dark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1">
    <w:name w:val="List Table 5 Dark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2">
    <w:name w:val="List Table 5 Dark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3">
    <w:name w:val="List Table 5 Dark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4">
    <w:name w:val="List Table 5 Dark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5">
    <w:name w:val="List Table 5 Dark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6">
    <w:name w:val="List Table 5 Dark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7">
    <w:name w:val="List Table 6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8">
    <w:name w:val="List Table 6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9">
    <w:name w:val="List Table 6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0">
    <w:name w:val="List Table 6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1">
    <w:name w:val="List Table 6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2">
    <w:name w:val="List Table 6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3">
    <w:name w:val="List Table 6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4">
    <w:name w:val="List Table 7 Colorful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05">
    <w:name w:val="List Table 7 Colorful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06">
    <w:name w:val="List Table 7 Colorful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07">
    <w:name w:val="List Table 7 Colorful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08">
    <w:name w:val="List Table 7 Colorful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09">
    <w:name w:val="List Table 7 Colorful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10">
    <w:name w:val="List Table 7 Colorful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11">
    <w:name w:val="Lined - Accent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2">
    <w:name w:val="Lined - Accent 1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3">
    <w:name w:val="Lined - Accent 2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4">
    <w:name w:val="Lined - Accent 3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5">
    <w:name w:val="Lined - Accent 4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6">
    <w:name w:val="Lined - Accent 5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7">
    <w:name w:val="Lined - Accent 6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8">
    <w:name w:val="Bordered &amp; Lined - Accent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9">
    <w:name w:val="Bordered &amp; Lined - Accent 1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0">
    <w:name w:val="Bordered &amp; Lined - Accent 2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1">
    <w:name w:val="Bordered &amp; Lined - Accent 3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2">
    <w:name w:val="Bordered &amp; Lined - Accent 4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3">
    <w:name w:val="Bordered &amp; Lined - Accent 5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4">
    <w:name w:val="Bordered &amp; Lined - Accent 6"/>
    <w:basedOn w:val="85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5">
    <w:name w:val="Bordered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6">
    <w:name w:val="Bordered - Accent 1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7">
    <w:name w:val="Bordered - Accent 2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8">
    <w:name w:val="Bordered - Accent 3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9">
    <w:name w:val="Bordered - Accent 4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0">
    <w:name w:val="Bordered - Accent 5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1">
    <w:name w:val="Bordered - Accent 6"/>
    <w:basedOn w:val="85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3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3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pPr>
      <w:spacing w:after="0" w:line="240" w:lineRule="auto"/>
      <w:widowControl w:val="off"/>
    </w:pPr>
    <w:rPr>
      <w:rFonts w:ascii="Courier New" w:hAnsi="Courier New" w:eastAsia="Courier New" w:cs="Courier New"/>
      <w:color w:val="000000"/>
      <w:sz w:val="24"/>
      <w:szCs w:val="24"/>
      <w:lang w:eastAsia="ru-RU" w:bidi="ru-RU"/>
    </w:rPr>
  </w:style>
  <w:style w:type="paragraph" w:styleId="850">
    <w:name w:val="Heading 1"/>
    <w:basedOn w:val="849"/>
    <w:next w:val="849"/>
    <w:link w:val="856"/>
    <w:qFormat/>
    <w:pPr>
      <w:jc w:val="center"/>
      <w:keepNext/>
      <w:spacing w:before="120" w:after="120"/>
      <w:outlineLvl w:val="0"/>
    </w:pPr>
    <w:rPr>
      <w:rFonts w:eastAsia="Times New Roman" w:cs="Times New Roman"/>
      <w:b/>
      <w:bCs/>
      <w:sz w:val="28"/>
      <w:szCs w:val="32"/>
    </w:rPr>
  </w:style>
  <w:style w:type="paragraph" w:styleId="851">
    <w:name w:val="Heading 2"/>
    <w:basedOn w:val="849"/>
    <w:next w:val="849"/>
    <w:link w:val="857"/>
    <w:qFormat/>
    <w:pPr>
      <w:jc w:val="center"/>
      <w:keepNext/>
      <w:spacing w:before="120" w:after="120"/>
      <w:outlineLvl w:val="1"/>
    </w:pPr>
    <w:rPr>
      <w:rFonts w:eastAsia="Times New Roman" w:cs="Times New Roman"/>
      <w:b/>
    </w:rPr>
  </w:style>
  <w:style w:type="paragraph" w:styleId="852">
    <w:name w:val="Heading 3"/>
    <w:basedOn w:val="859"/>
    <w:next w:val="859"/>
    <w:link w:val="858"/>
    <w:qFormat/>
    <w:pPr>
      <w:jc w:val="left"/>
      <w:keepNext/>
      <w:spacing w:before="120" w:after="120"/>
      <w:outlineLvl w:val="2"/>
    </w:pPr>
    <w:rPr>
      <w:i/>
      <w:u w:val="single"/>
    </w:rPr>
  </w:style>
  <w:style w:type="character" w:styleId="853" w:default="1">
    <w:name w:val="Default Paragraph Font"/>
    <w:uiPriority w:val="1"/>
    <w:semiHidden/>
    <w:unhideWhenUsed/>
  </w:style>
  <w:style w:type="table" w:styleId="85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5" w:default="1">
    <w:name w:val="No List"/>
    <w:uiPriority w:val="99"/>
    <w:semiHidden/>
    <w:unhideWhenUsed/>
  </w:style>
  <w:style w:type="character" w:styleId="856" w:customStyle="1">
    <w:name w:val="Заголовок 1 Знак"/>
    <w:basedOn w:val="853"/>
    <w:link w:val="850"/>
    <w:rPr>
      <w:rFonts w:ascii="Times New Roman" w:hAnsi="Times New Roman" w:eastAsia="Times New Roman" w:cs="Times New Roman"/>
      <w:b/>
      <w:bCs/>
      <w:sz w:val="28"/>
      <w:szCs w:val="32"/>
      <w:lang w:eastAsia="ru-RU"/>
    </w:rPr>
  </w:style>
  <w:style w:type="character" w:styleId="857" w:customStyle="1">
    <w:name w:val="Заголовок 2 Знак"/>
    <w:basedOn w:val="853"/>
    <w:link w:val="851"/>
    <w:rPr>
      <w:rFonts w:ascii="Times New Roman" w:hAnsi="Times New Roman" w:eastAsia="Times New Roman" w:cs="Times New Roman"/>
      <w:b/>
      <w:color w:val="000000"/>
      <w:sz w:val="24"/>
      <w:szCs w:val="24"/>
      <w:lang w:eastAsia="ru-RU"/>
    </w:rPr>
  </w:style>
  <w:style w:type="character" w:styleId="858" w:customStyle="1">
    <w:name w:val="Заголовок 3 Знак"/>
    <w:basedOn w:val="853"/>
    <w:link w:val="852"/>
    <w:rPr>
      <w:rFonts w:ascii="Times New Roman" w:hAnsi="Times New Roman" w:eastAsia="Times New Roman" w:cs="Times New Roman"/>
      <w:i/>
      <w:sz w:val="24"/>
      <w:szCs w:val="24"/>
      <w:u w:val="single"/>
      <w:lang w:eastAsia="ru-RU"/>
    </w:rPr>
  </w:style>
  <w:style w:type="paragraph" w:styleId="859">
    <w:name w:val="Body Text"/>
    <w:basedOn w:val="849"/>
    <w:link w:val="860"/>
    <w:qFormat/>
    <w:pPr>
      <w:ind w:firstLine="709"/>
      <w:jc w:val="both"/>
    </w:pPr>
    <w:rPr>
      <w:rFonts w:eastAsia="Times New Roman" w:cs="Times New Roman"/>
    </w:rPr>
  </w:style>
  <w:style w:type="character" w:styleId="860" w:customStyle="1">
    <w:name w:val="Основной текст Знак"/>
    <w:basedOn w:val="853"/>
    <w:link w:val="85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61" w:customStyle="1">
    <w:name w:val="Таблица"/>
    <w:basedOn w:val="859"/>
    <w:next w:val="859"/>
    <w:link w:val="862"/>
    <w:qFormat/>
    <w:pPr>
      <w:ind w:firstLine="0"/>
      <w:jc w:val="left"/>
    </w:pPr>
    <w:rPr>
      <w:sz w:val="20"/>
    </w:rPr>
  </w:style>
  <w:style w:type="character" w:styleId="862" w:customStyle="1">
    <w:name w:val="Таблица Знак"/>
    <w:basedOn w:val="860"/>
    <w:link w:val="861"/>
    <w:rPr>
      <w:sz w:val="20"/>
    </w:rPr>
  </w:style>
  <w:style w:type="character" w:styleId="863">
    <w:name w:val="Hyperlink"/>
    <w:rPr>
      <w:rFonts w:cs="Times New Roman"/>
      <w:color w:val="0000ff"/>
      <w:u w:val="single"/>
    </w:rPr>
  </w:style>
  <w:style w:type="paragraph" w:styleId="864" w:customStyle="1">
    <w:name w:val="ConsPlusNormal"/>
    <w:pPr>
      <w:spacing w:after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eastAsia="Times New Roman" w:cs="Times New Roman"/>
      <w:sz w:val="24"/>
      <w:szCs w:val="20"/>
      <w:lang w:eastAsia="zh-CN"/>
    </w:rPr>
  </w:style>
  <w:style w:type="character" w:styleId="865" w:customStyle="1">
    <w:name w:val="Font Style123"/>
    <w:basedOn w:val="853"/>
    <w:qFormat/>
    <w:rPr>
      <w:rFonts w:ascii="Times New Roman" w:hAnsi="Times New Roman" w:cs="Times New Roman"/>
      <w:b/>
      <w:bCs/>
      <w:sz w:val="28"/>
      <w:szCs w:val="28"/>
    </w:rPr>
  </w:style>
  <w:style w:type="character" w:styleId="866" w:customStyle="1">
    <w:name w:val="Font Style118"/>
    <w:basedOn w:val="853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consultantplus://offline/ref=EB9854B23D85897930905B1BBECE8AF7685842A66EE54FE1014FD39FA00362A8A0152E9B42EDA878w5k0H" TargetMode="External"/><Relationship Id="rId11" Type="http://schemas.openxmlformats.org/officeDocument/2006/relationships/hyperlink" Target="consultantplus://offline/ref=EB9854B23D85897930905B1BBECE8AF76B5546A760EB4FE1014FD39FA00362A8A0152E9B42EDAA79w5k1H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4B7324-7C63-48B4-92B8-E4FB68AF5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o.nikiforova</dc:creator>
  <cp:lastModifiedBy>t.kuzmina</cp:lastModifiedBy>
  <cp:revision>24</cp:revision>
  <dcterms:created xsi:type="dcterms:W3CDTF">2025-09-08T08:10:00Z</dcterms:created>
  <dcterms:modified xsi:type="dcterms:W3CDTF">2026-05-12T07:47:48Z</dcterms:modified>
</cp:coreProperties>
</file>