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jc w:val="center"/>
        <w:rPr>
          <w:b/>
        </w:rPr>
      </w:pPr>
      <w:r>
        <w:rPr>
          <w:b/>
        </w:rPr>
        <w:t>П Р О Е К Т</w:t>
      </w:r>
    </w:p>
    <w:p>
      <w:pPr>
        <w:jc w:val="center"/>
        <w:rPr>
          <w:b/>
        </w:rPr>
      </w:pPr>
    </w:p>
    <w:p>
      <w:pPr>
        <w:jc w:val="center"/>
        <w:rPr>
          <w:b/>
        </w:rPr>
      </w:pPr>
      <w:r>
        <w:rPr>
          <w:b/>
        </w:rPr>
        <w:t>Контракт № ____________</w:t>
      </w:r>
    </w:p>
    <w:p>
      <w:pPr>
        <w:ind w:firstLine="709"/>
        <w:jc w:val="both"/>
      </w:pPr>
    </w:p>
    <w:p>
      <w:pPr>
        <w:ind w:firstLine="709"/>
        <w:jc w:val="both"/>
      </w:pPr>
    </w:p>
    <w:tbl>
      <w:tblPr>
        <w:tblW w:w="9761" w:type="dxa"/>
        <w:tblInd w:w="20" w:type="dxa"/>
        <w:tblCellMar>
          <w:left w:w="0" w:type="dxa"/>
          <w:right w:w="0" w:type="dxa"/>
        </w:tblCellMar>
        <w:tblLook w:val="04A0" w:firstRow="1" w:lastRow="0" w:firstColumn="1" w:lastColumn="0" w:noHBand="0" w:noVBand="1"/>
      </w:tblPr>
      <w:tblGrid>
        <w:gridCol w:w="3070"/>
        <w:gridCol w:w="6691"/>
      </w:tblGrid>
      <w:tr>
        <w:tc>
          <w:tcPr>
            <w:tcW w:w="0" w:type="auto"/>
            <w:hideMark/>
          </w:tcPr>
          <w:p>
            <w:pPr>
              <w:jc w:val="both"/>
            </w:pPr>
            <w:r>
              <w:t>г. Санкт-Петербург</w:t>
            </w:r>
          </w:p>
        </w:tc>
        <w:tc>
          <w:tcPr>
            <w:tcW w:w="6691" w:type="dxa"/>
            <w:hideMark/>
          </w:tcPr>
          <w:p>
            <w:pPr>
              <w:ind w:firstLine="709"/>
              <w:jc w:val="right"/>
            </w:pPr>
            <w:r>
              <w:t>«___» __________ 2026 г.</w:t>
            </w:r>
          </w:p>
        </w:tc>
      </w:tr>
    </w:tbl>
    <w:p>
      <w:pPr>
        <w:ind w:firstLine="709"/>
        <w:jc w:val="both"/>
      </w:pPr>
    </w:p>
    <w:p>
      <w:pPr>
        <w:pStyle w:val="ConsPlusNormal"/>
        <w:ind w:firstLine="567"/>
        <w:jc w:val="both"/>
      </w:pPr>
      <w:r>
        <w:t xml:space="preserve">Санкт-Петербургское государственное бюджетное учреждение культуры «Детский драматический «Театр у Нарвских ворот», именуемое в дальнейшем «Заказчик», в лице художественного руководителя </w:t>
      </w:r>
      <w:proofErr w:type="spellStart"/>
      <w:r>
        <w:t>Лутц</w:t>
      </w:r>
      <w:proofErr w:type="spellEnd"/>
      <w:r>
        <w:t xml:space="preserve"> Валентины Михайловны, действующей на основании Устава, с одной стороны, и __________________, именуемый в дальнейшем «Поставщик», в лице ___________________, действующей на основании __________, с другой стороны, вместе именуемые в дальнейшем «Стороны»,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p>
      <w:pPr>
        <w:pStyle w:val="ConsPlusNormal"/>
        <w:jc w:val="center"/>
        <w:outlineLvl w:val="1"/>
        <w:rPr>
          <w:b/>
        </w:rPr>
      </w:pPr>
      <w:r>
        <w:rPr>
          <w:b/>
        </w:rPr>
        <w:t>1. Предмет Контракта</w:t>
      </w:r>
    </w:p>
    <w:p>
      <w:pPr>
        <w:pStyle w:val="ConsPlusNormal"/>
        <w:jc w:val="both"/>
      </w:pPr>
    </w:p>
    <w:p>
      <w:pPr>
        <w:pStyle w:val="ConsPlusNormal"/>
        <w:ind w:firstLine="567"/>
        <w:jc w:val="both"/>
      </w:pPr>
      <w:r>
        <w:t xml:space="preserve">1.1. В соответствии с Контрактом Поставщик обязуется в порядке и сроки, предусмотренные Контрактом, осуществить </w:t>
      </w:r>
      <w:r>
        <w:rPr>
          <w:b/>
        </w:rPr>
        <w:t>поставку наушников для нужд СПБ ГБУК "Театр у Нарвских ворот" в 2026 году</w:t>
      </w:r>
      <w:r>
        <w:t xml:space="preserve"> (далее – Товар) Заказчику в обусловленный Контрактом срок, согласно Спецификации (Приложение № 1 к Контракту), Описанию объекта закупки (Приложение № 2 к Контракту), а Заказчик обязуется принять и оплатить Товар в порядке и на условиях, предусмотренных Контрактом.</w:t>
      </w:r>
    </w:p>
    <w:p>
      <w:pPr>
        <w:pStyle w:val="ConsPlusNormal"/>
        <w:ind w:firstLine="567"/>
        <w:jc w:val="both"/>
      </w:pPr>
      <w:r>
        <w:t>1.2. Наименование и количество поставляемого Товара указаны в Спецификации (Приложение № 1 к Контракту). Функциональные, технические и качественные характеристики Товара установлены в Описании объекта закупки (Приложение № 2 к Контракту).</w:t>
      </w:r>
    </w:p>
    <w:p>
      <w:pPr>
        <w:pStyle w:val="ConsPlusNormal"/>
        <w:outlineLvl w:val="1"/>
        <w:rPr>
          <w:b/>
        </w:rPr>
      </w:pPr>
    </w:p>
    <w:p>
      <w:pPr>
        <w:pStyle w:val="ConsPlusNormal"/>
        <w:jc w:val="center"/>
        <w:outlineLvl w:val="1"/>
        <w:rPr>
          <w:b/>
        </w:rPr>
      </w:pPr>
      <w:r>
        <w:rPr>
          <w:b/>
        </w:rPr>
        <w:t xml:space="preserve">2. Цена Контракта и порядок расчетов </w:t>
      </w:r>
    </w:p>
    <w:p>
      <w:pPr>
        <w:pStyle w:val="ConsPlusNormal"/>
        <w:jc w:val="both"/>
      </w:pPr>
    </w:p>
    <w:p>
      <w:pPr>
        <w:pStyle w:val="ConsPlusNormal"/>
        <w:ind w:firstLine="567"/>
        <w:jc w:val="both"/>
      </w:pPr>
      <w:r>
        <w:t xml:space="preserve">2.1. Цена Контракта составляет </w:t>
      </w:r>
      <w:r>
        <w:rPr>
          <w:b/>
        </w:rPr>
        <w:t>___________ (___________________ рублей 00 копеек), НДС ____% / НДС не облагается</w:t>
      </w:r>
      <w:r>
        <w:t xml:space="preserve"> на основании п.2 ст.346.11 НК РФ.</w:t>
      </w:r>
      <w:r>
        <w:rPr>
          <w:rStyle w:val="af1"/>
        </w:rPr>
        <w:footnoteReference w:id="1"/>
      </w:r>
    </w:p>
    <w:p>
      <w:pPr>
        <w:pStyle w:val="ConsPlusNormal"/>
        <w:ind w:firstLine="567"/>
        <w:jc w:val="both"/>
      </w:pPr>
      <w:r>
        <w:t xml:space="preserve">2.2. Цена Контракта включает в себя стоимость Товара, а также все расходы </w:t>
      </w:r>
      <w:r>
        <w:br/>
        <w:t>Поставщика, связанные с исполнением Контракта, в том числе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pPr>
        <w:pStyle w:val="ConsPlusNormal"/>
        <w:ind w:firstLine="567"/>
        <w:jc w:val="both"/>
      </w:pPr>
      <w:r>
        <w:t xml:space="preserve">Цена Контракта является твердой и определяется на весь срок исполнения Контракта, </w:t>
      </w:r>
      <w:r>
        <w:br/>
        <w:t>за исключением случаев, установленных ФЗ № 44 и Контрактом.</w:t>
      </w:r>
    </w:p>
    <w:p>
      <w:pPr>
        <w:pStyle w:val="ConsPlusNormal"/>
        <w:ind w:firstLine="567"/>
        <w:jc w:val="both"/>
      </w:pPr>
      <w:r>
        <w:t xml:space="preserve">При заключении и исполнении Контракта изменение его существенных условий </w:t>
      </w:r>
      <w:r>
        <w:br/>
        <w:t>не допускается, за исключением случаев, предусмотренных ФЗ № 44.</w:t>
      </w:r>
    </w:p>
    <w:p>
      <w:pPr>
        <w:pStyle w:val="ConsPlusNormal"/>
        <w:ind w:firstLine="567"/>
        <w:jc w:val="both"/>
      </w:pPr>
      <w: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pPr>
        <w:pStyle w:val="ConsPlusNormal"/>
        <w:ind w:firstLine="567"/>
        <w:jc w:val="both"/>
      </w:pPr>
      <w:r>
        <w:rPr>
          <w:bCs/>
        </w:rPr>
        <w:t xml:space="preserve">Валютой, используемой для расчетов с Поставщиком, является </w:t>
      </w:r>
      <w:r>
        <w:rPr>
          <w:b/>
          <w:bCs/>
        </w:rPr>
        <w:t>российский рубль</w:t>
      </w:r>
      <w:r>
        <w:rPr>
          <w:bCs/>
        </w:rPr>
        <w:t>.</w:t>
      </w:r>
    </w:p>
    <w:p>
      <w:pPr>
        <w:pStyle w:val="ConsPlusNormal"/>
        <w:ind w:firstLine="567"/>
        <w:jc w:val="both"/>
        <w:rPr>
          <w:b/>
        </w:rPr>
      </w:pPr>
      <w:bookmarkStart w:id="0" w:name="Par66"/>
      <w:bookmarkEnd w:id="0"/>
      <w:r>
        <w:t xml:space="preserve">2.3. Источник финансирования Контракта - </w:t>
      </w:r>
      <w:r>
        <w:rPr>
          <w:b/>
        </w:rPr>
        <w:t>внебюджетные средства (средства бюджетных учреждений).</w:t>
      </w:r>
    </w:p>
    <w:p>
      <w:pPr>
        <w:pStyle w:val="ConsPlusNormal"/>
        <w:ind w:firstLine="567"/>
        <w:jc w:val="both"/>
      </w:pPr>
      <w:r>
        <w:t xml:space="preserve"> 2.4. Оплата поставленного Товара производится Заказчиком на основании счета, предоставленного Поставщиком, в течение 7 (семи) рабочих дней с даты подписания Заказчиком документа о приемке, указанные в пункте 3.3 Контракта, являющиеся его неотъемлемой частью.</w:t>
      </w:r>
    </w:p>
    <w:p>
      <w:pPr>
        <w:pStyle w:val="ConsPlusNormal"/>
        <w:ind w:firstLine="567"/>
        <w:jc w:val="both"/>
      </w:pPr>
      <w:r>
        <w:t xml:space="preserve">2.5. Оплата по Контракту осуществляется по безналичному расчету путем перечисления </w:t>
      </w:r>
      <w:r>
        <w:lastRenderedPageBreak/>
        <w:t>Заказчиком денежных средств на счет Поставщика, указанный в Контракте.</w:t>
      </w:r>
    </w:p>
    <w:p>
      <w:pPr>
        <w:pStyle w:val="ConsPlusNormal"/>
        <w:ind w:firstLine="567"/>
        <w:jc w:val="both"/>
      </w:pPr>
      <w: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ConsPlusNormal"/>
        <w:ind w:firstLine="567"/>
        <w:jc w:val="both"/>
      </w:pPr>
      <w:bookmarkStart w:id="1" w:name="Par83"/>
      <w:bookmarkEnd w:id="1"/>
      <w:r>
        <w:t>2.7. Датой оплаты считается дата списания денежных средств со счета Заказчика, указанного в Контракте.</w:t>
      </w:r>
    </w:p>
    <w:p>
      <w:pPr>
        <w:pStyle w:val="ConsPlusNormal"/>
        <w:ind w:firstLine="567"/>
        <w:jc w:val="both"/>
      </w:pPr>
      <w:r>
        <w:t>2.8. 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Поставщику.</w:t>
      </w:r>
    </w:p>
    <w:p>
      <w:pPr>
        <w:pStyle w:val="ConsPlusNormal"/>
        <w:ind w:firstLine="709"/>
        <w:jc w:val="both"/>
      </w:pPr>
    </w:p>
    <w:p>
      <w:pPr>
        <w:pStyle w:val="ConsPlusNormal"/>
        <w:jc w:val="center"/>
        <w:outlineLvl w:val="1"/>
        <w:rPr>
          <w:b/>
        </w:rPr>
      </w:pPr>
      <w:r>
        <w:rPr>
          <w:b/>
        </w:rPr>
        <w:t>3. Порядок, сроки и условия приемки Товара</w:t>
      </w:r>
    </w:p>
    <w:p>
      <w:pPr>
        <w:pStyle w:val="ConsPlusNormal"/>
        <w:jc w:val="center"/>
        <w:outlineLvl w:val="1"/>
        <w:rPr>
          <w:b/>
        </w:rPr>
      </w:pPr>
    </w:p>
    <w:p>
      <w:pPr>
        <w:pStyle w:val="ConsPlusNormal"/>
        <w:ind w:firstLine="567"/>
        <w:jc w:val="both"/>
      </w:pPr>
      <w:r>
        <w:t xml:space="preserve">3.1. Поставка Товара осуществляется по адресу: Санкт-Петербург, ул. Зои Космодемьянской, дом 3. Поставка осуществляется </w:t>
      </w:r>
      <w:r>
        <w:rPr>
          <w:b/>
        </w:rPr>
        <w:t>в течении 5 (рабочих) дней, с даты направления заявки Заказчиком</w:t>
      </w:r>
      <w:r>
        <w:t xml:space="preserve">. Заявка подается любым доступным способом (почтовое отправление, телеграмма, </w:t>
      </w:r>
      <w:proofErr w:type="spellStart"/>
      <w:r>
        <w:t>факсограмма</w:t>
      </w:r>
      <w:proofErr w:type="spellEnd"/>
      <w:r>
        <w:t>, телефонограмма, электронная почта). Поставщик обязан согласовать дату и время поставки с Заказчиком. Заявка направляется не позднее 20 (двадцати) рабочих дней с момента заключения Контракта.</w:t>
      </w:r>
    </w:p>
    <w:p>
      <w:pPr>
        <w:pStyle w:val="ConsPlusNormal"/>
        <w:ind w:firstLine="567"/>
        <w:jc w:val="both"/>
      </w:pPr>
      <w:r>
        <w:t>3.2. Приемка Товара осуществляется путем передачи Поставщиком Товара и документов, обязательных для данного вида Товара, а также иных документов, подтверждающих качество Товара. При отсутствии у Заказчика претензий по количеству и комплектности поставленного Товара Заказчик в день доставки товара подписывает товарную (товарно-транспортную) накладную.</w:t>
      </w:r>
    </w:p>
    <w:p>
      <w:pPr>
        <w:ind w:firstLine="567"/>
        <w:jc w:val="both"/>
      </w:pPr>
      <w:r>
        <w:t>3.3. К товару, предусмотренному пунктом 1.1 Контракта, должны быть приложены следующие документов, являющихся его неотъемлемой частью:</w:t>
      </w:r>
    </w:p>
    <w:p>
      <w:pPr>
        <w:pStyle w:val="ConsPlusNormal"/>
        <w:ind w:firstLine="567"/>
        <w:jc w:val="both"/>
      </w:pPr>
      <w:r>
        <w:t>- счёт на оплату;</w:t>
      </w:r>
    </w:p>
    <w:p>
      <w:pPr>
        <w:pStyle w:val="ConsPlusNormal"/>
        <w:ind w:firstLine="567"/>
        <w:jc w:val="both"/>
      </w:pPr>
      <w:r>
        <w:t>- счёт-фактура (при наличии);</w:t>
      </w:r>
    </w:p>
    <w:p>
      <w:pPr>
        <w:pStyle w:val="ConsPlusNormal"/>
        <w:ind w:firstLine="567"/>
        <w:jc w:val="both"/>
      </w:pPr>
      <w:r>
        <w:t>- товарная (товарно-транспортная) накладная, подписанная Сторонами;</w:t>
      </w:r>
    </w:p>
    <w:p>
      <w:pPr>
        <w:pStyle w:val="ConsPlusNormal"/>
        <w:ind w:firstLine="567"/>
        <w:jc w:val="both"/>
        <w:rPr>
          <w:rFonts w:eastAsia="Calibri"/>
          <w:lang w:eastAsia="en-US"/>
        </w:rPr>
      </w:pPr>
      <w:r>
        <w:t>- иные документы в соответствии со спецификой закупки (при наличии)</w:t>
      </w:r>
      <w:r>
        <w:rPr>
          <w:rFonts w:eastAsia="Calibri"/>
          <w:lang w:eastAsia="en-US"/>
        </w:rPr>
        <w:t xml:space="preserve">. </w:t>
      </w:r>
    </w:p>
    <w:p>
      <w:pPr>
        <w:pStyle w:val="ConsPlusNormal"/>
        <w:ind w:firstLine="567"/>
        <w:jc w:val="both"/>
        <w:rPr>
          <w:szCs w:val="24"/>
        </w:rPr>
      </w:pPr>
      <w:r>
        <w:rPr>
          <w:rFonts w:eastAsia="Calibri"/>
          <w:bCs/>
          <w:szCs w:val="24"/>
          <w:lang w:eastAsia="en-US"/>
        </w:rPr>
        <w:t xml:space="preserve">По итогам приемки поставленных Товаров оформляется </w:t>
      </w:r>
      <w:r>
        <w:rPr>
          <w:b/>
        </w:rPr>
        <w:t>Акт сдачи-приемки товаров, работ, услуг</w:t>
      </w:r>
      <w:r>
        <w:t xml:space="preserve"> </w:t>
      </w:r>
      <w:r>
        <w:rPr>
          <w:b/>
        </w:rPr>
        <w:t>(ф.0510452)</w:t>
      </w:r>
      <w:r>
        <w:t xml:space="preserve"> </w:t>
      </w:r>
      <w:r>
        <w:rPr>
          <w:b/>
        </w:rPr>
        <w:t>и акт сверки расчетов по форме (ф.0510477).</w:t>
      </w:r>
      <w:r>
        <w:rPr>
          <w:rFonts w:eastAsia="Calibri"/>
          <w:bCs/>
          <w:szCs w:val="24"/>
          <w:lang w:eastAsia="en-US"/>
        </w:rPr>
        <w:t xml:space="preserve"> Акт формируется на основании данных документов, предоставленных Исполнителем и подтверждающих поставку Товаров. Акт оформляется с обязательным участием представителя Исполнителя или представителя незаинтересованной организации. Оформление и обмен документами о приемке поставленного Товара осуществляются по телекоммуникационным каналам связи или через систему электронного документооборота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w:t>
      </w:r>
      <w:r>
        <w:rPr>
          <w:rFonts w:eastAsia="Calibri"/>
          <w:b/>
          <w:bCs/>
          <w:szCs w:val="24"/>
          <w:lang w:eastAsia="en-US"/>
        </w:rPr>
        <w:t>приказе Минфина от 15.04.2021 № 61н</w:t>
      </w:r>
      <w:r>
        <w:rPr>
          <w:rFonts w:eastAsia="Calibri"/>
          <w:bCs/>
          <w:szCs w:val="24"/>
          <w:lang w:eastAsia="en-US"/>
        </w:rPr>
        <w:t xml:space="preserve">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pPr>
        <w:pStyle w:val="ConsPlusNormal"/>
        <w:ind w:firstLine="567"/>
        <w:jc w:val="both"/>
      </w:pPr>
      <w:r>
        <w:t xml:space="preserve">3.4. </w:t>
      </w:r>
      <w:r>
        <w:rPr>
          <w:bCs/>
        </w:rPr>
        <w:t xml:space="preserve">В течение 3 (трех) рабочих дней </w:t>
      </w:r>
      <w:r>
        <w:t>Заказчик осуществляет приемку Товара.</w:t>
      </w:r>
    </w:p>
    <w:p>
      <w:pPr>
        <w:ind w:firstLine="567"/>
        <w:jc w:val="both"/>
      </w:pPr>
      <w:r>
        <w:t>3.5. 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pPr>
        <w:ind w:firstLine="567"/>
        <w:jc w:val="both"/>
      </w:pPr>
      <w:r>
        <w:lastRenderedPageBreak/>
        <w:t xml:space="preserve">3.6. По результатам проведенной экспертизы Заказчик составляет заключение </w:t>
      </w:r>
      <w:r>
        <w:br/>
        <w:t>об отсутствии или наличии нарушений условий Контракта (результатов отдельного этапа исполнения Контракта).</w:t>
      </w:r>
      <w:r>
        <w:rPr>
          <w:rStyle w:val="af1"/>
        </w:rPr>
        <w:t xml:space="preserve"> </w:t>
      </w:r>
    </w:p>
    <w:p>
      <w:pPr>
        <w:ind w:firstLine="567"/>
        <w:jc w:val="both"/>
      </w:pPr>
      <w:r>
        <w:t xml:space="preserve">В случае если по результатам такой экспертизы установлены нарушения условий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w:t>
      </w:r>
      <w:r>
        <w:br/>
        <w:t>в том числе с указанием срока их устранения.</w:t>
      </w:r>
    </w:p>
    <w:p>
      <w:pPr>
        <w:pStyle w:val="ConsPlusNormal"/>
        <w:ind w:firstLine="567"/>
        <w:jc w:val="both"/>
      </w:pPr>
      <w:r>
        <w:t>3.7. 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pPr>
        <w:pStyle w:val="ConsPlusNormal"/>
        <w:ind w:firstLine="567"/>
        <w:jc w:val="both"/>
      </w:pPr>
      <w:r>
        <w:t xml:space="preserve">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приемочная комиссия должны учитывать отраженные </w:t>
      </w:r>
      <w:r>
        <w:br/>
        <w:t>в заключении по результатам указанной экспертизы предложения экспертов, экспертных организаций, привлеченных для ее проведения.</w:t>
      </w:r>
    </w:p>
    <w:p>
      <w:pPr>
        <w:ind w:firstLine="567"/>
        <w:jc w:val="both"/>
      </w:pPr>
      <w: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pPr>
        <w:pStyle w:val="ConsPlusNormal"/>
        <w:ind w:firstLine="567"/>
        <w:jc w:val="both"/>
        <w:rPr>
          <w:bCs/>
        </w:rPr>
      </w:pPr>
      <w:r>
        <w:t xml:space="preserve">3.8. </w:t>
      </w:r>
      <w:r>
        <w:rPr>
          <w:bCs/>
        </w:rPr>
        <w:t>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pPr>
        <w:ind w:firstLine="567"/>
        <w:jc w:val="both"/>
        <w:rPr>
          <w:bCs/>
        </w:rPr>
      </w:pPr>
      <w:r>
        <w:rPr>
          <w:bCs/>
        </w:rPr>
        <w:t>3.9. В соответствии с частью 6 статьи 94 ФЗ № 44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pPr>
        <w:pStyle w:val="ConsPlusNormal"/>
        <w:ind w:firstLine="567"/>
        <w:jc w:val="both"/>
      </w:pPr>
      <w:r>
        <w:t>3.10. Сдача и приемка Товара осуществляются уполномоченными представителями Сторон.</w:t>
      </w:r>
    </w:p>
    <w:p>
      <w:pPr>
        <w:pStyle w:val="ConsPlusNormal"/>
        <w:ind w:firstLine="709"/>
        <w:jc w:val="both"/>
      </w:pPr>
    </w:p>
    <w:p>
      <w:pPr>
        <w:pStyle w:val="ConsPlusNormal"/>
        <w:jc w:val="center"/>
        <w:outlineLvl w:val="1"/>
        <w:rPr>
          <w:b/>
        </w:rPr>
      </w:pPr>
      <w:r>
        <w:rPr>
          <w:b/>
        </w:rPr>
        <w:t>4. Взаимодействие Сторон</w:t>
      </w:r>
    </w:p>
    <w:p>
      <w:pPr>
        <w:pStyle w:val="ConsPlusNormal"/>
        <w:ind w:firstLine="567"/>
        <w:jc w:val="both"/>
      </w:pPr>
      <w:r>
        <w:t>4.1. Поставщик обязан:</w:t>
      </w:r>
    </w:p>
    <w:p>
      <w:pPr>
        <w:pStyle w:val="ConsPlusNormal"/>
        <w:ind w:firstLine="567"/>
        <w:jc w:val="both"/>
      </w:pPr>
      <w:r>
        <w:t>4.1.1. Выдать Товар в порядке, количестве, в срок и на условиях, предусмотренных Контрактом.</w:t>
      </w:r>
    </w:p>
    <w:p>
      <w:pPr>
        <w:pStyle w:val="ConsPlusNormal"/>
        <w:ind w:firstLine="567"/>
        <w:jc w:val="both"/>
      </w:pPr>
      <w:r>
        <w:t xml:space="preserve">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w:t>
      </w:r>
      <w:r>
        <w:br/>
        <w:t>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pPr>
        <w:pStyle w:val="ConsPlusNormal"/>
        <w:ind w:firstLine="567"/>
        <w:jc w:val="both"/>
      </w:pPr>
      <w:r>
        <w:t xml:space="preserve">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w:t>
      </w:r>
      <w:r>
        <w:br/>
        <w:t>в порядке и на условиях, предусмотренных Контрактом.</w:t>
      </w:r>
    </w:p>
    <w:p>
      <w:pPr>
        <w:pStyle w:val="ConsPlusNormal"/>
        <w:ind w:firstLine="567"/>
        <w:jc w:val="both"/>
      </w:pPr>
      <w: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pPr>
        <w:pStyle w:val="ConsPlusNormal"/>
        <w:ind w:firstLine="567"/>
        <w:jc w:val="both"/>
      </w:pPr>
      <w:bookmarkStart w:id="2" w:name="Par148"/>
      <w:bookmarkEnd w:id="2"/>
      <w:r>
        <w:t>4.1.5. Обеспечивать гарантии на Товар в соответствии с разделом 6 Контракта.</w:t>
      </w:r>
    </w:p>
    <w:p>
      <w:pPr>
        <w:pStyle w:val="ConsPlusNormal"/>
        <w:ind w:firstLine="567"/>
        <w:jc w:val="both"/>
      </w:pPr>
      <w:r>
        <w:t>4.1.6.</w:t>
      </w:r>
      <w:r>
        <w:rPr>
          <w:i/>
        </w:rPr>
        <w:t xml:space="preserve"> </w:t>
      </w:r>
      <w:r>
        <w:t xml:space="preserve">Формировать и направлять Заказчику документы, указанных в пункте 3.3 Контракта, являющихся его неотъемлемой частью в соответствии с законодательством Российской Федерации и условиями Контракта. </w:t>
      </w:r>
    </w:p>
    <w:p>
      <w:pPr>
        <w:pStyle w:val="ConsPlusNormal"/>
        <w:ind w:firstLine="567"/>
        <w:jc w:val="both"/>
      </w:pPr>
      <w:r>
        <w:t>4.2. Поставщик вправе:</w:t>
      </w:r>
    </w:p>
    <w:p>
      <w:pPr>
        <w:pStyle w:val="ConsPlusNormal"/>
        <w:ind w:firstLine="567"/>
        <w:jc w:val="both"/>
      </w:pPr>
      <w:r>
        <w:t xml:space="preserve">4.2.1. Требовать от Заказчика надлежащего исполнения обязательств в соответствии </w:t>
      </w:r>
      <w:r>
        <w:br/>
        <w:t>с условиями Контракта.</w:t>
      </w:r>
    </w:p>
    <w:p>
      <w:pPr>
        <w:pStyle w:val="ConsPlusNormal"/>
        <w:ind w:firstLine="567"/>
        <w:jc w:val="both"/>
      </w:pPr>
      <w:bookmarkStart w:id="3" w:name="Par165"/>
      <w:bookmarkEnd w:id="3"/>
      <w: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pPr>
        <w:pStyle w:val="ConsPlusNormal"/>
        <w:ind w:firstLine="567"/>
        <w:jc w:val="both"/>
      </w:pPr>
      <w:bookmarkStart w:id="4" w:name="Par166"/>
      <w:bookmarkEnd w:id="4"/>
      <w:r>
        <w:t xml:space="preserve">4.2.3. Принять решение об одностороннем отказе от исполнения Контракта </w:t>
      </w:r>
      <w:r>
        <w:br/>
      </w:r>
      <w:r>
        <w:lastRenderedPageBreak/>
        <w:t xml:space="preserve">в соответствии с гражданским законодательством Российской Федерации и в соответствии </w:t>
      </w:r>
      <w:r>
        <w:br/>
        <w:t>с положениями статьи 95 ФЗ № 44.</w:t>
      </w:r>
    </w:p>
    <w:p>
      <w:pPr>
        <w:pStyle w:val="ConsPlusNormal"/>
        <w:ind w:firstLine="567"/>
        <w:jc w:val="both"/>
      </w:pPr>
      <w:r>
        <w:t xml:space="preserve">4.2.4. </w:t>
      </w:r>
      <w:bookmarkStart w:id="5" w:name="_Hlk108369318"/>
      <w:r>
        <w:t xml:space="preserve">Требовать возмещения убытков, уплаты неустоек (штрафов, пеней) </w:t>
      </w:r>
      <w:r>
        <w:br/>
        <w:t>в соответствии с разделом 7 Контракта.</w:t>
      </w:r>
      <w:bookmarkEnd w:id="5"/>
    </w:p>
    <w:p>
      <w:pPr>
        <w:ind w:firstLine="567"/>
        <w:jc w:val="both"/>
      </w:pPr>
      <w: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w:t>
      </w:r>
      <w:r>
        <w:br/>
        <w:t>с частью 6 статьи 14 ФЗ № 44);</w:t>
      </w:r>
    </w:p>
    <w:p>
      <w:pPr>
        <w:pStyle w:val="ConsPlusNormal"/>
        <w:ind w:firstLine="567"/>
        <w:jc w:val="both"/>
      </w:pPr>
    </w:p>
    <w:p>
      <w:pPr>
        <w:pStyle w:val="ConsPlusNormal"/>
        <w:ind w:firstLine="567"/>
        <w:jc w:val="both"/>
      </w:pPr>
      <w:r>
        <w:t>4.3. Заказчик обязан:</w:t>
      </w:r>
    </w:p>
    <w:p>
      <w:pPr>
        <w:pStyle w:val="ConsPlusNormal"/>
        <w:ind w:firstLine="567"/>
        <w:jc w:val="both"/>
      </w:pPr>
      <w:bookmarkStart w:id="6" w:name="Par170"/>
      <w:bookmarkEnd w:id="6"/>
      <w:r>
        <w:t>4.3.1. Обеспечить своевременную оплату поставленного Товара, соответствующего условиям Контракта, в порядке и сроки, предусмотренные Контрактом.</w:t>
      </w:r>
    </w:p>
    <w:p>
      <w:pPr>
        <w:pStyle w:val="ConsPlusNormal"/>
        <w:ind w:firstLine="567"/>
        <w:jc w:val="both"/>
      </w:pPr>
      <w:r>
        <w:t>4.3.2. Требовать уплаты неустоек (штрафов, пеней) в соответствии с разделом 7 Контракта.</w:t>
      </w:r>
    </w:p>
    <w:p>
      <w:pPr>
        <w:pStyle w:val="ConsPlusNormal"/>
        <w:ind w:firstLine="567"/>
        <w:jc w:val="both"/>
      </w:pPr>
      <w:r>
        <w:t xml:space="preserve">4.3.5.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w:t>
      </w:r>
      <w:r>
        <w:br/>
        <w:t>с ФЗ № 44 и Контрактом.</w:t>
      </w:r>
    </w:p>
    <w:p>
      <w:pPr>
        <w:pStyle w:val="ConsPlusNormal"/>
        <w:ind w:firstLine="567"/>
        <w:jc w:val="both"/>
      </w:pPr>
      <w:r>
        <w:t>4.4. Заказчик вправе:</w:t>
      </w:r>
    </w:p>
    <w:p>
      <w:pPr>
        <w:pStyle w:val="ConsPlusNormal"/>
        <w:ind w:firstLine="567"/>
        <w:jc w:val="both"/>
      </w:pPr>
      <w:r>
        <w:t>4.4.1. Требовать от Поставщика надлежащего исполнения обязательств по Контракту.</w:t>
      </w:r>
    </w:p>
    <w:p>
      <w:pPr>
        <w:pStyle w:val="ConsPlusNormal"/>
        <w:ind w:firstLine="567"/>
        <w:jc w:val="both"/>
      </w:pPr>
      <w:r>
        <w:t>4.4.2. Требовать от Поставщика своевременного устранения нарушений, выявленных как в ходе приемки, так и в течение срока годности.</w:t>
      </w:r>
    </w:p>
    <w:p>
      <w:pPr>
        <w:pStyle w:val="ConsPlusNormal"/>
        <w:ind w:firstLine="567"/>
        <w:jc w:val="both"/>
      </w:pPr>
      <w:r>
        <w:t>4.4.3. Проверять ход и качество выполнения Поставщиком условий Контракта.</w:t>
      </w:r>
    </w:p>
    <w:p>
      <w:pPr>
        <w:pStyle w:val="ConsPlusNormal"/>
        <w:ind w:firstLine="567"/>
        <w:jc w:val="both"/>
      </w:pPr>
      <w:r>
        <w:t>4.4.4. Требовать возмещения убытков в соответствии с разделом 7 Контракта, причиненных по вине Поставщика.</w:t>
      </w:r>
    </w:p>
    <w:p>
      <w:pPr>
        <w:pStyle w:val="ConsPlusNormal"/>
        <w:ind w:firstLine="567"/>
        <w:jc w:val="both"/>
      </w:pPr>
      <w: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pPr>
        <w:pStyle w:val="ConsPlusNormal"/>
        <w:ind w:firstLine="567"/>
        <w:jc w:val="both"/>
      </w:pPr>
      <w:r>
        <w:t>4.4.6. Отказаться от приемки и оплаты Товара, не соответствующего условиям Контракта.</w:t>
      </w:r>
    </w:p>
    <w:p>
      <w:pPr>
        <w:pStyle w:val="ConsPlusNormal"/>
        <w:ind w:firstLine="567"/>
        <w:jc w:val="both"/>
      </w:pPr>
      <w:bookmarkStart w:id="7" w:name="Par182"/>
      <w:bookmarkEnd w:id="7"/>
      <w:r>
        <w:t xml:space="preserve">4.4.7. Принять решение об одностороннем отказе от исполнения Контракта </w:t>
      </w:r>
      <w:r>
        <w:br/>
        <w:t xml:space="preserve">в соответствии с гражданским законодательством Российской Федерации и в соответствии </w:t>
      </w:r>
      <w:r>
        <w:br/>
        <w:t>с положениями статьи 95 ФЗ № 44.</w:t>
      </w:r>
      <w:r>
        <w:rPr>
          <w:rStyle w:val="af1"/>
        </w:rPr>
        <w:t xml:space="preserve"> </w:t>
      </w:r>
    </w:p>
    <w:p>
      <w:pPr>
        <w:pStyle w:val="ConsPlusNormal"/>
        <w:ind w:firstLine="567"/>
        <w:jc w:val="both"/>
      </w:pPr>
      <w: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ФЗ № 44.</w:t>
      </w:r>
    </w:p>
    <w:p>
      <w:pPr>
        <w:pStyle w:val="ConsPlusNormal"/>
        <w:ind w:firstLine="709"/>
        <w:jc w:val="both"/>
      </w:pPr>
    </w:p>
    <w:p>
      <w:pPr>
        <w:pStyle w:val="ConsPlusNormal"/>
        <w:jc w:val="center"/>
        <w:outlineLvl w:val="1"/>
        <w:rPr>
          <w:b/>
        </w:rPr>
      </w:pPr>
      <w:r>
        <w:rPr>
          <w:b/>
        </w:rPr>
        <w:t>5. Упаковка Товара</w:t>
      </w:r>
    </w:p>
    <w:p>
      <w:pPr>
        <w:pStyle w:val="ConsPlusNormal"/>
        <w:jc w:val="center"/>
        <w:outlineLvl w:val="1"/>
        <w:rPr>
          <w:b/>
        </w:rPr>
      </w:pPr>
    </w:p>
    <w:p>
      <w:pPr>
        <w:ind w:firstLine="567"/>
        <w:jc w:val="both"/>
      </w:pPr>
      <w: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pPr>
        <w:ind w:firstLine="567"/>
        <w:jc w:val="both"/>
      </w:pPr>
      <w: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pPr>
        <w:ind w:firstLine="567"/>
        <w:jc w:val="both"/>
      </w:pPr>
      <w: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pPr>
        <w:ind w:firstLine="567"/>
        <w:jc w:val="both"/>
      </w:pPr>
      <w:r>
        <w:t>5.4. Поставщик несет ответственность перед Заказчиком за повреждение Товара вследствие его ненадлежащей упаковки.</w:t>
      </w:r>
    </w:p>
    <w:p>
      <w:pPr>
        <w:ind w:firstLine="567"/>
        <w:jc w:val="both"/>
      </w:pPr>
      <w:r>
        <w:t>5.5.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pPr>
        <w:ind w:firstLine="567"/>
        <w:jc w:val="both"/>
      </w:pPr>
      <w:r>
        <w:lastRenderedPageBreak/>
        <w:t>5.6.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pPr>
        <w:pStyle w:val="ConsPlusNormal"/>
        <w:jc w:val="center"/>
        <w:outlineLvl w:val="1"/>
        <w:rPr>
          <w:b/>
        </w:rPr>
      </w:pPr>
    </w:p>
    <w:p>
      <w:pPr>
        <w:pStyle w:val="ConsPlusNormal"/>
        <w:jc w:val="center"/>
        <w:outlineLvl w:val="1"/>
        <w:rPr>
          <w:b/>
        </w:rPr>
      </w:pPr>
      <w:r>
        <w:rPr>
          <w:b/>
        </w:rPr>
        <w:t>6. Гарантия, качество Товара</w:t>
      </w:r>
    </w:p>
    <w:p>
      <w:pPr>
        <w:pStyle w:val="ConsPlusNormal"/>
        <w:jc w:val="center"/>
        <w:outlineLvl w:val="1"/>
      </w:pPr>
    </w:p>
    <w:p>
      <w:pPr>
        <w:ind w:firstLine="567"/>
        <w:jc w:val="both"/>
      </w:pPr>
      <w:bookmarkStart w:id="8" w:name="p0"/>
      <w:bookmarkStart w:id="9" w:name="Par213"/>
      <w:bookmarkStart w:id="10" w:name="_Hlk125111148"/>
      <w:bookmarkEnd w:id="8"/>
      <w:bookmarkEnd w:id="9"/>
      <w:r>
        <w:t>6.1. Поставщик гарантирует, что поставляемый товар соответствует требованиям, установленным Контрактом.</w:t>
      </w:r>
    </w:p>
    <w:bookmarkEnd w:id="10"/>
    <w:p>
      <w:pPr>
        <w:pStyle w:val="ConsPlusNormal"/>
        <w:ind w:firstLine="567"/>
        <w:jc w:val="both"/>
        <w:outlineLvl w:val="1"/>
        <w:rPr>
          <w:bCs/>
        </w:rPr>
      </w:pPr>
      <w:r>
        <w:rPr>
          <w:bCs/>
        </w:rPr>
        <w:t xml:space="preserve">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pPr>
        <w:pStyle w:val="ConsPlusNormal"/>
        <w:ind w:firstLine="567"/>
        <w:jc w:val="both"/>
        <w:outlineLvl w:val="1"/>
        <w:rPr>
          <w:bCs/>
        </w:rPr>
      </w:pPr>
      <w:r>
        <w:rPr>
          <w:bCs/>
        </w:rPr>
        <w:t>На товаре не должно быть механических повреждений.</w:t>
      </w:r>
    </w:p>
    <w:p>
      <w:pPr>
        <w:pStyle w:val="ConsPlusNormal"/>
        <w:ind w:firstLine="567"/>
        <w:jc w:val="both"/>
        <w:outlineLvl w:val="1"/>
        <w:rPr>
          <w:bCs/>
        </w:rPr>
      </w:pPr>
      <w:r>
        <w:rPr>
          <w:bCs/>
        </w:rPr>
        <w:t>6.2. Поставщик предоставляет Заказчику гарантию на товар, оформленную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pPr>
        <w:pStyle w:val="ConsPlusNormal"/>
        <w:ind w:firstLine="567"/>
        <w:jc w:val="both"/>
        <w:outlineLvl w:val="1"/>
        <w:rPr>
          <w:bCs/>
        </w:rPr>
      </w:pPr>
      <w:r>
        <w:rPr>
          <w:bCs/>
        </w:rPr>
        <w:t>6.3. Гарантия Поставщика на поставленный товар составляет не менее 12 месяцев. Гарантийный срок начинает исчисляться со дня подписания соответствующего документа о приемке товара в единой информационной системе в сфере закупок.</w:t>
      </w:r>
    </w:p>
    <w:p>
      <w:pPr>
        <w:pStyle w:val="ConsPlusNormal"/>
        <w:ind w:firstLine="567"/>
        <w:jc w:val="both"/>
        <w:outlineLvl w:val="1"/>
        <w:rPr>
          <w:bCs/>
        </w:rPr>
      </w:pPr>
      <w:r>
        <w:rPr>
          <w:bCs/>
        </w:rPr>
        <w:t>6.4. Неисправный или дефектный товар будет возвращен Поставщику за его счет в сроки, согласованные Заказчиком и Поставщиком. В случае замены неисправного или дефектного товара гарантийный срок на данный товар продлевается.</w:t>
      </w:r>
      <w:r>
        <w:rPr>
          <w:bCs/>
        </w:rPr>
        <w:tab/>
      </w:r>
    </w:p>
    <w:p>
      <w:pPr>
        <w:pStyle w:val="ConsPlusNormal"/>
        <w:ind w:firstLine="567"/>
        <w:jc w:val="both"/>
        <w:outlineLvl w:val="1"/>
        <w:rPr>
          <w:bCs/>
        </w:rPr>
      </w:pPr>
      <w:r>
        <w:rPr>
          <w:bCs/>
        </w:rPr>
        <w:t>6.5. Срок исполнения обязательств по устранению недостатков товара не может превышать 14 календарных дней с момента получения уведомления от Заказчика о недостатках товара.</w:t>
      </w:r>
    </w:p>
    <w:p>
      <w:pPr>
        <w:pStyle w:val="ConsPlusNormal"/>
        <w:jc w:val="center"/>
        <w:outlineLvl w:val="1"/>
        <w:rPr>
          <w:b/>
        </w:rPr>
      </w:pPr>
    </w:p>
    <w:p>
      <w:pPr>
        <w:pStyle w:val="ConsPlusNormal"/>
        <w:jc w:val="center"/>
        <w:outlineLvl w:val="1"/>
      </w:pPr>
      <w:r>
        <w:rPr>
          <w:b/>
        </w:rPr>
        <w:t>7. Ответственность Сторон</w:t>
      </w:r>
      <w:r>
        <w:t xml:space="preserve"> </w:t>
      </w:r>
    </w:p>
    <w:p>
      <w:pPr>
        <w:pStyle w:val="ConsPlusNormal"/>
        <w:ind w:firstLine="709"/>
        <w:jc w:val="both"/>
      </w:pPr>
    </w:p>
    <w:p>
      <w:pPr>
        <w:ind w:firstLine="567"/>
        <w:jc w:val="both"/>
      </w:pPr>
      <w: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pPr>
        <w:ind w:firstLine="567"/>
        <w:jc w:val="both"/>
      </w:pPr>
      <w: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pPr>
        <w:ind w:firstLine="567"/>
        <w:jc w:val="both"/>
      </w:pPr>
      <w: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pPr>
        <w:ind w:firstLine="567"/>
        <w:jc w:val="both"/>
      </w:pPr>
      <w: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pPr>
        <w:ind w:firstLine="567"/>
        <w:jc w:val="both"/>
      </w:pPr>
      <w:bookmarkStart w:id="11" w:name="p292"/>
      <w:bookmarkEnd w:id="11"/>
      <w: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pPr>
        <w:ind w:firstLine="567"/>
        <w:jc w:val="both"/>
      </w:pPr>
      <w:bookmarkStart w:id="12" w:name="p293"/>
      <w:bookmarkEnd w:id="12"/>
      <w: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w:t>
      </w:r>
    </w:p>
    <w:p>
      <w:pPr>
        <w:ind w:firstLine="567"/>
        <w:jc w:val="both"/>
      </w:pPr>
      <w:r>
        <w:t xml:space="preserve">7.6. В случае нарушения Поставщиком срока представления документа, предусмотренного пунктом 3.3 Контракта, Заказчик не несет ответственность, установленную </w:t>
      </w:r>
      <w:hyperlink w:anchor="p292" w:history="1">
        <w:r>
          <w:t>пунктами 7.4</w:t>
        </w:r>
      </w:hyperlink>
      <w:r>
        <w:t xml:space="preserve"> – 7.5 Контракта.</w:t>
      </w:r>
    </w:p>
    <w:p>
      <w:pPr>
        <w:ind w:firstLine="567"/>
        <w:jc w:val="both"/>
      </w:pPr>
      <w: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ind w:firstLine="567"/>
        <w:jc w:val="both"/>
      </w:pPr>
      <w:r>
        <w:lastRenderedPageBreak/>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pPr>
        <w:ind w:firstLine="567"/>
        <w:jc w:val="both"/>
      </w:pPr>
      <w: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pPr>
        <w:ind w:firstLine="567"/>
        <w:jc w:val="both"/>
      </w:pPr>
      <w:r>
        <w:t>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r>
        <w:rPr>
          <w:rStyle w:val="af1"/>
        </w:rPr>
        <w:footnoteReference w:id="2"/>
      </w:r>
      <w:r>
        <w:t>, Поставщик выплачивает Заказчику штраф в размере 10 процентов цены Контракта.</w:t>
      </w:r>
    </w:p>
    <w:p>
      <w:pPr>
        <w:ind w:firstLine="567"/>
        <w:jc w:val="both"/>
      </w:pPr>
      <w:r>
        <w:t>7.11.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w:t>
      </w:r>
    </w:p>
    <w:p>
      <w:pPr>
        <w:ind w:firstLine="567"/>
        <w:jc w:val="both"/>
      </w:pPr>
      <w:bookmarkStart w:id="13" w:name="p340"/>
      <w:bookmarkEnd w:id="13"/>
      <w:r>
        <w:t>7.12.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pPr>
        <w:ind w:firstLine="567"/>
        <w:jc w:val="both"/>
      </w:pPr>
      <w: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ind w:firstLine="567"/>
        <w:jc w:val="both"/>
      </w:pPr>
      <w:r>
        <w:t>7.14. Уплата неустойки (штрафа, пени) не освобождает Стороны от исполнения обязательств по Контракту.</w:t>
      </w:r>
    </w:p>
    <w:p>
      <w:pPr>
        <w:jc w:val="center"/>
        <w:rPr>
          <w:b/>
        </w:rPr>
      </w:pPr>
      <w:bookmarkStart w:id="14" w:name="Par233"/>
      <w:bookmarkEnd w:id="14"/>
      <w:r>
        <w:rPr>
          <w:b/>
        </w:rPr>
        <w:t>8. Банковское сопровождение Контракта</w:t>
      </w:r>
    </w:p>
    <w:p>
      <w:pPr>
        <w:ind w:firstLine="709"/>
        <w:jc w:val="center"/>
        <w:rPr>
          <w:b/>
        </w:rPr>
      </w:pPr>
      <w:proofErr w:type="gramStart"/>
      <w:r>
        <w:rPr>
          <w:b/>
        </w:rPr>
        <w:t>и</w:t>
      </w:r>
      <w:proofErr w:type="gramEnd"/>
      <w:r>
        <w:rPr>
          <w:b/>
        </w:rPr>
        <w:t xml:space="preserve"> (или)</w:t>
      </w:r>
    </w:p>
    <w:p>
      <w:pPr>
        <w:jc w:val="center"/>
        <w:rPr>
          <w:b/>
        </w:rPr>
      </w:pPr>
      <w:r>
        <w:rPr>
          <w:b/>
        </w:rPr>
        <w:t xml:space="preserve">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w:t>
      </w:r>
      <w:r>
        <w:rPr>
          <w:b/>
        </w:rPr>
        <w:br/>
        <w:t>в соответствии с условиями и (или) целями предоставления указанных средств (казначейское сопровождение)</w:t>
      </w:r>
    </w:p>
    <w:p>
      <w:pPr>
        <w:ind w:firstLine="709"/>
        <w:jc w:val="both"/>
      </w:pPr>
    </w:p>
    <w:p>
      <w:pPr>
        <w:ind w:firstLine="567"/>
        <w:jc w:val="both"/>
      </w:pPr>
      <w:r>
        <w:t>8.1. Банковское и (или) казначейское сопровождение Контракта не предусмотрено.</w:t>
      </w:r>
    </w:p>
    <w:p>
      <w:pPr>
        <w:pStyle w:val="ConsPlusNormal"/>
        <w:ind w:firstLine="567"/>
        <w:jc w:val="both"/>
        <w:outlineLvl w:val="1"/>
        <w:rPr>
          <w:b/>
        </w:rPr>
      </w:pPr>
    </w:p>
    <w:p>
      <w:pPr>
        <w:pStyle w:val="ConsPlusNormal"/>
        <w:jc w:val="center"/>
        <w:outlineLvl w:val="1"/>
        <w:rPr>
          <w:b/>
        </w:rPr>
      </w:pPr>
      <w:r>
        <w:rPr>
          <w:b/>
        </w:rPr>
        <w:t>9. Обстоятельства непреодолимой силы</w:t>
      </w:r>
    </w:p>
    <w:p>
      <w:pPr>
        <w:pStyle w:val="ConsPlusNormal"/>
        <w:ind w:firstLine="709"/>
        <w:jc w:val="center"/>
      </w:pPr>
    </w:p>
    <w:p>
      <w:pPr>
        <w:ind w:firstLine="567"/>
        <w:jc w:val="both"/>
      </w:pPr>
      <w: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pPr>
        <w:ind w:firstLine="567"/>
        <w:jc w:val="both"/>
      </w:pPr>
      <w:r>
        <w:t>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pPr>
        <w:ind w:firstLine="567"/>
        <w:jc w:val="both"/>
      </w:pPr>
      <w:r>
        <w:t xml:space="preserve">9.3. Сторона, у которой возникли обстоятельства непреодолимой силы, обязана </w:t>
      </w:r>
      <w:r>
        <w:br/>
        <w:t>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pPr>
        <w:ind w:firstLine="567"/>
        <w:jc w:val="both"/>
      </w:pPr>
      <w:r>
        <w:lastRenderedPageBreak/>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pPr>
        <w:ind w:firstLine="567"/>
        <w:jc w:val="both"/>
      </w:pPr>
      <w:r>
        <w:t xml:space="preserve">9.5. Если, по мнению Сторон, исполнение Контракта может быть продолжено </w:t>
      </w:r>
      <w:r>
        <w:br/>
        <w:t>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pPr>
        <w:ind w:firstLine="567"/>
        <w:jc w:val="both"/>
      </w:pPr>
      <w:r>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pPr>
        <w:pStyle w:val="ConsPlusNormal"/>
        <w:jc w:val="center"/>
        <w:outlineLvl w:val="1"/>
        <w:rPr>
          <w:b/>
        </w:rPr>
      </w:pPr>
    </w:p>
    <w:p>
      <w:pPr>
        <w:pStyle w:val="ConsPlusNormal"/>
        <w:jc w:val="center"/>
        <w:outlineLvl w:val="1"/>
        <w:rPr>
          <w:b/>
        </w:rPr>
      </w:pPr>
      <w:r>
        <w:rPr>
          <w:b/>
        </w:rPr>
        <w:t>10. Рассмотрение и разрешение споров</w:t>
      </w:r>
    </w:p>
    <w:p>
      <w:pPr>
        <w:pStyle w:val="ConsPlusNormal"/>
        <w:ind w:firstLine="567"/>
        <w:jc w:val="center"/>
      </w:pPr>
    </w:p>
    <w:p>
      <w:pPr>
        <w:pStyle w:val="ConsPlusNormal"/>
        <w:ind w:firstLine="567"/>
        <w:jc w:val="both"/>
      </w:pPr>
      <w:r>
        <w:t>10.1. Все споры, возникающие из Контракта, Стороны могут разрешать путем переговоров.</w:t>
      </w:r>
    </w:p>
    <w:p>
      <w:pPr>
        <w:pStyle w:val="ConsPlusNormal"/>
        <w:ind w:firstLine="567"/>
        <w:jc w:val="both"/>
      </w:pPr>
      <w:r>
        <w:t xml:space="preserve">10.2. Все споры, возникающие из Контракта, подлежат передаче на разрешение Арбитражному суду города Санкт-Петербурга и Ленинградской области в соответствии </w:t>
      </w:r>
      <w:r>
        <w:br/>
        <w:t>с действующим законодательством Российской Федерации и Контрактом.</w:t>
      </w:r>
    </w:p>
    <w:p>
      <w:pPr>
        <w:pStyle w:val="ConsPlusNormal"/>
        <w:ind w:firstLine="567"/>
        <w:jc w:val="both"/>
      </w:pPr>
      <w:r>
        <w:t xml:space="preserve">10.3. До передачи спора на разрешение Арбитражного суда города Санкт-Петербурга </w:t>
      </w:r>
      <w:r>
        <w:br/>
        <w:t>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pPr>
        <w:pStyle w:val="ConsPlusNormal"/>
        <w:ind w:firstLine="567"/>
        <w:jc w:val="both"/>
      </w:pPr>
      <w:r>
        <w:t>10.4. Претензии должны быть направлены одной Стороной другой Стороне в порядке, предусмотренном разделом 10</w:t>
      </w:r>
      <w:r>
        <w:rPr>
          <w:color w:val="FF0000"/>
        </w:rPr>
        <w:t xml:space="preserve"> </w:t>
      </w:r>
      <w:r>
        <w:t>Контракта.</w:t>
      </w:r>
    </w:p>
    <w:p>
      <w:pPr>
        <w:pStyle w:val="ConsPlusNormal"/>
        <w:ind w:firstLine="567"/>
        <w:jc w:val="both"/>
      </w:pPr>
      <w:r>
        <w:t>10.5. Сторона должна дать ответ на претензию по существу в срок не позднее 7 (семи) рабочих дней с даты получения претензии.</w:t>
      </w:r>
    </w:p>
    <w:p>
      <w:pPr>
        <w:pStyle w:val="ConsPlusNormal"/>
        <w:ind w:firstLine="567"/>
        <w:jc w:val="both"/>
      </w:pPr>
      <w: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pPr>
        <w:pStyle w:val="ConsPlusNormal"/>
        <w:ind w:firstLine="567"/>
        <w:jc w:val="both"/>
      </w:pPr>
      <w:r>
        <w:t xml:space="preserve">10.7. Если требования в претензии подлежат денежной оценке, в претензии указывается </w:t>
      </w:r>
      <w:proofErr w:type="spellStart"/>
      <w:r>
        <w:t>истребуемая</w:t>
      </w:r>
      <w:proofErr w:type="spellEnd"/>
      <w:r>
        <w:t xml:space="preserve"> денежная сумма и ее полный и обоснованный расчет.</w:t>
      </w:r>
    </w:p>
    <w:p>
      <w:pPr>
        <w:pStyle w:val="ConsPlusNormal"/>
        <w:ind w:firstLine="567"/>
        <w:jc w:val="both"/>
      </w:pPr>
      <w: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pPr>
        <w:pStyle w:val="ConsPlusNormal"/>
        <w:ind w:firstLine="567"/>
        <w:jc w:val="both"/>
      </w:pPr>
      <w:r>
        <w:t xml:space="preserve">10.9.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br/>
        <w:t>ее рассмотрению, объективному урегулированию спора.</w:t>
      </w:r>
    </w:p>
    <w:p>
      <w:pPr>
        <w:pStyle w:val="ConsPlusNormal"/>
        <w:ind w:firstLine="567"/>
        <w:jc w:val="both"/>
      </w:pPr>
      <w:r>
        <w:t xml:space="preserve">10.10. При отклонении претензии полностью или частично либо неполучении ответа </w:t>
      </w:r>
      <w:r>
        <w:br/>
        <w:t xml:space="preserve">в установленные для ее рассмотрения сроки, либо неисполнении требований по претензии </w:t>
      </w:r>
      <w: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pPr>
        <w:pStyle w:val="ConsPlusNormal"/>
        <w:jc w:val="center"/>
        <w:outlineLvl w:val="1"/>
        <w:rPr>
          <w:b/>
        </w:rPr>
      </w:pPr>
    </w:p>
    <w:p>
      <w:pPr>
        <w:pStyle w:val="ConsPlusNormal"/>
        <w:jc w:val="center"/>
        <w:outlineLvl w:val="1"/>
        <w:rPr>
          <w:b/>
        </w:rPr>
      </w:pPr>
      <w:r>
        <w:rPr>
          <w:b/>
        </w:rPr>
        <w:t xml:space="preserve">11. Срок действия и порядок изменения, расторжения Контракта. </w:t>
      </w:r>
      <w:r>
        <w:rPr>
          <w:b/>
        </w:rPr>
        <w:br/>
        <w:t>Срок исполнения Контракта</w:t>
      </w:r>
    </w:p>
    <w:p>
      <w:pPr>
        <w:pStyle w:val="ConsPlusNormal"/>
        <w:ind w:firstLine="709"/>
        <w:jc w:val="both"/>
      </w:pPr>
    </w:p>
    <w:p>
      <w:pPr>
        <w:pStyle w:val="ConsPlusNormal"/>
        <w:ind w:firstLine="567"/>
        <w:jc w:val="both"/>
      </w:pPr>
      <w:bookmarkStart w:id="15" w:name="Par277"/>
      <w:bookmarkEnd w:id="15"/>
      <w:r>
        <w:t xml:space="preserve">11.1. Контракт вступает в силу с даты его заключения обеими Сторонами и действует по </w:t>
      </w:r>
      <w:r>
        <w:rPr>
          <w:b/>
        </w:rPr>
        <w:t>«</w:t>
      </w:r>
      <w:r>
        <w:rPr>
          <w:b/>
          <w:lang w:val="be-BY"/>
        </w:rPr>
        <w:t>31</w:t>
      </w:r>
      <w:r>
        <w:rPr>
          <w:b/>
        </w:rPr>
        <w:t>» августа 2026 г. (включительно)</w:t>
      </w:r>
      <w:r>
        <w:t>,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pPr>
        <w:pStyle w:val="ConsPlusNormal"/>
        <w:ind w:firstLine="567"/>
        <w:jc w:val="both"/>
      </w:pPr>
      <w:r>
        <w:t>11.2. Информация о Контракте подлежит включению в реестр контрактов, заключенных заказчиками.</w:t>
      </w:r>
    </w:p>
    <w:p>
      <w:pPr>
        <w:pStyle w:val="ConsPlusNormal"/>
        <w:ind w:firstLine="567"/>
        <w:jc w:val="both"/>
      </w:pPr>
      <w:r>
        <w:lastRenderedPageBreak/>
        <w:t>11.3. Изменение условий Контракта при его исполнении не допускается, за исключением случаев, предусмотренных ФЗ № 44.</w:t>
      </w:r>
    </w:p>
    <w:p>
      <w:pPr>
        <w:pStyle w:val="ConsPlusNormal"/>
        <w:ind w:firstLine="567"/>
        <w:jc w:val="both"/>
      </w:pPr>
      <w:r>
        <w:t>11.4.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pPr>
        <w:pStyle w:val="ConsPlusNormal"/>
        <w:ind w:firstLine="567"/>
        <w:jc w:val="both"/>
      </w:pPr>
      <w:r>
        <w:t xml:space="preserve">11.5. Расторжение Контракта допускается по соглашению Сторон, по решению суда, </w:t>
      </w:r>
      <w:r>
        <w:br/>
        <w:t xml:space="preserve">в случае одностороннего отказа Стороны от исполнения Контракта в соответствии </w:t>
      </w:r>
      <w: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pPr>
        <w:autoSpaceDE w:val="0"/>
        <w:autoSpaceDN w:val="0"/>
        <w:adjustRightInd w:val="0"/>
        <w:ind w:firstLine="567"/>
        <w:jc w:val="both"/>
      </w:pPr>
      <w:r>
        <w:t xml:space="preserve">11.6. Стороны вправе отказаться от исполнения Контракта в одностороннем порядке </w:t>
      </w:r>
      <w:r>
        <w:br/>
        <w:t xml:space="preserve">в соответствии с положениями </w:t>
      </w:r>
      <w:hyperlink r:id="rId8" w:history="1">
        <w:r>
          <w:t>частей 8</w:t>
        </w:r>
      </w:hyperlink>
      <w:r>
        <w:t xml:space="preserve"> - </w:t>
      </w:r>
      <w:hyperlink r:id="rId9" w:history="1">
        <w:r>
          <w:t>11</w:t>
        </w:r>
      </w:hyperlink>
      <w:r>
        <w:t xml:space="preserve">, </w:t>
      </w:r>
      <w:hyperlink r:id="rId10" w:history="1">
        <w:r>
          <w:t>13</w:t>
        </w:r>
      </w:hyperlink>
      <w:r>
        <w:t xml:space="preserve"> - </w:t>
      </w:r>
      <w:hyperlink r:id="rId11" w:history="1">
        <w:r>
          <w:t>19</w:t>
        </w:r>
      </w:hyperlink>
      <w:r>
        <w:t xml:space="preserve">, </w:t>
      </w:r>
      <w:hyperlink r:id="rId12" w:history="1">
        <w:r>
          <w:t>21</w:t>
        </w:r>
      </w:hyperlink>
      <w:r>
        <w:t xml:space="preserve"> - </w:t>
      </w:r>
      <w:hyperlink r:id="rId13" w:history="1">
        <w:r>
          <w:t>23 статьи 95</w:t>
        </w:r>
      </w:hyperlink>
      <w:r>
        <w:t xml:space="preserve"> ФЗ № 44.</w:t>
      </w:r>
    </w:p>
    <w:p>
      <w:pPr>
        <w:autoSpaceDE w:val="0"/>
        <w:autoSpaceDN w:val="0"/>
        <w:adjustRightInd w:val="0"/>
        <w:ind w:firstLine="567"/>
        <w:jc w:val="both"/>
      </w:pPr>
      <w:r>
        <w:t>11.7.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autoSpaceDE w:val="0"/>
        <w:autoSpaceDN w:val="0"/>
        <w:adjustRightInd w:val="0"/>
        <w:ind w:firstLine="567"/>
        <w:jc w:val="both"/>
      </w:pPr>
      <w:r>
        <w:t xml:space="preserve">11.8. Решение Заказчика об одностороннем отказе от исполнения Контракта вступает </w:t>
      </w:r>
      <w:r>
        <w:br/>
        <w:t>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pPr>
        <w:autoSpaceDE w:val="0"/>
        <w:autoSpaceDN w:val="0"/>
        <w:adjustRightInd w:val="0"/>
        <w:ind w:firstLine="567"/>
        <w:jc w:val="both"/>
      </w:pPr>
      <w:r>
        <w:t xml:space="preserve">11.9. Заказчик обязан отменить не вступившее в силу решение об одностороннем отказе </w:t>
      </w:r>
      <w:r>
        <w:br/>
        <w:t xml:space="preserve">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pPr>
        <w:autoSpaceDE w:val="0"/>
        <w:autoSpaceDN w:val="0"/>
        <w:adjustRightInd w:val="0"/>
        <w:ind w:firstLine="567"/>
        <w:jc w:val="both"/>
      </w:pPr>
      <w: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Pr>
          <w:rStyle w:val="af1"/>
        </w:rPr>
        <w:t xml:space="preserve"> </w:t>
      </w:r>
    </w:p>
    <w:p>
      <w:pPr>
        <w:autoSpaceDE w:val="0"/>
        <w:autoSpaceDN w:val="0"/>
        <w:adjustRightInd w:val="0"/>
        <w:ind w:firstLine="567"/>
        <w:jc w:val="both"/>
      </w:pPr>
      <w:r>
        <w:t>11.10.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autoSpaceDE w:val="0"/>
        <w:autoSpaceDN w:val="0"/>
        <w:adjustRightInd w:val="0"/>
        <w:ind w:firstLine="567"/>
        <w:jc w:val="both"/>
      </w:pPr>
      <w:r>
        <w:t xml:space="preserve">11.11. В случае принятия Поставщиком решения об одностороннем отказе </w:t>
      </w:r>
      <w:r>
        <w:br/>
        <w:t xml:space="preserve">от исполнения Контракта такое решение направляется Заказчику. </w:t>
      </w:r>
    </w:p>
    <w:p>
      <w:pPr>
        <w:autoSpaceDE w:val="0"/>
        <w:autoSpaceDN w:val="0"/>
        <w:adjustRightInd w:val="0"/>
        <w:ind w:firstLine="567"/>
        <w:jc w:val="both"/>
      </w:pPr>
      <w:r>
        <w:t xml:space="preserve">11.12. Решение Поставщика об одностороннем отказе от исполнения Контракта вступает </w:t>
      </w:r>
      <w:r>
        <w:br/>
        <w:t>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pPr>
        <w:autoSpaceDE w:val="0"/>
        <w:autoSpaceDN w:val="0"/>
        <w:adjustRightInd w:val="0"/>
        <w:ind w:firstLine="567"/>
        <w:jc w:val="both"/>
      </w:pPr>
      <w:r>
        <w:t>11.13.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jc w:val="center"/>
        <w:rPr>
          <w:b/>
        </w:rPr>
      </w:pPr>
    </w:p>
    <w:p>
      <w:pPr>
        <w:jc w:val="center"/>
        <w:rPr>
          <w:b/>
        </w:rPr>
      </w:pPr>
      <w:r>
        <w:rPr>
          <w:b/>
        </w:rPr>
        <w:t>12. Исключительные права</w:t>
      </w:r>
    </w:p>
    <w:p>
      <w:pPr>
        <w:ind w:firstLine="709"/>
        <w:jc w:val="both"/>
      </w:pPr>
    </w:p>
    <w:p>
      <w:pPr>
        <w:ind w:firstLine="567"/>
        <w:jc w:val="both"/>
      </w:pPr>
      <w:r>
        <w:t>12.1. Поставщик гарантирует отсутствие нарушения исключительных прав третьих лиц, связанных с поставкой и использованием Товара в рамках Контракта.</w:t>
      </w:r>
    </w:p>
    <w:p>
      <w:pPr>
        <w:ind w:firstLine="567"/>
        <w:jc w:val="both"/>
      </w:pPr>
      <w:r>
        <w:t>12.2.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pPr>
        <w:ind w:firstLine="709"/>
        <w:jc w:val="center"/>
        <w:rPr>
          <w:b/>
          <w:bCs/>
        </w:rPr>
      </w:pPr>
    </w:p>
    <w:p>
      <w:pPr>
        <w:jc w:val="center"/>
      </w:pPr>
      <w:r>
        <w:rPr>
          <w:b/>
          <w:bCs/>
        </w:rPr>
        <w:t>13. Антикоррупционная оговорка</w:t>
      </w:r>
    </w:p>
    <w:p>
      <w:pPr>
        <w:autoSpaceDE w:val="0"/>
        <w:autoSpaceDN w:val="0"/>
        <w:adjustRightInd w:val="0"/>
        <w:ind w:firstLine="567"/>
        <w:jc w:val="both"/>
        <w:rPr>
          <w:bCs/>
        </w:rPr>
      </w:pPr>
      <w:r>
        <w:t xml:space="preserve">13.1. </w:t>
      </w:r>
      <w:r>
        <w:rPr>
          <w:bCs/>
        </w:rPr>
        <w:t xml:space="preserve">При исполнении своих обязательств по Контракту Стороны обязуются </w:t>
      </w:r>
      <w:r>
        <w:rPr>
          <w:bCs/>
        </w:rPr>
        <w:br/>
        <w:t xml:space="preserve">не совершать, а также обязуются обеспечивать, чтобы их аффилированные лица, сотрудники </w:t>
      </w:r>
      <w:r>
        <w:rPr>
          <w:bCs/>
        </w:rPr>
        <w:br/>
        <w:t>и посредники не совершали прямо или косвенно следующих действий:</w:t>
      </w:r>
    </w:p>
    <w:p>
      <w:pPr>
        <w:autoSpaceDE w:val="0"/>
        <w:autoSpaceDN w:val="0"/>
        <w:adjustRightInd w:val="0"/>
        <w:ind w:firstLine="567"/>
        <w:jc w:val="both"/>
        <w:rPr>
          <w:bCs/>
        </w:rPr>
      </w:pPr>
      <w:proofErr w:type="gramStart"/>
      <w:r>
        <w:rPr>
          <w:bCs/>
        </w:rPr>
        <w:t>платить</w:t>
      </w:r>
      <w:proofErr w:type="gramEnd"/>
      <w:r>
        <w:rPr>
          <w:bCs/>
        </w:rPr>
        <w:t xml:space="preserve">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w:t>
      </w:r>
      <w:r>
        <w:rPr>
          <w:bCs/>
        </w:rPr>
        <w:lastRenderedPageBreak/>
        <w:t>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pPr>
        <w:autoSpaceDE w:val="0"/>
        <w:autoSpaceDN w:val="0"/>
        <w:adjustRightInd w:val="0"/>
        <w:ind w:firstLine="567"/>
        <w:jc w:val="both"/>
        <w:rPr>
          <w:bCs/>
        </w:rPr>
      </w:pPr>
      <w:proofErr w:type="gramStart"/>
      <w:r>
        <w:rPr>
          <w:bCs/>
        </w:rPr>
        <w:t>платить</w:t>
      </w:r>
      <w:proofErr w:type="gramEnd"/>
      <w:r>
        <w:rPr>
          <w:bCs/>
        </w:rPr>
        <w:t xml:space="preserve">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pPr>
        <w:autoSpaceDE w:val="0"/>
        <w:autoSpaceDN w:val="0"/>
        <w:adjustRightInd w:val="0"/>
        <w:ind w:firstLine="567"/>
        <w:jc w:val="both"/>
        <w:rPr>
          <w:bCs/>
        </w:rPr>
      </w:pPr>
      <w:proofErr w:type="gramStart"/>
      <w:r>
        <w:rPr>
          <w:bCs/>
        </w:rPr>
        <w:t>не</w:t>
      </w:r>
      <w:proofErr w:type="gramEnd"/>
      <w:r>
        <w:rPr>
          <w:bCs/>
        </w:rPr>
        <w:t xml:space="preserve"> совершать иных действий, нарушающих антикоррупционное законодательство Российской Федерации.</w:t>
      </w:r>
    </w:p>
    <w:p>
      <w:pPr>
        <w:pStyle w:val="ConsPlusNormal"/>
        <w:jc w:val="center"/>
        <w:outlineLvl w:val="1"/>
      </w:pPr>
      <w:r>
        <w:rPr>
          <w:b/>
        </w:rPr>
        <w:t>14. Прочие положения</w:t>
      </w:r>
    </w:p>
    <w:p>
      <w:pPr>
        <w:pStyle w:val="ConsPlusNormal"/>
        <w:ind w:firstLine="709"/>
        <w:jc w:val="both"/>
      </w:pPr>
    </w:p>
    <w:p>
      <w:pPr>
        <w:pStyle w:val="ConsPlusNormal"/>
        <w:ind w:firstLine="567"/>
        <w:jc w:val="both"/>
      </w:pPr>
      <w:r>
        <w:t>14.1. Во всем, что не оговорено в Контракте, Стороны руководствуются действующим законодательством Российской Федерации.</w:t>
      </w:r>
    </w:p>
    <w:p>
      <w:pPr>
        <w:pStyle w:val="ConsPlusNormal"/>
        <w:ind w:firstLine="567"/>
        <w:jc w:val="both"/>
      </w:pPr>
      <w:r>
        <w:t>14.2.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pPr>
        <w:pStyle w:val="ConsPlusNormal"/>
        <w:ind w:firstLine="567"/>
        <w:jc w:val="both"/>
      </w:pPr>
      <w:r>
        <w:t xml:space="preserve">14.3. Все сообщения, требования, замечания или уведомления Сторон по Контракту, </w:t>
      </w:r>
      <w:r>
        <w:br/>
        <w:t xml:space="preserve">за исключением случаев, предусмотренных Контракта, направляются </w:t>
      </w:r>
      <w:r>
        <w:br/>
        <w:t xml:space="preserve">с использованием курьерской доставки одной из Сторон под расписку о вручении либо </w:t>
      </w:r>
      <w:r>
        <w:br/>
        <w:t xml:space="preserve">с использованием почтовой связи заказным письмом с уведомлением о вручении по адресам Сторон, указанным в Контракте, либо с использованием электронной почты </w:t>
      </w:r>
      <w:r>
        <w:br/>
        <w:t>на электронные адреса, указанные в разделе 16 Контракта, либо с использованием факсимильной связи.</w:t>
      </w:r>
    </w:p>
    <w:p>
      <w:pPr>
        <w:pStyle w:val="ConsPlusNormal"/>
        <w:ind w:firstLine="567"/>
        <w:jc w:val="both"/>
      </w:pPr>
      <w:r>
        <w:t xml:space="preserve">Момент получения Стороной сообщения или уведомления, направленного </w:t>
      </w:r>
      <w:r>
        <w:br/>
        <w:t xml:space="preserve">с использованием курьерской доставки, почтовой или факсимильной связи, определяется </w:t>
      </w:r>
      <w:r>
        <w:br/>
        <w:t>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pPr>
        <w:pStyle w:val="ConsPlusNormal"/>
        <w:ind w:firstLine="567"/>
        <w:jc w:val="both"/>
      </w:pPr>
      <w:r>
        <w:t>14.4. При исполнении Контракта не допускается:</w:t>
      </w:r>
    </w:p>
    <w:p>
      <w:pPr>
        <w:pStyle w:val="ConsPlusNormal"/>
        <w:ind w:firstLine="567"/>
        <w:jc w:val="both"/>
      </w:pPr>
      <w:r>
        <w:t xml:space="preserve">-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w:t>
      </w:r>
      <w:r>
        <w:br/>
        <w:t>в форме преобразования, слияния или присоединения.</w:t>
      </w:r>
    </w:p>
    <w:p>
      <w:pPr>
        <w:pStyle w:val="ConsPlusNormal"/>
        <w:ind w:firstLine="567"/>
        <w:jc w:val="both"/>
      </w:pPr>
      <w: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pPr>
        <w:pStyle w:val="ConsPlusNormal"/>
        <w:ind w:firstLine="567"/>
        <w:jc w:val="both"/>
      </w:pPr>
      <w:r>
        <w:t>-  замена Товара и (или) страны его происхождения.</w:t>
      </w:r>
    </w:p>
    <w:p>
      <w:pPr>
        <w:pStyle w:val="ConsPlusNormal"/>
        <w:ind w:firstLine="567"/>
        <w:jc w:val="both"/>
      </w:pPr>
      <w:r>
        <w:t xml:space="preserve">14.5. Стороны обязуются обеспечить конфиденциальность сведений, относящихся </w:t>
      </w:r>
      <w:r>
        <w:br/>
        <w:t>к предмету Контракта и ставших им известными в ходе исполнения Контракта.</w:t>
      </w:r>
    </w:p>
    <w:p>
      <w:pPr>
        <w:pStyle w:val="ConsPlusNormal"/>
        <w:ind w:firstLine="567"/>
        <w:jc w:val="both"/>
        <w:rPr>
          <w:rStyle w:val="user-accountsubname"/>
        </w:rPr>
      </w:pPr>
    </w:p>
    <w:p>
      <w:pPr>
        <w:pStyle w:val="ConsPlusNormal"/>
        <w:jc w:val="center"/>
        <w:outlineLvl w:val="1"/>
      </w:pPr>
      <w:r>
        <w:rPr>
          <w:b/>
        </w:rPr>
        <w:t>15. Перечень приложений</w:t>
      </w:r>
    </w:p>
    <w:p>
      <w:pPr>
        <w:pStyle w:val="ConsPlusNormal"/>
        <w:ind w:firstLine="709"/>
        <w:jc w:val="both"/>
      </w:pPr>
    </w:p>
    <w:p>
      <w:pPr>
        <w:pStyle w:val="ConsPlusNormal"/>
        <w:ind w:firstLine="567"/>
        <w:jc w:val="both"/>
      </w:pPr>
      <w:r>
        <w:t>Неотъемлемой частью Контракта является следующее:</w:t>
      </w:r>
    </w:p>
    <w:p>
      <w:pPr>
        <w:pStyle w:val="ConsPlusNormal"/>
        <w:ind w:firstLine="567"/>
        <w:jc w:val="both"/>
      </w:pPr>
      <w:r>
        <w:t>Приложение № 1 – Спецификация;</w:t>
      </w:r>
    </w:p>
    <w:p>
      <w:pPr>
        <w:pStyle w:val="ConsPlusNormal"/>
        <w:ind w:firstLine="567"/>
        <w:jc w:val="both"/>
      </w:pPr>
      <w:r>
        <w:t>Приложение № 2 – Описание объекта закупки.</w:t>
      </w:r>
    </w:p>
    <w:p>
      <w:pPr>
        <w:pStyle w:val="ConsPlusNormal"/>
        <w:jc w:val="center"/>
        <w:outlineLvl w:val="1"/>
        <w:rPr>
          <w:b/>
        </w:rPr>
      </w:pPr>
      <w:bookmarkStart w:id="16" w:name="Par308"/>
      <w:bookmarkEnd w:id="16"/>
    </w:p>
    <w:p>
      <w:pPr>
        <w:pStyle w:val="ConsPlusNormal"/>
        <w:jc w:val="center"/>
        <w:outlineLvl w:val="1"/>
        <w:rPr>
          <w:b/>
        </w:rPr>
      </w:pPr>
      <w:r>
        <w:rPr>
          <w:b/>
        </w:rPr>
        <w:t>16. Адреса. Банковские реквизиты и подписи Сторон:</w:t>
      </w:r>
    </w:p>
    <w:p>
      <w:pPr>
        <w:pStyle w:val="ConsPlusNormal"/>
        <w:ind w:firstLine="709"/>
        <w:jc w:val="both"/>
      </w:pPr>
    </w:p>
    <w:tbl>
      <w:tblPr>
        <w:tblW w:w="10065" w:type="dxa"/>
        <w:tblLayout w:type="fixed"/>
        <w:tblCellMar>
          <w:top w:w="102" w:type="dxa"/>
          <w:left w:w="62" w:type="dxa"/>
          <w:bottom w:w="102" w:type="dxa"/>
          <w:right w:w="62" w:type="dxa"/>
        </w:tblCellMar>
        <w:tblLook w:val="0000" w:firstRow="0" w:lastRow="0" w:firstColumn="0" w:lastColumn="0" w:noHBand="0" w:noVBand="0"/>
      </w:tblPr>
      <w:tblGrid>
        <w:gridCol w:w="5245"/>
        <w:gridCol w:w="144"/>
        <w:gridCol w:w="4676"/>
      </w:tblGrid>
      <w:tr>
        <w:tc>
          <w:tcPr>
            <w:tcW w:w="5245" w:type="dxa"/>
          </w:tcPr>
          <w:p>
            <w:pPr>
              <w:pStyle w:val="ConsPlusNormal"/>
              <w:jc w:val="both"/>
              <w:rPr>
                <w:b/>
                <w:sz w:val="22"/>
                <w:szCs w:val="22"/>
              </w:rPr>
            </w:pPr>
            <w:r>
              <w:rPr>
                <w:b/>
                <w:sz w:val="22"/>
                <w:szCs w:val="22"/>
              </w:rPr>
              <w:t>Заказчик:</w:t>
            </w:r>
          </w:p>
          <w:p>
            <w:pPr>
              <w:suppressAutoHyphens/>
              <w:rPr>
                <w:b/>
                <w:lang w:eastAsia="zh-CN"/>
              </w:rPr>
            </w:pPr>
            <w:r>
              <w:rPr>
                <w:b/>
                <w:lang w:eastAsia="zh-CN"/>
              </w:rPr>
              <w:t xml:space="preserve">Санкт-Петербургское государственное бюджетное учреждение культуры «Детский драматический «Театр у Нарвских ворот» </w:t>
            </w:r>
          </w:p>
          <w:p>
            <w:r>
              <w:rPr>
                <w:lang w:eastAsia="zh-CN"/>
              </w:rPr>
              <w:lastRenderedPageBreak/>
              <w:t>(СПБ ГБУК «Театр у Нарвских ворот»)</w:t>
            </w:r>
          </w:p>
          <w:p>
            <w:r>
              <w:t>ОГРН 1037811007827</w:t>
            </w:r>
          </w:p>
          <w:p>
            <w:r>
              <w:t xml:space="preserve">ИНН 7805026935 КПП 780501001 </w:t>
            </w:r>
          </w:p>
          <w:p>
            <w:r>
              <w:t>Адрес юридический/фактический/почтовый: 198095, Санкт-Петербург, ул. Зои Космодемьянской, дом 3</w:t>
            </w:r>
          </w:p>
          <w:p>
            <w:r>
              <w:t>Северо-Западное ГУ Банка России//УФК по г. Санкт-Петербургу, г. Санкт-Петербург</w:t>
            </w:r>
          </w:p>
          <w:p>
            <w:r>
              <w:t>БИК 014030106</w:t>
            </w:r>
          </w:p>
          <w:p>
            <w:r>
              <w:t>Корсчет: 40102810945370000005</w:t>
            </w:r>
          </w:p>
          <w:p>
            <w:r>
              <w:t>Комитет финансов Санкт-Петербурга (Санкт-Петербургское государственное бюджетное учреждение культуры «Детский драматический «Театр у Нарвских ворот», л/с 0171161)</w:t>
            </w:r>
          </w:p>
          <w:p>
            <w:pPr>
              <w:pStyle w:val="ConsPlusNormal"/>
              <w:rPr>
                <w:sz w:val="22"/>
                <w:szCs w:val="22"/>
              </w:rPr>
            </w:pPr>
            <w:r>
              <w:t>Номер счета: 03224643400000007200</w:t>
            </w:r>
          </w:p>
        </w:tc>
        <w:tc>
          <w:tcPr>
            <w:tcW w:w="144" w:type="dxa"/>
          </w:tcPr>
          <w:p>
            <w:pPr>
              <w:pStyle w:val="ConsPlusNormal"/>
              <w:jc w:val="both"/>
              <w:rPr>
                <w:sz w:val="22"/>
                <w:szCs w:val="22"/>
              </w:rPr>
            </w:pPr>
          </w:p>
        </w:tc>
        <w:tc>
          <w:tcPr>
            <w:tcW w:w="4676" w:type="dxa"/>
          </w:tcPr>
          <w:p>
            <w:pPr>
              <w:pStyle w:val="ConsPlusNormal"/>
              <w:jc w:val="both"/>
              <w:rPr>
                <w:b/>
                <w:bCs/>
                <w:szCs w:val="24"/>
              </w:rPr>
            </w:pPr>
            <w:r>
              <w:rPr>
                <w:b/>
                <w:bCs/>
                <w:szCs w:val="24"/>
              </w:rPr>
              <w:t>Поставщик:</w:t>
            </w:r>
          </w:p>
          <w:p>
            <w:pPr>
              <w:pStyle w:val="ConsPlusNormal"/>
              <w:jc w:val="both"/>
              <w:rPr>
                <w:b/>
                <w:bCs/>
                <w:szCs w:val="24"/>
              </w:rPr>
            </w:pPr>
          </w:p>
        </w:tc>
      </w:tr>
      <w:tr>
        <w:tc>
          <w:tcPr>
            <w:tcW w:w="5245" w:type="dxa"/>
            <w:tcBorders>
              <w:bottom w:val="single" w:sz="4" w:space="0" w:color="auto"/>
            </w:tcBorders>
            <w:vAlign w:val="center"/>
          </w:tcPr>
          <w:p>
            <w:pPr>
              <w:rPr>
                <w:b/>
              </w:rPr>
            </w:pPr>
            <w:r>
              <w:rPr>
                <w:b/>
              </w:rPr>
              <w:lastRenderedPageBreak/>
              <w:t>ЗАКАЗЧИК</w:t>
            </w:r>
          </w:p>
          <w:p>
            <w:r>
              <w:t>Художественный руководитель</w:t>
            </w:r>
            <w:r>
              <w:rPr>
                <w:b/>
              </w:rPr>
              <w:t xml:space="preserve"> </w:t>
            </w:r>
            <w:r>
              <w:t>СПБ ГБУК «Театр у Нарвских ворот»</w:t>
            </w:r>
          </w:p>
          <w:p>
            <w:pPr>
              <w:rPr>
                <w:b/>
              </w:rPr>
            </w:pPr>
          </w:p>
          <w:p>
            <w:pPr>
              <w:rPr>
                <w:bCs/>
              </w:rPr>
            </w:pPr>
            <w:r>
              <w:t xml:space="preserve">_____________________ В.М. </w:t>
            </w:r>
            <w:proofErr w:type="spellStart"/>
            <w:r>
              <w:t>Лутц</w:t>
            </w:r>
            <w:proofErr w:type="spellEnd"/>
          </w:p>
          <w:p>
            <w:pPr>
              <w:pStyle w:val="ConsPlusNormal"/>
              <w:rPr>
                <w:sz w:val="22"/>
                <w:szCs w:val="22"/>
              </w:rPr>
            </w:pPr>
            <w:r>
              <w:rPr>
                <w:b/>
                <w:lang w:eastAsia="x-none"/>
              </w:rPr>
              <w:t>(</w:t>
            </w:r>
            <w:proofErr w:type="spellStart"/>
            <w:r>
              <w:rPr>
                <w:b/>
                <w:lang w:eastAsia="x-none"/>
              </w:rPr>
              <w:t>м.п</w:t>
            </w:r>
            <w:proofErr w:type="spellEnd"/>
            <w:r>
              <w:rPr>
                <w:b/>
                <w:lang w:eastAsia="x-none"/>
              </w:rPr>
              <w:t>.)</w:t>
            </w:r>
          </w:p>
        </w:tc>
        <w:tc>
          <w:tcPr>
            <w:tcW w:w="144" w:type="dxa"/>
          </w:tcPr>
          <w:p>
            <w:pPr>
              <w:pStyle w:val="ConsPlusNormal"/>
              <w:jc w:val="both"/>
              <w:rPr>
                <w:sz w:val="22"/>
                <w:szCs w:val="22"/>
              </w:rPr>
            </w:pPr>
          </w:p>
        </w:tc>
        <w:tc>
          <w:tcPr>
            <w:tcW w:w="4676" w:type="dxa"/>
            <w:tcBorders>
              <w:bottom w:val="single" w:sz="4" w:space="0" w:color="auto"/>
            </w:tcBorders>
            <w:vAlign w:val="center"/>
          </w:tcPr>
          <w:p>
            <w:pPr>
              <w:pStyle w:val="ConsPlusNormal"/>
              <w:jc w:val="both"/>
              <w:rPr>
                <w:b/>
                <w:szCs w:val="24"/>
              </w:rPr>
            </w:pPr>
          </w:p>
          <w:p>
            <w:pPr>
              <w:pStyle w:val="ConsPlusNormal"/>
              <w:jc w:val="both"/>
              <w:rPr>
                <w:b/>
                <w:szCs w:val="24"/>
              </w:rPr>
            </w:pPr>
            <w:r>
              <w:rPr>
                <w:b/>
                <w:szCs w:val="24"/>
              </w:rPr>
              <w:t>ПОСТАВЩИК</w:t>
            </w:r>
          </w:p>
          <w:p>
            <w:pPr>
              <w:pStyle w:val="ConsPlusNormal"/>
              <w:jc w:val="both"/>
              <w:rPr>
                <w:szCs w:val="24"/>
              </w:rPr>
            </w:pPr>
          </w:p>
          <w:p>
            <w:pPr>
              <w:pStyle w:val="ConsPlusNormal"/>
              <w:jc w:val="both"/>
              <w:rPr>
                <w:szCs w:val="24"/>
              </w:rPr>
            </w:pPr>
          </w:p>
          <w:p>
            <w:pPr>
              <w:pStyle w:val="ConsPlusNormal"/>
              <w:jc w:val="both"/>
              <w:rPr>
                <w:szCs w:val="24"/>
              </w:rPr>
            </w:pPr>
          </w:p>
          <w:p>
            <w:pPr>
              <w:pStyle w:val="ConsPlusNormal"/>
              <w:jc w:val="both"/>
              <w:rPr>
                <w:b/>
                <w:szCs w:val="24"/>
              </w:rPr>
            </w:pPr>
          </w:p>
          <w:p>
            <w:pPr>
              <w:pStyle w:val="ConsPlusNormal"/>
              <w:jc w:val="both"/>
              <w:rPr>
                <w:b/>
                <w:szCs w:val="24"/>
              </w:rPr>
            </w:pPr>
            <w:r>
              <w:rPr>
                <w:b/>
                <w:szCs w:val="24"/>
              </w:rPr>
              <w:t xml:space="preserve">________________________  </w:t>
            </w:r>
          </w:p>
          <w:p>
            <w:pPr>
              <w:pStyle w:val="ConsPlusNormal"/>
              <w:jc w:val="both"/>
              <w:rPr>
                <w:b/>
                <w:szCs w:val="24"/>
              </w:rPr>
            </w:pPr>
            <w:r>
              <w:rPr>
                <w:b/>
                <w:szCs w:val="24"/>
              </w:rPr>
              <w:t>(</w:t>
            </w:r>
            <w:proofErr w:type="spellStart"/>
            <w:r>
              <w:rPr>
                <w:b/>
                <w:szCs w:val="24"/>
              </w:rPr>
              <w:t>м.п</w:t>
            </w:r>
            <w:proofErr w:type="spellEnd"/>
            <w:r>
              <w:rPr>
                <w:b/>
                <w:szCs w:val="24"/>
              </w:rPr>
              <w:t>.)</w:t>
            </w:r>
          </w:p>
          <w:p>
            <w:pPr>
              <w:pStyle w:val="ConsPlusNormal"/>
              <w:jc w:val="both"/>
              <w:rPr>
                <w:b/>
                <w:szCs w:val="24"/>
              </w:rPr>
            </w:pPr>
          </w:p>
        </w:tc>
      </w:tr>
      <w:tr>
        <w:tc>
          <w:tcPr>
            <w:tcW w:w="5245" w:type="dxa"/>
            <w:tcBorders>
              <w:top w:val="single" w:sz="4" w:space="0" w:color="auto"/>
            </w:tcBorders>
            <w:vAlign w:val="center"/>
          </w:tcPr>
          <w:p>
            <w:pPr>
              <w:pStyle w:val="ConsPlusNormal"/>
              <w:jc w:val="both"/>
              <w:rPr>
                <w:bCs/>
                <w:sz w:val="22"/>
                <w:szCs w:val="22"/>
              </w:rPr>
            </w:pPr>
          </w:p>
          <w:p>
            <w:pPr>
              <w:pStyle w:val="ConsPlusNormal"/>
              <w:rPr>
                <w:sz w:val="22"/>
                <w:szCs w:val="22"/>
              </w:rPr>
            </w:pPr>
            <w:r>
              <w:rPr>
                <w:bCs/>
                <w:sz w:val="20"/>
              </w:rPr>
              <w:t xml:space="preserve">Контракт подписан усиленными электронными подписями лиц, имеющих право действовать </w:t>
            </w:r>
            <w:r>
              <w:rPr>
                <w:bCs/>
                <w:sz w:val="20"/>
              </w:rPr>
              <w:br/>
              <w:t>от имени Заказчика и Поставщика</w:t>
            </w:r>
            <w:r>
              <w:rPr>
                <w:sz w:val="20"/>
              </w:rPr>
              <w:t xml:space="preserve"> </w:t>
            </w:r>
          </w:p>
        </w:tc>
        <w:tc>
          <w:tcPr>
            <w:tcW w:w="144" w:type="dxa"/>
          </w:tcPr>
          <w:p>
            <w:pPr>
              <w:pStyle w:val="ConsPlusNormal"/>
              <w:jc w:val="both"/>
              <w:rPr>
                <w:sz w:val="22"/>
                <w:szCs w:val="22"/>
              </w:rPr>
            </w:pPr>
          </w:p>
        </w:tc>
        <w:tc>
          <w:tcPr>
            <w:tcW w:w="4676" w:type="dxa"/>
            <w:tcBorders>
              <w:top w:val="single" w:sz="4" w:space="0" w:color="auto"/>
            </w:tcBorders>
            <w:vAlign w:val="center"/>
          </w:tcPr>
          <w:p>
            <w:pPr>
              <w:pStyle w:val="ConsPlusNormal"/>
              <w:jc w:val="both"/>
              <w:rPr>
                <w:sz w:val="22"/>
                <w:szCs w:val="22"/>
              </w:rPr>
            </w:pPr>
          </w:p>
        </w:tc>
      </w:tr>
    </w:tbl>
    <w:p>
      <w:pPr>
        <w:pStyle w:val="ConsPlusNormal"/>
        <w:ind w:left="5954"/>
        <w:jc w:val="both"/>
        <w:outlineLvl w:val="1"/>
      </w:pPr>
    </w:p>
    <w:p>
      <w:pPr>
        <w:rPr>
          <w:szCs w:val="20"/>
        </w:rPr>
      </w:pPr>
      <w:r>
        <w:br w:type="page"/>
      </w:r>
    </w:p>
    <w:p>
      <w:pPr>
        <w:pStyle w:val="ConsPlusNormal"/>
        <w:ind w:left="5954"/>
        <w:outlineLvl w:val="1"/>
      </w:pPr>
      <w:r>
        <w:lastRenderedPageBreak/>
        <w:t>Приложение № 1 к Контракту № _____</w:t>
      </w:r>
    </w:p>
    <w:p>
      <w:pPr>
        <w:pStyle w:val="ConsPlusNormal"/>
        <w:ind w:left="5954"/>
      </w:pPr>
      <w:proofErr w:type="gramStart"/>
      <w:r>
        <w:t>от</w:t>
      </w:r>
      <w:proofErr w:type="gramEnd"/>
      <w:r>
        <w:t xml:space="preserve"> «___» ________ 2026 г. </w:t>
      </w:r>
    </w:p>
    <w:p>
      <w:pPr>
        <w:pStyle w:val="ConsPlusNormal"/>
        <w:jc w:val="both"/>
        <w:outlineLvl w:val="1"/>
      </w:pPr>
    </w:p>
    <w:p>
      <w:pPr>
        <w:pStyle w:val="ConsPlusNormal"/>
        <w:jc w:val="center"/>
        <w:rPr>
          <w:b/>
          <w:szCs w:val="24"/>
        </w:rPr>
      </w:pPr>
      <w:bookmarkStart w:id="17" w:name="Par328"/>
      <w:bookmarkEnd w:id="17"/>
      <w:r>
        <w:rPr>
          <w:b/>
          <w:szCs w:val="24"/>
        </w:rPr>
        <w:t>Спецификация</w:t>
      </w:r>
    </w:p>
    <w:p>
      <w:pPr>
        <w:pStyle w:val="ConsPlusNormal"/>
        <w:ind w:firstLine="709"/>
        <w:jc w:val="both"/>
        <w:rPr>
          <w:szCs w:val="24"/>
        </w:rPr>
      </w:pPr>
    </w:p>
    <w:tbl>
      <w:tblPr>
        <w:tblW w:w="10485" w:type="dxa"/>
        <w:tblLayout w:type="fixed"/>
        <w:tblCellMar>
          <w:top w:w="102" w:type="dxa"/>
          <w:left w:w="62" w:type="dxa"/>
          <w:bottom w:w="102" w:type="dxa"/>
          <w:right w:w="62" w:type="dxa"/>
        </w:tblCellMar>
        <w:tblLook w:val="0000" w:firstRow="0" w:lastRow="0" w:firstColumn="0" w:lastColumn="0" w:noHBand="0" w:noVBand="0"/>
      </w:tblPr>
      <w:tblGrid>
        <w:gridCol w:w="662"/>
        <w:gridCol w:w="598"/>
        <w:gridCol w:w="1795"/>
        <w:gridCol w:w="1476"/>
        <w:gridCol w:w="1260"/>
        <w:gridCol w:w="1440"/>
        <w:gridCol w:w="1695"/>
        <w:gridCol w:w="1559"/>
      </w:tblGrid>
      <w:tr>
        <w:tc>
          <w:tcPr>
            <w:tcW w:w="662" w:type="dxa"/>
            <w:tcBorders>
              <w:top w:val="single" w:sz="4" w:space="0" w:color="auto"/>
              <w:left w:val="single" w:sz="4" w:space="0" w:color="auto"/>
              <w:bottom w:val="single" w:sz="4" w:space="0" w:color="auto"/>
              <w:right w:val="single" w:sz="4" w:space="0" w:color="auto"/>
            </w:tcBorders>
            <w:vAlign w:val="center"/>
          </w:tcPr>
          <w:p>
            <w:pPr>
              <w:pStyle w:val="ConsPlusNormal"/>
              <w:jc w:val="center"/>
              <w:rPr>
                <w:b/>
                <w:i/>
                <w:szCs w:val="24"/>
              </w:rPr>
            </w:pPr>
            <w:r>
              <w:rPr>
                <w:b/>
                <w:i/>
                <w:szCs w:val="24"/>
              </w:rPr>
              <w:t>№ п/п</w:t>
            </w:r>
          </w:p>
        </w:tc>
        <w:tc>
          <w:tcPr>
            <w:tcW w:w="2393" w:type="dxa"/>
            <w:gridSpan w:val="2"/>
            <w:tcBorders>
              <w:top w:val="single" w:sz="4" w:space="0" w:color="auto"/>
              <w:left w:val="single" w:sz="4" w:space="0" w:color="auto"/>
              <w:bottom w:val="single" w:sz="4" w:space="0" w:color="auto"/>
              <w:right w:val="single" w:sz="4" w:space="0" w:color="auto"/>
            </w:tcBorders>
            <w:vAlign w:val="center"/>
          </w:tcPr>
          <w:p>
            <w:pPr>
              <w:pStyle w:val="ConsPlusNormal"/>
              <w:jc w:val="center"/>
              <w:rPr>
                <w:b/>
                <w:i/>
                <w:szCs w:val="24"/>
              </w:rPr>
            </w:pPr>
            <w:r>
              <w:rPr>
                <w:b/>
                <w:i/>
                <w:szCs w:val="24"/>
              </w:rPr>
              <w:t>Наименование Товара</w:t>
            </w:r>
          </w:p>
        </w:tc>
        <w:tc>
          <w:tcPr>
            <w:tcW w:w="1476" w:type="dxa"/>
            <w:tcBorders>
              <w:top w:val="single" w:sz="4" w:space="0" w:color="auto"/>
              <w:left w:val="single" w:sz="4" w:space="0" w:color="auto"/>
              <w:bottom w:val="single" w:sz="4" w:space="0" w:color="auto"/>
              <w:right w:val="single" w:sz="4" w:space="0" w:color="auto"/>
            </w:tcBorders>
          </w:tcPr>
          <w:p>
            <w:pPr>
              <w:pStyle w:val="ConsPlusNormal"/>
              <w:jc w:val="center"/>
              <w:rPr>
                <w:b/>
                <w:i/>
                <w:szCs w:val="24"/>
              </w:rPr>
            </w:pPr>
            <w:r>
              <w:rPr>
                <w:b/>
                <w:i/>
                <w:szCs w:val="24"/>
              </w:rPr>
              <w:t>Страна происхождения</w:t>
            </w:r>
          </w:p>
        </w:tc>
        <w:tc>
          <w:tcPr>
            <w:tcW w:w="1260" w:type="dxa"/>
            <w:tcBorders>
              <w:top w:val="single" w:sz="4" w:space="0" w:color="auto"/>
              <w:left w:val="single" w:sz="4" w:space="0" w:color="auto"/>
              <w:bottom w:val="single" w:sz="4" w:space="0" w:color="auto"/>
              <w:right w:val="single" w:sz="4" w:space="0" w:color="auto"/>
            </w:tcBorders>
            <w:vAlign w:val="center"/>
          </w:tcPr>
          <w:p>
            <w:pPr>
              <w:pStyle w:val="ConsPlusNormal"/>
              <w:jc w:val="center"/>
              <w:rPr>
                <w:b/>
                <w:i/>
                <w:szCs w:val="24"/>
              </w:rPr>
            </w:pPr>
            <w:r>
              <w:rPr>
                <w:b/>
                <w:i/>
                <w:szCs w:val="24"/>
              </w:rPr>
              <w:t>Единицы измерения</w:t>
            </w:r>
          </w:p>
        </w:tc>
        <w:tc>
          <w:tcPr>
            <w:tcW w:w="1440" w:type="dxa"/>
            <w:tcBorders>
              <w:top w:val="single" w:sz="4" w:space="0" w:color="auto"/>
              <w:left w:val="single" w:sz="4" w:space="0" w:color="auto"/>
              <w:bottom w:val="single" w:sz="4" w:space="0" w:color="auto"/>
              <w:right w:val="single" w:sz="4" w:space="0" w:color="auto"/>
            </w:tcBorders>
            <w:vAlign w:val="center"/>
          </w:tcPr>
          <w:p>
            <w:pPr>
              <w:pStyle w:val="ConsPlusNormal"/>
              <w:jc w:val="center"/>
              <w:rPr>
                <w:b/>
                <w:i/>
                <w:szCs w:val="24"/>
              </w:rPr>
            </w:pPr>
            <w:r>
              <w:rPr>
                <w:b/>
                <w:i/>
                <w:szCs w:val="24"/>
              </w:rPr>
              <w:t>Количество в единицах измерения</w:t>
            </w:r>
          </w:p>
        </w:tc>
        <w:tc>
          <w:tcPr>
            <w:tcW w:w="1695" w:type="dxa"/>
            <w:tcBorders>
              <w:top w:val="single" w:sz="4" w:space="0" w:color="auto"/>
              <w:left w:val="single" w:sz="4" w:space="0" w:color="auto"/>
              <w:bottom w:val="single" w:sz="4" w:space="0" w:color="auto"/>
              <w:right w:val="single" w:sz="4" w:space="0" w:color="auto"/>
            </w:tcBorders>
            <w:vAlign w:val="center"/>
          </w:tcPr>
          <w:p>
            <w:pPr>
              <w:pStyle w:val="ConsPlusNormal"/>
              <w:jc w:val="center"/>
              <w:rPr>
                <w:b/>
                <w:i/>
                <w:szCs w:val="24"/>
              </w:rPr>
            </w:pPr>
            <w:r>
              <w:rPr>
                <w:b/>
                <w:i/>
                <w:szCs w:val="24"/>
              </w:rPr>
              <w:t>Цена за единицу измерения, руб.</w:t>
            </w:r>
          </w:p>
          <w:p>
            <w:pPr>
              <w:pStyle w:val="ConsPlusNormal"/>
              <w:jc w:val="center"/>
              <w:rPr>
                <w:b/>
                <w:i/>
                <w:szCs w:val="24"/>
              </w:rPr>
            </w:pPr>
            <w:r>
              <w:rPr>
                <w:b/>
                <w:i/>
                <w:szCs w:val="24"/>
              </w:rPr>
              <w:t>(</w:t>
            </w:r>
            <w:proofErr w:type="gramStart"/>
            <w:r>
              <w:rPr>
                <w:b/>
                <w:i/>
                <w:szCs w:val="24"/>
              </w:rPr>
              <w:t>без</w:t>
            </w:r>
            <w:proofErr w:type="gramEnd"/>
            <w:r>
              <w:rPr>
                <w:b/>
                <w:i/>
                <w:szCs w:val="24"/>
              </w:rPr>
              <w:t xml:space="preserve"> НДС)</w:t>
            </w:r>
          </w:p>
        </w:tc>
        <w:tc>
          <w:tcPr>
            <w:tcW w:w="1559" w:type="dxa"/>
            <w:tcBorders>
              <w:top w:val="single" w:sz="4" w:space="0" w:color="auto"/>
              <w:left w:val="single" w:sz="4" w:space="0" w:color="auto"/>
              <w:bottom w:val="single" w:sz="4" w:space="0" w:color="auto"/>
              <w:right w:val="single" w:sz="4" w:space="0" w:color="auto"/>
            </w:tcBorders>
            <w:vAlign w:val="center"/>
          </w:tcPr>
          <w:p>
            <w:pPr>
              <w:pStyle w:val="ConsPlusNormal"/>
              <w:jc w:val="center"/>
              <w:rPr>
                <w:b/>
                <w:i/>
                <w:szCs w:val="24"/>
              </w:rPr>
            </w:pPr>
            <w:r>
              <w:rPr>
                <w:b/>
                <w:i/>
                <w:szCs w:val="24"/>
              </w:rPr>
              <w:t>Стоимость, руб.</w:t>
            </w:r>
          </w:p>
          <w:p>
            <w:pPr>
              <w:pStyle w:val="ConsPlusNormal"/>
              <w:jc w:val="center"/>
              <w:rPr>
                <w:b/>
                <w:i/>
                <w:szCs w:val="24"/>
              </w:rPr>
            </w:pPr>
            <w:r>
              <w:rPr>
                <w:b/>
                <w:i/>
                <w:szCs w:val="24"/>
              </w:rPr>
              <w:t>(</w:t>
            </w:r>
            <w:proofErr w:type="gramStart"/>
            <w:r>
              <w:rPr>
                <w:b/>
                <w:i/>
                <w:szCs w:val="24"/>
              </w:rPr>
              <w:t>без</w:t>
            </w:r>
            <w:proofErr w:type="gramEnd"/>
            <w:r>
              <w:rPr>
                <w:b/>
                <w:i/>
                <w:szCs w:val="24"/>
              </w:rPr>
              <w:t xml:space="preserve"> НДС)</w:t>
            </w:r>
          </w:p>
        </w:tc>
      </w:tr>
      <w:tr>
        <w:trPr>
          <w:trHeight w:val="20"/>
        </w:trPr>
        <w:tc>
          <w:tcPr>
            <w:tcW w:w="662" w:type="dxa"/>
            <w:tcBorders>
              <w:top w:val="single" w:sz="4" w:space="0" w:color="auto"/>
              <w:left w:val="single" w:sz="4" w:space="0" w:color="auto"/>
              <w:bottom w:val="single" w:sz="4" w:space="0" w:color="auto"/>
              <w:right w:val="single" w:sz="4" w:space="0" w:color="auto"/>
            </w:tcBorders>
          </w:tcPr>
          <w:p>
            <w:pPr>
              <w:pStyle w:val="ConsPlusNormal"/>
              <w:jc w:val="center"/>
              <w:rPr>
                <w:b/>
                <w:i/>
                <w:szCs w:val="24"/>
              </w:rPr>
            </w:pPr>
            <w:r>
              <w:rPr>
                <w:b/>
                <w:i/>
                <w:szCs w:val="24"/>
              </w:rPr>
              <w:t>1</w:t>
            </w:r>
          </w:p>
        </w:tc>
        <w:tc>
          <w:tcPr>
            <w:tcW w:w="2393" w:type="dxa"/>
            <w:gridSpan w:val="2"/>
            <w:tcBorders>
              <w:top w:val="single" w:sz="4" w:space="0" w:color="auto"/>
              <w:left w:val="single" w:sz="4" w:space="0" w:color="auto"/>
              <w:bottom w:val="single" w:sz="4" w:space="0" w:color="auto"/>
              <w:right w:val="single" w:sz="4" w:space="0" w:color="auto"/>
            </w:tcBorders>
          </w:tcPr>
          <w:p>
            <w:pPr>
              <w:pStyle w:val="ConsPlusNormal"/>
              <w:jc w:val="center"/>
              <w:rPr>
                <w:b/>
                <w:i/>
                <w:szCs w:val="24"/>
              </w:rPr>
            </w:pPr>
            <w:r>
              <w:rPr>
                <w:b/>
                <w:i/>
                <w:szCs w:val="24"/>
              </w:rPr>
              <w:t>2</w:t>
            </w:r>
          </w:p>
        </w:tc>
        <w:tc>
          <w:tcPr>
            <w:tcW w:w="1476" w:type="dxa"/>
            <w:tcBorders>
              <w:top w:val="single" w:sz="4" w:space="0" w:color="auto"/>
              <w:left w:val="single" w:sz="4" w:space="0" w:color="auto"/>
              <w:bottom w:val="single" w:sz="4" w:space="0" w:color="auto"/>
              <w:right w:val="single" w:sz="4" w:space="0" w:color="auto"/>
            </w:tcBorders>
          </w:tcPr>
          <w:p>
            <w:pPr>
              <w:pStyle w:val="ConsPlusNormal"/>
              <w:jc w:val="center"/>
              <w:rPr>
                <w:b/>
                <w:i/>
                <w:szCs w:val="24"/>
              </w:rPr>
            </w:pPr>
            <w:r>
              <w:rPr>
                <w:b/>
                <w:i/>
                <w:szCs w:val="24"/>
              </w:rPr>
              <w:t>3</w:t>
            </w:r>
          </w:p>
        </w:tc>
        <w:tc>
          <w:tcPr>
            <w:tcW w:w="1260" w:type="dxa"/>
            <w:tcBorders>
              <w:top w:val="single" w:sz="4" w:space="0" w:color="auto"/>
              <w:left w:val="single" w:sz="4" w:space="0" w:color="auto"/>
              <w:bottom w:val="single" w:sz="4" w:space="0" w:color="auto"/>
              <w:right w:val="single" w:sz="4" w:space="0" w:color="auto"/>
            </w:tcBorders>
          </w:tcPr>
          <w:p>
            <w:pPr>
              <w:pStyle w:val="ConsPlusNormal"/>
              <w:jc w:val="center"/>
              <w:rPr>
                <w:b/>
                <w:i/>
                <w:szCs w:val="24"/>
              </w:rPr>
            </w:pPr>
            <w:r>
              <w:rPr>
                <w:b/>
                <w:i/>
                <w:szCs w:val="24"/>
              </w:rPr>
              <w:t>4</w:t>
            </w:r>
          </w:p>
        </w:tc>
        <w:tc>
          <w:tcPr>
            <w:tcW w:w="1440" w:type="dxa"/>
            <w:tcBorders>
              <w:top w:val="single" w:sz="4" w:space="0" w:color="auto"/>
              <w:left w:val="single" w:sz="4" w:space="0" w:color="auto"/>
              <w:bottom w:val="single" w:sz="4" w:space="0" w:color="auto"/>
              <w:right w:val="single" w:sz="4" w:space="0" w:color="auto"/>
            </w:tcBorders>
          </w:tcPr>
          <w:p>
            <w:pPr>
              <w:pStyle w:val="ConsPlusNormal"/>
              <w:jc w:val="center"/>
              <w:rPr>
                <w:b/>
                <w:i/>
                <w:szCs w:val="24"/>
              </w:rPr>
            </w:pPr>
            <w:bookmarkStart w:id="18" w:name="Par345"/>
            <w:bookmarkEnd w:id="18"/>
            <w:r>
              <w:rPr>
                <w:b/>
                <w:i/>
                <w:szCs w:val="24"/>
              </w:rPr>
              <w:t>5</w:t>
            </w:r>
          </w:p>
        </w:tc>
        <w:tc>
          <w:tcPr>
            <w:tcW w:w="1695" w:type="dxa"/>
            <w:tcBorders>
              <w:top w:val="single" w:sz="4" w:space="0" w:color="auto"/>
              <w:left w:val="single" w:sz="4" w:space="0" w:color="auto"/>
              <w:bottom w:val="single" w:sz="4" w:space="0" w:color="auto"/>
              <w:right w:val="single" w:sz="4" w:space="0" w:color="auto"/>
            </w:tcBorders>
          </w:tcPr>
          <w:p>
            <w:pPr>
              <w:pStyle w:val="ConsPlusNormal"/>
              <w:jc w:val="center"/>
              <w:rPr>
                <w:b/>
                <w:i/>
                <w:szCs w:val="24"/>
              </w:rPr>
            </w:pPr>
            <w:bookmarkStart w:id="19" w:name="Par346"/>
            <w:bookmarkEnd w:id="19"/>
            <w:r>
              <w:rPr>
                <w:b/>
                <w:i/>
                <w:szCs w:val="24"/>
              </w:rPr>
              <w:t>6</w:t>
            </w:r>
          </w:p>
        </w:tc>
        <w:tc>
          <w:tcPr>
            <w:tcW w:w="1559" w:type="dxa"/>
            <w:tcBorders>
              <w:top w:val="single" w:sz="4" w:space="0" w:color="auto"/>
              <w:left w:val="single" w:sz="4" w:space="0" w:color="auto"/>
              <w:bottom w:val="single" w:sz="4" w:space="0" w:color="auto"/>
              <w:right w:val="single" w:sz="4" w:space="0" w:color="auto"/>
            </w:tcBorders>
          </w:tcPr>
          <w:p>
            <w:pPr>
              <w:pStyle w:val="ConsPlusNormal"/>
              <w:jc w:val="center"/>
              <w:rPr>
                <w:b/>
                <w:i/>
                <w:szCs w:val="24"/>
              </w:rPr>
            </w:pPr>
            <w:bookmarkStart w:id="20" w:name="Par348"/>
            <w:bookmarkEnd w:id="20"/>
            <w:r>
              <w:rPr>
                <w:b/>
                <w:i/>
                <w:szCs w:val="24"/>
              </w:rPr>
              <w:t>7</w:t>
            </w:r>
          </w:p>
        </w:tc>
        <w:bookmarkStart w:id="21" w:name="Par349"/>
        <w:bookmarkEnd w:id="21"/>
      </w:tr>
      <w:tr>
        <w:tc>
          <w:tcPr>
            <w:tcW w:w="662" w:type="dxa"/>
            <w:tcBorders>
              <w:top w:val="single" w:sz="4" w:space="0" w:color="auto"/>
              <w:left w:val="single" w:sz="4" w:space="0" w:color="auto"/>
              <w:bottom w:val="single" w:sz="4" w:space="0" w:color="auto"/>
              <w:right w:val="single" w:sz="4" w:space="0" w:color="auto"/>
            </w:tcBorders>
            <w:vAlign w:val="center"/>
          </w:tcPr>
          <w:p>
            <w:pPr>
              <w:pStyle w:val="ConsPlusNormal"/>
              <w:jc w:val="center"/>
              <w:rPr>
                <w:szCs w:val="24"/>
              </w:rPr>
            </w:pPr>
            <w:r>
              <w:rPr>
                <w:szCs w:val="24"/>
              </w:rPr>
              <w:t>1</w:t>
            </w:r>
          </w:p>
        </w:tc>
        <w:tc>
          <w:tcPr>
            <w:tcW w:w="2393" w:type="dxa"/>
            <w:gridSpan w:val="2"/>
            <w:tcBorders>
              <w:top w:val="single" w:sz="4" w:space="0" w:color="auto"/>
              <w:left w:val="single" w:sz="4" w:space="0" w:color="auto"/>
              <w:bottom w:val="single" w:sz="4" w:space="0" w:color="auto"/>
              <w:right w:val="single" w:sz="4" w:space="0" w:color="auto"/>
            </w:tcBorders>
            <w:vAlign w:val="center"/>
          </w:tcPr>
          <w:p>
            <w:pPr>
              <w:pStyle w:val="ConsPlusNormal"/>
              <w:rPr>
                <w:szCs w:val="24"/>
              </w:rPr>
            </w:pPr>
            <w:r>
              <w:rPr>
                <w:szCs w:val="24"/>
              </w:rPr>
              <w:t>Наушники</w:t>
            </w:r>
          </w:p>
        </w:tc>
        <w:tc>
          <w:tcPr>
            <w:tcW w:w="1476" w:type="dxa"/>
            <w:tcBorders>
              <w:top w:val="single" w:sz="4" w:space="0" w:color="auto"/>
              <w:left w:val="single" w:sz="4" w:space="0" w:color="auto"/>
              <w:bottom w:val="single" w:sz="4" w:space="0" w:color="auto"/>
              <w:right w:val="single" w:sz="4" w:space="0" w:color="auto"/>
            </w:tcBorders>
          </w:tcPr>
          <w:p>
            <w:pPr>
              <w:pStyle w:val="ConsPlusNormal"/>
              <w:jc w:val="center"/>
              <w:rPr>
                <w:szCs w:val="24"/>
              </w:rPr>
            </w:pPr>
          </w:p>
        </w:tc>
        <w:tc>
          <w:tcPr>
            <w:tcW w:w="1260" w:type="dxa"/>
            <w:tcBorders>
              <w:top w:val="single" w:sz="4" w:space="0" w:color="auto"/>
              <w:left w:val="single" w:sz="4" w:space="0" w:color="auto"/>
              <w:bottom w:val="single" w:sz="4" w:space="0" w:color="auto"/>
              <w:right w:val="single" w:sz="4" w:space="0" w:color="auto"/>
            </w:tcBorders>
            <w:vAlign w:val="center"/>
          </w:tcPr>
          <w:p>
            <w:pPr>
              <w:pStyle w:val="ConsPlusNormal"/>
              <w:jc w:val="center"/>
              <w:rPr>
                <w:szCs w:val="24"/>
              </w:rPr>
            </w:pPr>
            <w:proofErr w:type="spellStart"/>
            <w:proofErr w:type="gramStart"/>
            <w:r>
              <w:rPr>
                <w:szCs w:val="24"/>
              </w:rPr>
              <w:t>шт</w:t>
            </w:r>
            <w:proofErr w:type="spellEnd"/>
            <w:proofErr w:type="gramEnd"/>
          </w:p>
        </w:tc>
        <w:tc>
          <w:tcPr>
            <w:tcW w:w="1440" w:type="dxa"/>
            <w:tcBorders>
              <w:top w:val="single" w:sz="4" w:space="0" w:color="auto"/>
              <w:left w:val="single" w:sz="4" w:space="0" w:color="auto"/>
              <w:bottom w:val="single" w:sz="4" w:space="0" w:color="auto"/>
              <w:right w:val="single" w:sz="4" w:space="0" w:color="auto"/>
            </w:tcBorders>
            <w:vAlign w:val="center"/>
          </w:tcPr>
          <w:p>
            <w:pPr>
              <w:pStyle w:val="ConsPlusNormal"/>
              <w:jc w:val="center"/>
              <w:rPr>
                <w:szCs w:val="24"/>
              </w:rPr>
            </w:pPr>
            <w:r>
              <w:rPr>
                <w:szCs w:val="24"/>
              </w:rPr>
              <w:t>2</w:t>
            </w:r>
          </w:p>
        </w:tc>
        <w:tc>
          <w:tcPr>
            <w:tcW w:w="1695" w:type="dxa"/>
            <w:tcBorders>
              <w:top w:val="single" w:sz="4" w:space="0" w:color="auto"/>
              <w:left w:val="single" w:sz="4" w:space="0" w:color="auto"/>
              <w:bottom w:val="single" w:sz="4" w:space="0" w:color="auto"/>
              <w:right w:val="single" w:sz="4" w:space="0" w:color="auto"/>
            </w:tcBorders>
            <w:vAlign w:val="center"/>
          </w:tcPr>
          <w:p>
            <w:pPr>
              <w:pStyle w:val="ConsPlusNormal"/>
              <w:jc w:val="center"/>
              <w:rPr>
                <w:szCs w:val="24"/>
              </w:rPr>
            </w:pPr>
          </w:p>
        </w:tc>
        <w:tc>
          <w:tcPr>
            <w:tcW w:w="1559" w:type="dxa"/>
            <w:tcBorders>
              <w:top w:val="single" w:sz="4" w:space="0" w:color="auto"/>
              <w:left w:val="single" w:sz="4" w:space="0" w:color="auto"/>
              <w:bottom w:val="single" w:sz="4" w:space="0" w:color="auto"/>
              <w:right w:val="single" w:sz="4" w:space="0" w:color="auto"/>
            </w:tcBorders>
            <w:vAlign w:val="center"/>
          </w:tcPr>
          <w:p>
            <w:pPr>
              <w:pStyle w:val="ConsPlusNormal"/>
              <w:jc w:val="center"/>
              <w:rPr>
                <w:szCs w:val="24"/>
              </w:rPr>
            </w:pPr>
          </w:p>
        </w:tc>
      </w:tr>
      <w:tr>
        <w:tc>
          <w:tcPr>
            <w:tcW w:w="1260" w:type="dxa"/>
            <w:gridSpan w:val="2"/>
            <w:tcBorders>
              <w:top w:val="single" w:sz="4" w:space="0" w:color="auto"/>
              <w:left w:val="single" w:sz="4" w:space="0" w:color="auto"/>
              <w:bottom w:val="single" w:sz="4" w:space="0" w:color="auto"/>
              <w:right w:val="single" w:sz="4" w:space="0" w:color="auto"/>
            </w:tcBorders>
          </w:tcPr>
          <w:p>
            <w:pPr>
              <w:pStyle w:val="ConsPlusNormal"/>
              <w:jc w:val="right"/>
              <w:rPr>
                <w:b/>
                <w:szCs w:val="24"/>
              </w:rPr>
            </w:pPr>
          </w:p>
        </w:tc>
        <w:tc>
          <w:tcPr>
            <w:tcW w:w="7666" w:type="dxa"/>
            <w:gridSpan w:val="5"/>
            <w:tcBorders>
              <w:top w:val="single" w:sz="4" w:space="0" w:color="auto"/>
              <w:left w:val="single" w:sz="4" w:space="0" w:color="auto"/>
              <w:bottom w:val="single" w:sz="4" w:space="0" w:color="auto"/>
              <w:right w:val="single" w:sz="4" w:space="0" w:color="auto"/>
            </w:tcBorders>
            <w:vAlign w:val="center"/>
          </w:tcPr>
          <w:p>
            <w:pPr>
              <w:pStyle w:val="ConsPlusNormal"/>
              <w:jc w:val="right"/>
              <w:rPr>
                <w:b/>
                <w:szCs w:val="24"/>
              </w:rPr>
            </w:pPr>
            <w:r>
              <w:rPr>
                <w:b/>
                <w:szCs w:val="24"/>
              </w:rPr>
              <w:t>ИТОГО:</w:t>
            </w:r>
          </w:p>
        </w:tc>
        <w:tc>
          <w:tcPr>
            <w:tcW w:w="1559" w:type="dxa"/>
            <w:tcBorders>
              <w:top w:val="single" w:sz="4" w:space="0" w:color="auto"/>
              <w:left w:val="single" w:sz="4" w:space="0" w:color="auto"/>
              <w:bottom w:val="single" w:sz="4" w:space="0" w:color="auto"/>
              <w:right w:val="single" w:sz="4" w:space="0" w:color="auto"/>
            </w:tcBorders>
          </w:tcPr>
          <w:p>
            <w:pPr>
              <w:pStyle w:val="ConsPlusNormal"/>
              <w:jc w:val="both"/>
              <w:rPr>
                <w:b/>
                <w:szCs w:val="24"/>
              </w:rPr>
            </w:pPr>
          </w:p>
        </w:tc>
      </w:tr>
    </w:tbl>
    <w:p>
      <w:pPr>
        <w:pStyle w:val="ConsPlusNormal"/>
        <w:ind w:firstLine="709"/>
        <w:jc w:val="both"/>
        <w:rPr>
          <w:szCs w:val="24"/>
        </w:rPr>
      </w:pPr>
    </w:p>
    <w:p>
      <w:pPr>
        <w:pStyle w:val="ConsPlusNormal"/>
        <w:ind w:firstLine="709"/>
        <w:jc w:val="both"/>
        <w:rPr>
          <w:szCs w:val="24"/>
        </w:rPr>
      </w:pPr>
      <w:r>
        <w:rPr>
          <w:b/>
        </w:rPr>
        <w:t xml:space="preserve">ИТОГО: </w:t>
      </w:r>
    </w:p>
    <w:p>
      <w:pPr>
        <w:pStyle w:val="ConsPlusNormal"/>
        <w:ind w:firstLine="709"/>
        <w:jc w:val="both"/>
        <w:rPr>
          <w:szCs w:val="24"/>
        </w:rPr>
      </w:pPr>
    </w:p>
    <w:p>
      <w:pPr>
        <w:pStyle w:val="ConsPlusNormal"/>
        <w:ind w:firstLine="709"/>
        <w:jc w:val="both"/>
        <w:rPr>
          <w:szCs w:val="24"/>
        </w:rPr>
      </w:pPr>
    </w:p>
    <w:p>
      <w:pPr>
        <w:pStyle w:val="ConsPlusNormal"/>
        <w:ind w:firstLine="709"/>
        <w:jc w:val="both"/>
        <w:rPr>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31"/>
        <w:gridCol w:w="1402"/>
        <w:gridCol w:w="3456"/>
      </w:tblGrid>
      <w:tr>
        <w:tc>
          <w:tcPr>
            <w:tcW w:w="3931" w:type="dxa"/>
            <w:vAlign w:val="bottom"/>
          </w:tcPr>
          <w:p>
            <w:pPr>
              <w:pStyle w:val="ConsPlusNormal"/>
              <w:jc w:val="both"/>
              <w:rPr>
                <w:sz w:val="22"/>
                <w:szCs w:val="22"/>
              </w:rPr>
            </w:pPr>
            <w:r>
              <w:rPr>
                <w:sz w:val="22"/>
                <w:szCs w:val="22"/>
              </w:rPr>
              <w:t>Художественный руководитель СПБ ГБУК «Театр у Нарвских ворот»</w:t>
            </w:r>
          </w:p>
          <w:p>
            <w:pPr>
              <w:pStyle w:val="ConsPlusNormal"/>
              <w:jc w:val="both"/>
              <w:rPr>
                <w:sz w:val="22"/>
                <w:szCs w:val="22"/>
              </w:rPr>
            </w:pPr>
          </w:p>
          <w:p>
            <w:pPr>
              <w:pStyle w:val="ConsPlusNormal"/>
              <w:jc w:val="both"/>
              <w:rPr>
                <w:sz w:val="22"/>
                <w:szCs w:val="22"/>
              </w:rPr>
            </w:pPr>
            <w:r>
              <w:rPr>
                <w:sz w:val="22"/>
                <w:szCs w:val="22"/>
              </w:rPr>
              <w:t xml:space="preserve">_____________________ В.М. </w:t>
            </w:r>
            <w:proofErr w:type="spellStart"/>
            <w:r>
              <w:rPr>
                <w:sz w:val="22"/>
                <w:szCs w:val="22"/>
              </w:rPr>
              <w:t>Лутц</w:t>
            </w:r>
            <w:proofErr w:type="spellEnd"/>
          </w:p>
          <w:p>
            <w:pPr>
              <w:pStyle w:val="ConsPlusNormal"/>
              <w:jc w:val="both"/>
              <w:rPr>
                <w:sz w:val="22"/>
                <w:szCs w:val="22"/>
              </w:rPr>
            </w:pPr>
            <w:r>
              <w:rPr>
                <w:sz w:val="22"/>
                <w:szCs w:val="22"/>
              </w:rPr>
              <w:t>(</w:t>
            </w:r>
            <w:proofErr w:type="spellStart"/>
            <w:r>
              <w:rPr>
                <w:sz w:val="22"/>
                <w:szCs w:val="22"/>
              </w:rPr>
              <w:t>м.п</w:t>
            </w:r>
            <w:proofErr w:type="spellEnd"/>
            <w:r>
              <w:rPr>
                <w:sz w:val="22"/>
                <w:szCs w:val="22"/>
              </w:rPr>
              <w:t>.)</w:t>
            </w:r>
          </w:p>
        </w:tc>
        <w:tc>
          <w:tcPr>
            <w:tcW w:w="1402" w:type="dxa"/>
          </w:tcPr>
          <w:p>
            <w:pPr>
              <w:pStyle w:val="ConsPlusNormal"/>
              <w:jc w:val="both"/>
              <w:rPr>
                <w:sz w:val="22"/>
                <w:szCs w:val="22"/>
              </w:rPr>
            </w:pPr>
          </w:p>
        </w:tc>
        <w:tc>
          <w:tcPr>
            <w:tcW w:w="3456" w:type="dxa"/>
            <w:vAlign w:val="bottom"/>
          </w:tcPr>
          <w:p>
            <w:pPr>
              <w:widowControl w:val="0"/>
              <w:autoSpaceDE w:val="0"/>
              <w:autoSpaceDN w:val="0"/>
              <w:jc w:val="both"/>
              <w:rPr>
                <w:sz w:val="22"/>
                <w:szCs w:val="22"/>
              </w:rPr>
            </w:pPr>
          </w:p>
          <w:p>
            <w:pPr>
              <w:widowControl w:val="0"/>
              <w:autoSpaceDE w:val="0"/>
              <w:autoSpaceDN w:val="0"/>
              <w:jc w:val="both"/>
              <w:rPr>
                <w:sz w:val="22"/>
                <w:szCs w:val="22"/>
              </w:rPr>
            </w:pPr>
          </w:p>
          <w:p>
            <w:pPr>
              <w:widowControl w:val="0"/>
              <w:autoSpaceDE w:val="0"/>
              <w:autoSpaceDN w:val="0"/>
              <w:jc w:val="both"/>
              <w:rPr>
                <w:sz w:val="22"/>
                <w:szCs w:val="22"/>
              </w:rPr>
            </w:pPr>
            <w:r>
              <w:rPr>
                <w:sz w:val="22"/>
                <w:szCs w:val="22"/>
              </w:rPr>
              <w:t xml:space="preserve">_________________  </w:t>
            </w:r>
          </w:p>
          <w:p>
            <w:pPr>
              <w:pStyle w:val="ConsPlusNormal"/>
              <w:jc w:val="both"/>
              <w:rPr>
                <w:sz w:val="22"/>
                <w:szCs w:val="22"/>
              </w:rPr>
            </w:pPr>
            <w:r>
              <w:rPr>
                <w:sz w:val="22"/>
                <w:szCs w:val="22"/>
              </w:rPr>
              <w:t>(</w:t>
            </w:r>
            <w:proofErr w:type="spellStart"/>
            <w:r>
              <w:rPr>
                <w:sz w:val="22"/>
                <w:szCs w:val="22"/>
              </w:rPr>
              <w:t>м.п</w:t>
            </w:r>
            <w:proofErr w:type="spellEnd"/>
            <w:r>
              <w:rPr>
                <w:sz w:val="22"/>
                <w:szCs w:val="22"/>
              </w:rPr>
              <w:t>.)</w:t>
            </w:r>
          </w:p>
        </w:tc>
      </w:tr>
      <w:tr>
        <w:tc>
          <w:tcPr>
            <w:tcW w:w="3931" w:type="dxa"/>
            <w:tcBorders>
              <w:top w:val="single" w:sz="4" w:space="0" w:color="auto"/>
            </w:tcBorders>
          </w:tcPr>
          <w:p>
            <w:pPr>
              <w:pStyle w:val="ConsPlusNormal"/>
              <w:jc w:val="both"/>
              <w:rPr>
                <w:sz w:val="22"/>
                <w:szCs w:val="22"/>
              </w:rPr>
            </w:pPr>
            <w:r>
              <w:rPr>
                <w:bCs/>
                <w:sz w:val="22"/>
                <w:szCs w:val="22"/>
              </w:rPr>
              <w:t>Контракт подписан усиленными электронными подписями лиц, имеющих право действовать от имени Заказчика и Поставщика</w:t>
            </w:r>
          </w:p>
        </w:tc>
        <w:tc>
          <w:tcPr>
            <w:tcW w:w="1402" w:type="dxa"/>
          </w:tcPr>
          <w:p>
            <w:pPr>
              <w:pStyle w:val="ConsPlusNormal"/>
              <w:jc w:val="both"/>
              <w:rPr>
                <w:sz w:val="22"/>
                <w:szCs w:val="22"/>
              </w:rPr>
            </w:pPr>
          </w:p>
        </w:tc>
        <w:tc>
          <w:tcPr>
            <w:tcW w:w="3456" w:type="dxa"/>
            <w:tcBorders>
              <w:top w:val="single" w:sz="4" w:space="0" w:color="auto"/>
            </w:tcBorders>
          </w:tcPr>
          <w:p>
            <w:pPr>
              <w:pStyle w:val="ConsPlusNormal"/>
              <w:jc w:val="both"/>
              <w:rPr>
                <w:sz w:val="22"/>
                <w:szCs w:val="22"/>
              </w:rPr>
            </w:pPr>
          </w:p>
        </w:tc>
      </w:tr>
    </w:tbl>
    <w:p>
      <w:pPr>
        <w:pStyle w:val="ConsPlusNormal"/>
        <w:ind w:left="5954"/>
        <w:jc w:val="both"/>
        <w:outlineLvl w:val="1"/>
      </w:pPr>
    </w:p>
    <w:p>
      <w:pPr>
        <w:rPr>
          <w:szCs w:val="20"/>
        </w:rPr>
      </w:pPr>
      <w:r>
        <w:br w:type="page"/>
      </w:r>
    </w:p>
    <w:p>
      <w:pPr>
        <w:pStyle w:val="ConsPlusNormal"/>
        <w:ind w:left="5954"/>
        <w:jc w:val="both"/>
        <w:outlineLvl w:val="1"/>
      </w:pPr>
      <w:r>
        <w:lastRenderedPageBreak/>
        <w:t>Приложение № 2 к Контракту № _____</w:t>
      </w:r>
    </w:p>
    <w:p>
      <w:pPr>
        <w:pStyle w:val="ConsPlusNormal"/>
        <w:ind w:left="5954"/>
      </w:pPr>
      <w:proofErr w:type="gramStart"/>
      <w:r>
        <w:t>от</w:t>
      </w:r>
      <w:proofErr w:type="gramEnd"/>
      <w:r>
        <w:t xml:space="preserve"> «___» __________ 2026 г. </w:t>
      </w:r>
    </w:p>
    <w:p>
      <w:pPr>
        <w:pStyle w:val="ConsPlusNormal"/>
        <w:ind w:firstLine="709"/>
        <w:jc w:val="both"/>
      </w:pPr>
    </w:p>
    <w:p>
      <w:pPr>
        <w:pStyle w:val="ConsPlusNormal"/>
        <w:jc w:val="center"/>
        <w:rPr>
          <w:b/>
        </w:rPr>
      </w:pPr>
      <w:bookmarkStart w:id="22" w:name="Par393"/>
      <w:bookmarkEnd w:id="22"/>
    </w:p>
    <w:p>
      <w:pPr>
        <w:widowControl w:val="0"/>
        <w:autoSpaceDE w:val="0"/>
        <w:autoSpaceDN w:val="0"/>
        <w:jc w:val="center"/>
        <w:rPr>
          <w:szCs w:val="20"/>
        </w:rPr>
      </w:pPr>
      <w:r>
        <w:rPr>
          <w:b/>
          <w:szCs w:val="20"/>
        </w:rPr>
        <w:t>Описание объекта закупки</w:t>
      </w:r>
    </w:p>
    <w:p>
      <w:pPr>
        <w:widowControl w:val="0"/>
        <w:autoSpaceDE w:val="0"/>
        <w:autoSpaceDN w:val="0"/>
        <w:ind w:firstLine="709"/>
        <w:jc w:val="both"/>
        <w:rPr>
          <w:szCs w:val="20"/>
        </w:rPr>
      </w:pPr>
    </w:p>
    <w:p>
      <w:pPr>
        <w:autoSpaceDE w:val="0"/>
        <w:autoSpaceDN w:val="0"/>
        <w:adjustRightInd w:val="0"/>
        <w:ind w:firstLine="567"/>
        <w:jc w:val="center"/>
        <w:outlineLvl w:val="1"/>
        <w:rPr>
          <w:b/>
          <w:bCs/>
          <w:sz w:val="22"/>
          <w:szCs w:val="22"/>
        </w:rPr>
      </w:pPr>
      <w:r>
        <w:rPr>
          <w:b/>
          <w:bCs/>
          <w:sz w:val="22"/>
          <w:szCs w:val="22"/>
        </w:rPr>
        <w:t xml:space="preserve">Описание объекта закупки в соответствии со статьей 33 </w:t>
      </w:r>
    </w:p>
    <w:p>
      <w:pPr>
        <w:autoSpaceDE w:val="0"/>
        <w:autoSpaceDN w:val="0"/>
        <w:adjustRightInd w:val="0"/>
        <w:ind w:firstLine="567"/>
        <w:jc w:val="center"/>
        <w:outlineLvl w:val="1"/>
        <w:rPr>
          <w:b/>
          <w:bCs/>
          <w:sz w:val="22"/>
          <w:szCs w:val="22"/>
        </w:rPr>
      </w:pPr>
      <w:r>
        <w:rPr>
          <w:b/>
          <w:bCs/>
          <w:sz w:val="22"/>
          <w:szCs w:val="22"/>
        </w:rPr>
        <w:t xml:space="preserve">Федерального </w:t>
      </w:r>
      <w:hyperlink r:id="rId14" w:history="1">
        <w:r>
          <w:rPr>
            <w:b/>
            <w:bCs/>
            <w:sz w:val="22"/>
            <w:szCs w:val="22"/>
          </w:rPr>
          <w:t>закона</w:t>
        </w:r>
      </w:hyperlink>
      <w:r>
        <w:rPr>
          <w:b/>
          <w:bCs/>
          <w:sz w:val="22"/>
          <w:szCs w:val="22"/>
        </w:rPr>
        <w:t xml:space="preserve"> от 05.04.2013 N 44-ФЗ "О контрактной системе в сфере закупок товаров, работ, услуг для обеспечения государственных и муниципальных нужд" </w:t>
      </w:r>
    </w:p>
    <w:p>
      <w:pPr>
        <w:autoSpaceDE w:val="0"/>
        <w:autoSpaceDN w:val="0"/>
        <w:adjustRightInd w:val="0"/>
        <w:ind w:firstLine="567"/>
        <w:jc w:val="center"/>
        <w:outlineLvl w:val="1"/>
        <w:rPr>
          <w:b/>
          <w:bCs/>
          <w:sz w:val="22"/>
          <w:szCs w:val="22"/>
        </w:rPr>
      </w:pPr>
      <w:r>
        <w:rPr>
          <w:b/>
          <w:bCs/>
          <w:sz w:val="22"/>
          <w:szCs w:val="22"/>
        </w:rPr>
        <w:t>(далее – Закон)</w:t>
      </w:r>
    </w:p>
    <w:p>
      <w:pPr>
        <w:widowControl w:val="0"/>
        <w:autoSpaceDE w:val="0"/>
        <w:autoSpaceDN w:val="0"/>
        <w:adjustRightInd w:val="0"/>
        <w:jc w:val="center"/>
        <w:rPr>
          <w:b/>
          <w:sz w:val="22"/>
          <w:szCs w:val="22"/>
        </w:rPr>
      </w:pPr>
    </w:p>
    <w:p>
      <w:pPr>
        <w:ind w:firstLine="540"/>
        <w:jc w:val="both"/>
        <w:rPr>
          <w:sz w:val="22"/>
          <w:szCs w:val="22"/>
        </w:rPr>
      </w:pPr>
      <w:r>
        <w:rPr>
          <w:b/>
          <w:sz w:val="22"/>
          <w:szCs w:val="22"/>
        </w:rPr>
        <w:t xml:space="preserve">1. Информация об объекте закупки </w:t>
      </w:r>
    </w:p>
    <w:p>
      <w:pPr>
        <w:ind w:firstLine="567"/>
        <w:jc w:val="both"/>
        <w:rPr>
          <w:sz w:val="22"/>
          <w:szCs w:val="22"/>
        </w:rPr>
      </w:pPr>
      <w:r>
        <w:rPr>
          <w:sz w:val="22"/>
          <w:szCs w:val="22"/>
        </w:rPr>
        <w:t xml:space="preserve">1.1. Объектом закупки является право заключения государственного контракта (гражданско-правового договора) (далее - контракт) на </w:t>
      </w:r>
      <w:r>
        <w:rPr>
          <w:rFonts w:eastAsia="Calibri"/>
          <w:color w:val="000000"/>
          <w:sz w:val="22"/>
          <w:szCs w:val="22"/>
        </w:rPr>
        <w:t>поставку наушников для нужд СПБ ГБУК "Театр у Нарвских ворот" в 2026 году.</w:t>
      </w:r>
    </w:p>
    <w:p>
      <w:pPr>
        <w:ind w:firstLine="567"/>
        <w:jc w:val="both"/>
        <w:rPr>
          <w:sz w:val="22"/>
          <w:szCs w:val="22"/>
        </w:rPr>
      </w:pPr>
      <w:r>
        <w:rPr>
          <w:sz w:val="22"/>
          <w:szCs w:val="22"/>
        </w:rPr>
        <w:t>1.2. Идентификационный код закупки из позиции плана-графика – 262780502693578050100100160000000244.</w:t>
      </w:r>
    </w:p>
    <w:p>
      <w:pPr>
        <w:ind w:firstLine="567"/>
        <w:jc w:val="both"/>
        <w:rPr>
          <w:color w:val="000000"/>
          <w:sz w:val="22"/>
          <w:szCs w:val="22"/>
        </w:rPr>
      </w:pPr>
      <w:r>
        <w:rPr>
          <w:sz w:val="22"/>
          <w:szCs w:val="22"/>
          <w:lang w:eastAsia="ar-SA"/>
        </w:rPr>
        <w:t>1.3.  Целью данной закупки является: О</w:t>
      </w:r>
      <w:r>
        <w:rPr>
          <w:sz w:val="22"/>
          <w:szCs w:val="22"/>
        </w:rPr>
        <w:t xml:space="preserve">беспечение текущей деятельности </w:t>
      </w:r>
      <w:r>
        <w:rPr>
          <w:rFonts w:eastAsia="Arial Unicode MS"/>
          <w:color w:val="000000"/>
          <w:sz w:val="22"/>
          <w:szCs w:val="22"/>
        </w:rPr>
        <w:t>СПБ ГБУК "Театр у Нарвских ворот"</w:t>
      </w:r>
      <w:r>
        <w:rPr>
          <w:color w:val="000000"/>
          <w:sz w:val="22"/>
          <w:szCs w:val="22"/>
        </w:rPr>
        <w:t>.</w:t>
      </w:r>
    </w:p>
    <w:p>
      <w:pPr>
        <w:ind w:firstLine="567"/>
        <w:jc w:val="both"/>
        <w:rPr>
          <w:bCs/>
          <w:color w:val="000000"/>
          <w:sz w:val="22"/>
          <w:szCs w:val="22"/>
        </w:rPr>
      </w:pPr>
      <w:r>
        <w:rPr>
          <w:color w:val="000000" w:themeColor="text1"/>
          <w:sz w:val="22"/>
          <w:szCs w:val="22"/>
        </w:rPr>
        <w:t xml:space="preserve">1.4.  </w:t>
      </w:r>
      <w:r>
        <w:rPr>
          <w:bCs/>
          <w:color w:val="000000" w:themeColor="text1"/>
          <w:sz w:val="22"/>
          <w:szCs w:val="22"/>
        </w:rPr>
        <w:t xml:space="preserve">Код по Общероссийскому классификатору продукции по видам экономической деятельности (ОКПД2) ОК 034-2014 с указанием </w:t>
      </w:r>
      <w:r>
        <w:rPr>
          <w:bCs/>
          <w:color w:val="000000"/>
          <w:sz w:val="22"/>
          <w:szCs w:val="22"/>
        </w:rPr>
        <w:t>вида продукции, соответствующий объекту закупки:</w:t>
      </w:r>
    </w:p>
    <w:p>
      <w:pPr>
        <w:ind w:firstLine="567"/>
        <w:jc w:val="both"/>
        <w:rPr>
          <w:bCs/>
          <w:color w:val="000000"/>
          <w:sz w:val="22"/>
          <w:szCs w:val="22"/>
        </w:rPr>
      </w:pPr>
    </w:p>
    <w:tbl>
      <w:tblPr>
        <w:tblW w:w="10270" w:type="dxa"/>
        <w:tblInd w:w="-15" w:type="dxa"/>
        <w:tblLayout w:type="fixed"/>
        <w:tblLook w:val="04A0" w:firstRow="1" w:lastRow="0" w:firstColumn="1" w:lastColumn="0" w:noHBand="0" w:noVBand="1"/>
      </w:tblPr>
      <w:tblGrid>
        <w:gridCol w:w="1560"/>
        <w:gridCol w:w="3412"/>
        <w:gridCol w:w="2688"/>
        <w:gridCol w:w="633"/>
        <w:gridCol w:w="1209"/>
        <w:gridCol w:w="768"/>
      </w:tblGrid>
      <w:tr>
        <w:trPr>
          <w:trHeight w:val="184"/>
        </w:trPr>
        <w:tc>
          <w:tcPr>
            <w:tcW w:w="1560" w:type="dxa"/>
            <w:vMerge w:val="restart"/>
            <w:tcBorders>
              <w:top w:val="single" w:sz="4" w:space="0" w:color="auto"/>
              <w:left w:val="single" w:sz="4" w:space="0" w:color="auto"/>
              <w:right w:val="single" w:sz="4" w:space="0" w:color="auto"/>
            </w:tcBorders>
          </w:tcPr>
          <w:p>
            <w:pPr>
              <w:tabs>
                <w:tab w:val="left" w:pos="13608"/>
              </w:tabs>
              <w:jc w:val="center"/>
              <w:rPr>
                <w:sz w:val="16"/>
                <w:szCs w:val="16"/>
              </w:rPr>
            </w:pPr>
            <w:r>
              <w:rPr>
                <w:b/>
                <w:bCs/>
                <w:sz w:val="16"/>
                <w:szCs w:val="16"/>
              </w:rPr>
              <w:t>Код по ОКПД2 / ККН</w:t>
            </w:r>
          </w:p>
        </w:tc>
        <w:tc>
          <w:tcPr>
            <w:tcW w:w="3412" w:type="dxa"/>
            <w:vMerge w:val="restart"/>
            <w:tcBorders>
              <w:top w:val="single" w:sz="4" w:space="0" w:color="auto"/>
              <w:left w:val="single" w:sz="4" w:space="0" w:color="auto"/>
              <w:right w:val="single" w:sz="4" w:space="0" w:color="auto"/>
            </w:tcBorders>
          </w:tcPr>
          <w:p>
            <w:pPr>
              <w:tabs>
                <w:tab w:val="left" w:pos="13608"/>
              </w:tabs>
              <w:jc w:val="center"/>
              <w:rPr>
                <w:sz w:val="16"/>
                <w:szCs w:val="16"/>
              </w:rPr>
            </w:pPr>
            <w:r>
              <w:rPr>
                <w:b/>
                <w:bCs/>
                <w:sz w:val="16"/>
                <w:szCs w:val="16"/>
              </w:rPr>
              <w:t>Наименование отдельного вида товаров, работ, услуг</w:t>
            </w:r>
          </w:p>
        </w:tc>
        <w:tc>
          <w:tcPr>
            <w:tcW w:w="2688" w:type="dxa"/>
            <w:vMerge w:val="restart"/>
            <w:tcBorders>
              <w:top w:val="single" w:sz="4" w:space="0" w:color="auto"/>
              <w:left w:val="nil"/>
              <w:right w:val="single" w:sz="4" w:space="0" w:color="000000"/>
            </w:tcBorders>
            <w:vAlign w:val="center"/>
          </w:tcPr>
          <w:p>
            <w:pPr>
              <w:tabs>
                <w:tab w:val="left" w:pos="13608"/>
              </w:tabs>
              <w:jc w:val="center"/>
              <w:rPr>
                <w:b/>
                <w:bCs/>
                <w:sz w:val="16"/>
                <w:szCs w:val="16"/>
              </w:rPr>
            </w:pPr>
            <w:r>
              <w:rPr>
                <w:b/>
                <w:bCs/>
                <w:sz w:val="16"/>
                <w:szCs w:val="16"/>
              </w:rPr>
              <w:t>В соответствии с кодом конечного каталожного наименования (ККН)</w:t>
            </w:r>
          </w:p>
        </w:tc>
        <w:tc>
          <w:tcPr>
            <w:tcW w:w="1842" w:type="dxa"/>
            <w:gridSpan w:val="2"/>
            <w:vMerge w:val="restart"/>
            <w:tcBorders>
              <w:top w:val="single" w:sz="4" w:space="0" w:color="auto"/>
              <w:left w:val="nil"/>
              <w:right w:val="single" w:sz="4" w:space="0" w:color="000000"/>
            </w:tcBorders>
            <w:vAlign w:val="center"/>
          </w:tcPr>
          <w:p>
            <w:pPr>
              <w:tabs>
                <w:tab w:val="left" w:pos="13608"/>
              </w:tabs>
              <w:jc w:val="center"/>
              <w:rPr>
                <w:b/>
                <w:bCs/>
                <w:sz w:val="16"/>
                <w:szCs w:val="16"/>
              </w:rPr>
            </w:pPr>
            <w:r>
              <w:rPr>
                <w:b/>
                <w:bCs/>
                <w:sz w:val="16"/>
                <w:szCs w:val="16"/>
              </w:rPr>
              <w:t>Единица измерения</w:t>
            </w:r>
          </w:p>
        </w:tc>
        <w:tc>
          <w:tcPr>
            <w:tcW w:w="768" w:type="dxa"/>
            <w:vMerge w:val="restart"/>
            <w:tcBorders>
              <w:top w:val="single" w:sz="4" w:space="0" w:color="auto"/>
              <w:left w:val="nil"/>
              <w:right w:val="single" w:sz="4" w:space="0" w:color="000000"/>
            </w:tcBorders>
            <w:vAlign w:val="center"/>
          </w:tcPr>
          <w:p>
            <w:pPr>
              <w:tabs>
                <w:tab w:val="left" w:pos="13608"/>
              </w:tabs>
              <w:jc w:val="center"/>
              <w:rPr>
                <w:b/>
                <w:bCs/>
                <w:sz w:val="16"/>
                <w:szCs w:val="16"/>
              </w:rPr>
            </w:pPr>
            <w:r>
              <w:rPr>
                <w:b/>
                <w:bCs/>
                <w:sz w:val="16"/>
                <w:szCs w:val="16"/>
              </w:rPr>
              <w:t>Кол-во товара</w:t>
            </w:r>
          </w:p>
        </w:tc>
      </w:tr>
      <w:tr>
        <w:trPr>
          <w:trHeight w:val="184"/>
        </w:trPr>
        <w:tc>
          <w:tcPr>
            <w:tcW w:w="1560" w:type="dxa"/>
            <w:vMerge/>
            <w:tcBorders>
              <w:left w:val="single" w:sz="4" w:space="0" w:color="auto"/>
              <w:right w:val="single" w:sz="4" w:space="0" w:color="auto"/>
            </w:tcBorders>
          </w:tcPr>
          <w:p>
            <w:pPr>
              <w:tabs>
                <w:tab w:val="left" w:pos="13608"/>
              </w:tabs>
              <w:jc w:val="center"/>
              <w:rPr>
                <w:sz w:val="16"/>
                <w:szCs w:val="16"/>
              </w:rPr>
            </w:pPr>
          </w:p>
        </w:tc>
        <w:tc>
          <w:tcPr>
            <w:tcW w:w="3412" w:type="dxa"/>
            <w:vMerge/>
            <w:tcBorders>
              <w:left w:val="single" w:sz="4" w:space="0" w:color="auto"/>
              <w:right w:val="single" w:sz="4" w:space="0" w:color="auto"/>
            </w:tcBorders>
          </w:tcPr>
          <w:p>
            <w:pPr>
              <w:tabs>
                <w:tab w:val="left" w:pos="13608"/>
              </w:tabs>
              <w:jc w:val="center"/>
              <w:rPr>
                <w:sz w:val="16"/>
                <w:szCs w:val="16"/>
              </w:rPr>
            </w:pPr>
          </w:p>
        </w:tc>
        <w:tc>
          <w:tcPr>
            <w:tcW w:w="2688" w:type="dxa"/>
            <w:vMerge/>
            <w:tcBorders>
              <w:left w:val="nil"/>
              <w:right w:val="single" w:sz="4" w:space="0" w:color="000000"/>
            </w:tcBorders>
            <w:vAlign w:val="center"/>
          </w:tcPr>
          <w:p>
            <w:pPr>
              <w:tabs>
                <w:tab w:val="left" w:pos="13608"/>
              </w:tabs>
              <w:jc w:val="center"/>
            </w:pPr>
          </w:p>
        </w:tc>
        <w:tc>
          <w:tcPr>
            <w:tcW w:w="1842" w:type="dxa"/>
            <w:gridSpan w:val="2"/>
            <w:vMerge/>
            <w:tcBorders>
              <w:left w:val="single" w:sz="4" w:space="0" w:color="000000"/>
              <w:bottom w:val="single" w:sz="4" w:space="0" w:color="auto"/>
              <w:right w:val="single" w:sz="4" w:space="0" w:color="000000"/>
            </w:tcBorders>
            <w:noWrap/>
          </w:tcPr>
          <w:p>
            <w:pPr>
              <w:tabs>
                <w:tab w:val="left" w:pos="13608"/>
              </w:tabs>
              <w:jc w:val="center"/>
              <w:rPr>
                <w:b/>
                <w:bCs/>
                <w:sz w:val="16"/>
                <w:szCs w:val="16"/>
              </w:rPr>
            </w:pPr>
          </w:p>
        </w:tc>
        <w:tc>
          <w:tcPr>
            <w:tcW w:w="768" w:type="dxa"/>
            <w:vMerge/>
            <w:tcBorders>
              <w:left w:val="nil"/>
              <w:right w:val="single" w:sz="4" w:space="0" w:color="000000"/>
            </w:tcBorders>
          </w:tcPr>
          <w:p>
            <w:pPr>
              <w:tabs>
                <w:tab w:val="left" w:pos="13608"/>
              </w:tabs>
              <w:jc w:val="center"/>
              <w:rPr>
                <w:b/>
                <w:bCs/>
                <w:sz w:val="16"/>
                <w:szCs w:val="16"/>
              </w:rPr>
            </w:pPr>
          </w:p>
        </w:tc>
      </w:tr>
      <w:tr>
        <w:trPr>
          <w:trHeight w:val="163"/>
        </w:trPr>
        <w:tc>
          <w:tcPr>
            <w:tcW w:w="1560" w:type="dxa"/>
            <w:vMerge/>
            <w:tcBorders>
              <w:left w:val="single" w:sz="4" w:space="0" w:color="auto"/>
              <w:bottom w:val="single" w:sz="4" w:space="0" w:color="auto"/>
              <w:right w:val="single" w:sz="4" w:space="0" w:color="auto"/>
            </w:tcBorders>
          </w:tcPr>
          <w:p>
            <w:pPr>
              <w:tabs>
                <w:tab w:val="left" w:pos="13608"/>
              </w:tabs>
              <w:jc w:val="center"/>
              <w:rPr>
                <w:sz w:val="16"/>
                <w:szCs w:val="16"/>
              </w:rPr>
            </w:pPr>
          </w:p>
        </w:tc>
        <w:tc>
          <w:tcPr>
            <w:tcW w:w="3412" w:type="dxa"/>
            <w:vMerge/>
            <w:tcBorders>
              <w:left w:val="single" w:sz="4" w:space="0" w:color="auto"/>
              <w:bottom w:val="single" w:sz="4" w:space="0" w:color="auto"/>
              <w:right w:val="single" w:sz="4" w:space="0" w:color="auto"/>
            </w:tcBorders>
          </w:tcPr>
          <w:p>
            <w:pPr>
              <w:tabs>
                <w:tab w:val="left" w:pos="13608"/>
              </w:tabs>
              <w:jc w:val="center"/>
              <w:rPr>
                <w:sz w:val="16"/>
                <w:szCs w:val="16"/>
              </w:rPr>
            </w:pPr>
          </w:p>
        </w:tc>
        <w:tc>
          <w:tcPr>
            <w:tcW w:w="2688" w:type="dxa"/>
            <w:vMerge/>
            <w:tcBorders>
              <w:left w:val="nil"/>
              <w:bottom w:val="single" w:sz="4" w:space="0" w:color="auto"/>
              <w:right w:val="single" w:sz="4" w:space="0" w:color="000000"/>
            </w:tcBorders>
            <w:vAlign w:val="center"/>
          </w:tcPr>
          <w:p>
            <w:pPr>
              <w:tabs>
                <w:tab w:val="left" w:pos="13608"/>
              </w:tabs>
              <w:jc w:val="center"/>
            </w:pPr>
          </w:p>
        </w:tc>
        <w:tc>
          <w:tcPr>
            <w:tcW w:w="633" w:type="dxa"/>
            <w:tcBorders>
              <w:top w:val="single" w:sz="4" w:space="0" w:color="auto"/>
              <w:left w:val="single" w:sz="4" w:space="0" w:color="000000"/>
              <w:bottom w:val="single" w:sz="4" w:space="0" w:color="auto"/>
              <w:right w:val="nil"/>
            </w:tcBorders>
            <w:noWrap/>
          </w:tcPr>
          <w:p>
            <w:pPr>
              <w:tabs>
                <w:tab w:val="left" w:pos="13608"/>
              </w:tabs>
              <w:jc w:val="center"/>
              <w:rPr>
                <w:sz w:val="16"/>
                <w:szCs w:val="16"/>
              </w:rPr>
            </w:pPr>
            <w:r>
              <w:rPr>
                <w:b/>
                <w:bCs/>
                <w:sz w:val="16"/>
                <w:szCs w:val="16"/>
              </w:rPr>
              <w:t>Код по ОКЕИ</w:t>
            </w:r>
          </w:p>
        </w:tc>
        <w:tc>
          <w:tcPr>
            <w:tcW w:w="1209" w:type="dxa"/>
            <w:tcBorders>
              <w:top w:val="single" w:sz="4" w:space="0" w:color="auto"/>
              <w:left w:val="single" w:sz="4" w:space="0" w:color="auto"/>
              <w:bottom w:val="single" w:sz="4" w:space="0" w:color="auto"/>
              <w:right w:val="single" w:sz="4" w:space="0" w:color="auto"/>
            </w:tcBorders>
            <w:noWrap/>
          </w:tcPr>
          <w:p>
            <w:pPr>
              <w:tabs>
                <w:tab w:val="left" w:pos="13608"/>
              </w:tabs>
              <w:jc w:val="center"/>
              <w:rPr>
                <w:sz w:val="16"/>
                <w:szCs w:val="16"/>
              </w:rPr>
            </w:pPr>
            <w:r>
              <w:rPr>
                <w:b/>
                <w:bCs/>
                <w:sz w:val="16"/>
                <w:szCs w:val="16"/>
              </w:rPr>
              <w:t>Наименование</w:t>
            </w:r>
          </w:p>
        </w:tc>
        <w:tc>
          <w:tcPr>
            <w:tcW w:w="768" w:type="dxa"/>
            <w:vMerge/>
            <w:tcBorders>
              <w:left w:val="single" w:sz="4" w:space="0" w:color="auto"/>
              <w:bottom w:val="single" w:sz="4" w:space="0" w:color="auto"/>
              <w:right w:val="single" w:sz="4" w:space="0" w:color="000000"/>
            </w:tcBorders>
            <w:vAlign w:val="center"/>
          </w:tcPr>
          <w:p>
            <w:pPr>
              <w:tabs>
                <w:tab w:val="left" w:pos="13608"/>
              </w:tabs>
              <w:jc w:val="center"/>
              <w:rPr>
                <w:b/>
                <w:bCs/>
                <w:sz w:val="16"/>
                <w:szCs w:val="16"/>
              </w:rPr>
            </w:pPr>
          </w:p>
        </w:tc>
      </w:tr>
      <w:tr>
        <w:trPr>
          <w:trHeight w:val="163"/>
        </w:trPr>
        <w:tc>
          <w:tcPr>
            <w:tcW w:w="1560" w:type="dxa"/>
            <w:tcBorders>
              <w:top w:val="single" w:sz="4" w:space="0" w:color="auto"/>
              <w:left w:val="single" w:sz="4" w:space="0" w:color="auto"/>
              <w:bottom w:val="single" w:sz="4" w:space="0" w:color="auto"/>
              <w:right w:val="single" w:sz="4" w:space="0" w:color="auto"/>
            </w:tcBorders>
          </w:tcPr>
          <w:p>
            <w:pPr>
              <w:tabs>
                <w:tab w:val="left" w:pos="13608"/>
              </w:tabs>
              <w:jc w:val="center"/>
              <w:rPr>
                <w:b/>
                <w:sz w:val="16"/>
                <w:szCs w:val="16"/>
              </w:rPr>
            </w:pPr>
            <w:r>
              <w:rPr>
                <w:b/>
                <w:sz w:val="16"/>
                <w:szCs w:val="16"/>
              </w:rPr>
              <w:t>1</w:t>
            </w:r>
          </w:p>
        </w:tc>
        <w:tc>
          <w:tcPr>
            <w:tcW w:w="3412" w:type="dxa"/>
            <w:tcBorders>
              <w:top w:val="single" w:sz="4" w:space="0" w:color="auto"/>
              <w:left w:val="single" w:sz="4" w:space="0" w:color="auto"/>
              <w:bottom w:val="single" w:sz="4" w:space="0" w:color="auto"/>
              <w:right w:val="single" w:sz="4" w:space="0" w:color="auto"/>
            </w:tcBorders>
          </w:tcPr>
          <w:p>
            <w:pPr>
              <w:tabs>
                <w:tab w:val="left" w:pos="13608"/>
              </w:tabs>
              <w:jc w:val="center"/>
              <w:rPr>
                <w:b/>
                <w:sz w:val="16"/>
                <w:szCs w:val="16"/>
              </w:rPr>
            </w:pPr>
            <w:r>
              <w:rPr>
                <w:b/>
                <w:sz w:val="16"/>
                <w:szCs w:val="16"/>
              </w:rPr>
              <w:t>2</w:t>
            </w:r>
          </w:p>
        </w:tc>
        <w:tc>
          <w:tcPr>
            <w:tcW w:w="2688" w:type="dxa"/>
            <w:tcBorders>
              <w:top w:val="single" w:sz="4" w:space="0" w:color="auto"/>
              <w:left w:val="nil"/>
              <w:bottom w:val="single" w:sz="4" w:space="0" w:color="auto"/>
              <w:right w:val="single" w:sz="4" w:space="0" w:color="auto"/>
            </w:tcBorders>
            <w:vAlign w:val="center"/>
          </w:tcPr>
          <w:p>
            <w:pPr>
              <w:tabs>
                <w:tab w:val="left" w:pos="13608"/>
              </w:tabs>
              <w:jc w:val="center"/>
              <w:rPr>
                <w:b/>
                <w:sz w:val="16"/>
                <w:szCs w:val="16"/>
              </w:rPr>
            </w:pPr>
            <w:r>
              <w:rPr>
                <w:b/>
                <w:sz w:val="16"/>
                <w:szCs w:val="16"/>
              </w:rPr>
              <w:t>3</w:t>
            </w:r>
          </w:p>
        </w:tc>
        <w:tc>
          <w:tcPr>
            <w:tcW w:w="633" w:type="dxa"/>
            <w:tcBorders>
              <w:top w:val="single" w:sz="4" w:space="0" w:color="auto"/>
              <w:left w:val="single" w:sz="4" w:space="0" w:color="auto"/>
              <w:bottom w:val="single" w:sz="4" w:space="0" w:color="auto"/>
              <w:right w:val="nil"/>
            </w:tcBorders>
            <w:noWrap/>
            <w:vAlign w:val="center"/>
          </w:tcPr>
          <w:p>
            <w:pPr>
              <w:tabs>
                <w:tab w:val="left" w:pos="13608"/>
              </w:tabs>
              <w:jc w:val="center"/>
              <w:rPr>
                <w:b/>
                <w:sz w:val="16"/>
                <w:szCs w:val="16"/>
              </w:rPr>
            </w:pPr>
            <w:r>
              <w:rPr>
                <w:b/>
                <w:sz w:val="16"/>
                <w:szCs w:val="16"/>
              </w:rPr>
              <w:t>4</w:t>
            </w:r>
          </w:p>
        </w:tc>
        <w:tc>
          <w:tcPr>
            <w:tcW w:w="1209" w:type="dxa"/>
            <w:tcBorders>
              <w:top w:val="single" w:sz="4" w:space="0" w:color="auto"/>
              <w:left w:val="single" w:sz="4" w:space="0" w:color="auto"/>
              <w:bottom w:val="single" w:sz="4" w:space="0" w:color="auto"/>
              <w:right w:val="single" w:sz="4" w:space="0" w:color="auto"/>
            </w:tcBorders>
            <w:noWrap/>
            <w:vAlign w:val="center"/>
          </w:tcPr>
          <w:p>
            <w:pPr>
              <w:tabs>
                <w:tab w:val="left" w:pos="13608"/>
              </w:tabs>
              <w:jc w:val="center"/>
              <w:rPr>
                <w:b/>
                <w:sz w:val="16"/>
                <w:szCs w:val="16"/>
              </w:rPr>
            </w:pPr>
            <w:r>
              <w:rPr>
                <w:b/>
                <w:sz w:val="16"/>
                <w:szCs w:val="16"/>
              </w:rPr>
              <w:t>5</w:t>
            </w:r>
          </w:p>
        </w:tc>
        <w:tc>
          <w:tcPr>
            <w:tcW w:w="768" w:type="dxa"/>
            <w:tcBorders>
              <w:top w:val="single" w:sz="4" w:space="0" w:color="auto"/>
              <w:left w:val="nil"/>
              <w:bottom w:val="single" w:sz="4" w:space="0" w:color="auto"/>
              <w:right w:val="single" w:sz="4" w:space="0" w:color="000000"/>
            </w:tcBorders>
            <w:vAlign w:val="center"/>
          </w:tcPr>
          <w:p>
            <w:pPr>
              <w:tabs>
                <w:tab w:val="left" w:pos="13608"/>
              </w:tabs>
              <w:jc w:val="center"/>
              <w:rPr>
                <w:b/>
                <w:sz w:val="16"/>
                <w:szCs w:val="16"/>
              </w:rPr>
            </w:pPr>
            <w:r>
              <w:rPr>
                <w:b/>
                <w:sz w:val="16"/>
                <w:szCs w:val="16"/>
              </w:rPr>
              <w:t>6</w:t>
            </w:r>
          </w:p>
        </w:tc>
      </w:tr>
      <w:tr>
        <w:trPr>
          <w:trHeight w:val="163"/>
        </w:trPr>
        <w:tc>
          <w:tcPr>
            <w:tcW w:w="1560" w:type="dxa"/>
            <w:tcBorders>
              <w:top w:val="single" w:sz="4" w:space="0" w:color="auto"/>
              <w:left w:val="single" w:sz="4" w:space="0" w:color="auto"/>
              <w:bottom w:val="single" w:sz="4" w:space="0" w:color="auto"/>
              <w:right w:val="single" w:sz="4" w:space="0" w:color="auto"/>
            </w:tcBorders>
            <w:vAlign w:val="center"/>
          </w:tcPr>
          <w:p>
            <w:pPr>
              <w:tabs>
                <w:tab w:val="left" w:pos="13608"/>
              </w:tabs>
              <w:jc w:val="center"/>
              <w:rPr>
                <w:sz w:val="20"/>
              </w:rPr>
            </w:pPr>
            <w:r>
              <w:rPr>
                <w:sz w:val="20"/>
              </w:rPr>
              <w:t xml:space="preserve">26.40.42.120 </w:t>
            </w:r>
          </w:p>
        </w:tc>
        <w:tc>
          <w:tcPr>
            <w:tcW w:w="3412" w:type="dxa"/>
            <w:tcBorders>
              <w:top w:val="single" w:sz="4" w:space="0" w:color="auto"/>
              <w:left w:val="single" w:sz="4" w:space="0" w:color="auto"/>
              <w:bottom w:val="single" w:sz="4" w:space="0" w:color="auto"/>
              <w:right w:val="single" w:sz="4" w:space="0" w:color="auto"/>
            </w:tcBorders>
            <w:vAlign w:val="center"/>
          </w:tcPr>
          <w:p>
            <w:pPr>
              <w:tabs>
                <w:tab w:val="left" w:pos="13608"/>
              </w:tabs>
              <w:jc w:val="center"/>
              <w:rPr>
                <w:sz w:val="20"/>
                <w:szCs w:val="18"/>
              </w:rPr>
            </w:pPr>
            <w:r>
              <w:rPr>
                <w:sz w:val="20"/>
                <w:szCs w:val="18"/>
              </w:rPr>
              <w:t>Наушники</w:t>
            </w:r>
          </w:p>
        </w:tc>
        <w:tc>
          <w:tcPr>
            <w:tcW w:w="2688" w:type="dxa"/>
            <w:tcBorders>
              <w:top w:val="single" w:sz="4" w:space="0" w:color="auto"/>
              <w:left w:val="nil"/>
              <w:bottom w:val="single" w:sz="4" w:space="0" w:color="auto"/>
              <w:right w:val="single" w:sz="4" w:space="0" w:color="auto"/>
            </w:tcBorders>
            <w:vAlign w:val="center"/>
          </w:tcPr>
          <w:p>
            <w:pPr>
              <w:tabs>
                <w:tab w:val="left" w:pos="13608"/>
              </w:tabs>
              <w:jc w:val="center"/>
              <w:rPr>
                <w:sz w:val="20"/>
              </w:rPr>
            </w:pPr>
            <w:r>
              <w:rPr>
                <w:sz w:val="20"/>
              </w:rPr>
              <w:t>-</w:t>
            </w:r>
          </w:p>
        </w:tc>
        <w:tc>
          <w:tcPr>
            <w:tcW w:w="633" w:type="dxa"/>
            <w:tcBorders>
              <w:top w:val="single" w:sz="4" w:space="0" w:color="auto"/>
              <w:left w:val="single" w:sz="4" w:space="0" w:color="auto"/>
              <w:bottom w:val="single" w:sz="4" w:space="0" w:color="auto"/>
              <w:right w:val="nil"/>
            </w:tcBorders>
            <w:noWrap/>
            <w:vAlign w:val="center"/>
          </w:tcPr>
          <w:p>
            <w:pPr>
              <w:tabs>
                <w:tab w:val="left" w:pos="13608"/>
              </w:tabs>
              <w:jc w:val="center"/>
              <w:rPr>
                <w:sz w:val="20"/>
              </w:rPr>
            </w:pPr>
            <w:r>
              <w:rPr>
                <w:sz w:val="20"/>
              </w:rPr>
              <w:t>796</w:t>
            </w:r>
          </w:p>
        </w:tc>
        <w:tc>
          <w:tcPr>
            <w:tcW w:w="1209" w:type="dxa"/>
            <w:tcBorders>
              <w:top w:val="single" w:sz="4" w:space="0" w:color="auto"/>
              <w:left w:val="single" w:sz="4" w:space="0" w:color="auto"/>
              <w:bottom w:val="single" w:sz="4" w:space="0" w:color="auto"/>
              <w:right w:val="single" w:sz="4" w:space="0" w:color="auto"/>
            </w:tcBorders>
            <w:noWrap/>
            <w:vAlign w:val="center"/>
          </w:tcPr>
          <w:p>
            <w:pPr>
              <w:tabs>
                <w:tab w:val="left" w:pos="13608"/>
              </w:tabs>
              <w:jc w:val="center"/>
              <w:rPr>
                <w:sz w:val="18"/>
              </w:rPr>
            </w:pPr>
            <w:r>
              <w:rPr>
                <w:sz w:val="18"/>
              </w:rPr>
              <w:t>Штука</w:t>
            </w:r>
          </w:p>
        </w:tc>
        <w:tc>
          <w:tcPr>
            <w:tcW w:w="768" w:type="dxa"/>
            <w:tcBorders>
              <w:top w:val="single" w:sz="4" w:space="0" w:color="auto"/>
              <w:left w:val="nil"/>
              <w:bottom w:val="single" w:sz="4" w:space="0" w:color="auto"/>
              <w:right w:val="single" w:sz="4" w:space="0" w:color="000000"/>
            </w:tcBorders>
            <w:vAlign w:val="center"/>
          </w:tcPr>
          <w:p>
            <w:pPr>
              <w:tabs>
                <w:tab w:val="left" w:pos="13608"/>
              </w:tabs>
              <w:jc w:val="center"/>
              <w:rPr>
                <w:sz w:val="18"/>
              </w:rPr>
            </w:pPr>
            <w:r>
              <w:rPr>
                <w:sz w:val="18"/>
              </w:rPr>
              <w:t>2</w:t>
            </w:r>
          </w:p>
        </w:tc>
      </w:tr>
    </w:tbl>
    <w:p>
      <w:pPr>
        <w:widowControl w:val="0"/>
        <w:shd w:val="clear" w:color="auto" w:fill="FFFFFF"/>
        <w:tabs>
          <w:tab w:val="left" w:pos="993"/>
        </w:tabs>
        <w:spacing w:after="200"/>
        <w:ind w:firstLine="567"/>
        <w:jc w:val="both"/>
        <w:rPr>
          <w:noProof/>
          <w:sz w:val="22"/>
          <w:szCs w:val="22"/>
        </w:rPr>
      </w:pPr>
    </w:p>
    <w:p>
      <w:pPr>
        <w:widowControl w:val="0"/>
        <w:shd w:val="clear" w:color="auto" w:fill="FFFFFF"/>
        <w:tabs>
          <w:tab w:val="left" w:pos="993"/>
        </w:tabs>
        <w:spacing w:after="200"/>
        <w:ind w:firstLine="567"/>
        <w:jc w:val="both"/>
        <w:rPr>
          <w:sz w:val="22"/>
          <w:szCs w:val="22"/>
        </w:rPr>
      </w:pPr>
      <w:r>
        <w:rPr>
          <w:noProof/>
          <w:sz w:val="22"/>
          <w:szCs w:val="22"/>
        </w:rPr>
        <w:t xml:space="preserve">1.5. </w:t>
      </w:r>
      <w:r>
        <w:rPr>
          <w:color w:val="000000"/>
          <w:sz w:val="22"/>
          <w:szCs w:val="22"/>
        </w:rPr>
        <w:t>Описание объекта закупки в соответствии с требованиями, указанными в части 1 статьи 33 Закона, должно содержать показатели, позволяющие определить соответствие закупаемых товара, работы, услуги установленным заказчиком требованиям.</w:t>
      </w:r>
    </w:p>
    <w:p>
      <w:pPr>
        <w:widowControl w:val="0"/>
        <w:shd w:val="clear" w:color="auto" w:fill="FFFFFF"/>
        <w:tabs>
          <w:tab w:val="left" w:pos="993"/>
        </w:tabs>
        <w:spacing w:after="200"/>
        <w:ind w:firstLine="567"/>
        <w:jc w:val="both"/>
        <w:rPr>
          <w:sz w:val="22"/>
          <w:szCs w:val="22"/>
        </w:rPr>
      </w:pPr>
      <w:r>
        <w:rPr>
          <w:sz w:val="22"/>
          <w:szCs w:val="22"/>
        </w:rPr>
        <w:t>При описании товара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Закона запрет, ограничение или преимущество, указываются характеристики товара российского происхождения.</w:t>
      </w:r>
    </w:p>
    <w:p>
      <w:pPr>
        <w:tabs>
          <w:tab w:val="left" w:pos="-5103"/>
          <w:tab w:val="left" w:pos="851"/>
        </w:tabs>
        <w:spacing w:before="120"/>
        <w:jc w:val="both"/>
        <w:rPr>
          <w:b/>
          <w:sz w:val="22"/>
          <w:szCs w:val="22"/>
        </w:rPr>
      </w:pPr>
      <w:r>
        <w:tab/>
      </w:r>
      <w:r>
        <w:rPr>
          <w:b/>
          <w:sz w:val="22"/>
          <w:szCs w:val="22"/>
        </w:rPr>
        <w:t>2. Требования к количеству, качеству товара, к его техническим и функциональным и эксплуатационным характеристикам</w:t>
      </w:r>
    </w:p>
    <w:p>
      <w:pPr>
        <w:spacing w:before="120" w:after="120"/>
        <w:jc w:val="both"/>
        <w:rPr>
          <w:b/>
          <w:sz w:val="22"/>
          <w:szCs w:val="22"/>
        </w:rPr>
      </w:pPr>
      <w:r>
        <w:rPr>
          <w:b/>
          <w:noProof/>
          <w:sz w:val="22"/>
          <w:szCs w:val="22"/>
        </w:rPr>
        <w:t xml:space="preserve">2.1. </w:t>
      </w:r>
      <w:r>
        <w:rPr>
          <w:b/>
          <w:bCs/>
          <w:sz w:val="22"/>
          <w:szCs w:val="22"/>
        </w:rPr>
        <w:t>Требования к качеству</w:t>
      </w:r>
      <w:r>
        <w:rPr>
          <w:b/>
          <w:sz w:val="22"/>
          <w:szCs w:val="22"/>
        </w:rPr>
        <w:t xml:space="preserve"> и безопасности товара</w:t>
      </w:r>
    </w:p>
    <w:p>
      <w:pPr>
        <w:numPr>
          <w:ilvl w:val="0"/>
          <w:numId w:val="18"/>
        </w:numPr>
        <w:tabs>
          <w:tab w:val="left" w:pos="851"/>
        </w:tabs>
        <w:ind w:left="0" w:firstLine="567"/>
        <w:jc w:val="both"/>
        <w:rPr>
          <w:sz w:val="22"/>
        </w:rPr>
      </w:pPr>
      <w:r>
        <w:rPr>
          <w:color w:val="000000"/>
          <w:sz w:val="22"/>
        </w:rPr>
        <w:t>Поставляемый товар должен быть</w:t>
      </w:r>
      <w:r>
        <w:rPr>
          <w:color w:val="000000"/>
          <w:sz w:val="22"/>
          <w:u w:val="single"/>
        </w:rPr>
        <w:t xml:space="preserve"> </w:t>
      </w:r>
      <w:r>
        <w:rPr>
          <w:sz w:val="22"/>
        </w:rPr>
        <w:t>новым (ранее не находившимся в использовании у поставщика и (или) у третьих лиц), не должен находиться в залоге, под арестом или под иным обременением.</w:t>
      </w:r>
    </w:p>
    <w:p>
      <w:pPr>
        <w:ind w:firstLine="567"/>
        <w:jc w:val="both"/>
        <w:rPr>
          <w:sz w:val="22"/>
        </w:rPr>
      </w:pPr>
      <w:r>
        <w:rPr>
          <w:sz w:val="22"/>
        </w:rPr>
        <w:t xml:space="preserve">2. Товар должен соответствовать требованиям к качеству, устанавливаемыми техническими регламентами, документами в области стандартизации, государственными стандартами, применяемыми для товаров такого рода. </w:t>
      </w:r>
      <w:r>
        <w:rPr>
          <w:sz w:val="22"/>
        </w:rPr>
        <w:tab/>
      </w:r>
    </w:p>
    <w:p>
      <w:pPr>
        <w:ind w:firstLine="567"/>
        <w:jc w:val="both"/>
        <w:rPr>
          <w:sz w:val="22"/>
        </w:rPr>
      </w:pPr>
      <w:r>
        <w:rPr>
          <w:sz w:val="22"/>
        </w:rPr>
        <w:t xml:space="preserve">3. </w:t>
      </w:r>
      <w:r>
        <w:rPr>
          <w:color w:val="000000"/>
          <w:sz w:val="22"/>
        </w:rPr>
        <w:t>Весь поставляемый товар должны быть зарегистрированы для обращения на территории РФ, сертифицированы или декларированы, полностью соответствовать стандартам качества, сертификату соответствия, техническому паспорту завода-изготовителя или технической спецификации завода-изготовителя. Товары должны быть произведены при соблюдении требований нормативных документов (ГОСТ, стандарты, технические условия, сертификаты качества, утвержденные в установленном порядке для данного вида товара, и т.п.) в условиях их серийного производства.</w:t>
      </w:r>
    </w:p>
    <w:p>
      <w:pPr>
        <w:ind w:firstLine="567"/>
        <w:jc w:val="both"/>
        <w:rPr>
          <w:rFonts w:eastAsia="Calibri"/>
          <w:sz w:val="22"/>
        </w:rPr>
      </w:pPr>
      <w:r>
        <w:rPr>
          <w:rFonts w:eastAsia="Calibri"/>
          <w:color w:val="000000"/>
          <w:sz w:val="22"/>
        </w:rPr>
        <w:t xml:space="preserve">Качество товара подтверждается соответствием техническим характеристикам, а также предоставлением действующих регистрационных удостоверений и </w:t>
      </w:r>
      <w:r>
        <w:rPr>
          <w:rFonts w:eastAsia="Calibri"/>
          <w:sz w:val="22"/>
        </w:rPr>
        <w:t>сертификатов и/или деклараций соответствия в соответствии с постановлением Правительства Российской Федерации от 23 декабря 2021 года N 2425 «Об утверждении </w:t>
      </w:r>
      <w:hyperlink r:id="rId15" w:anchor="7DM0K8" w:history="1">
        <w:r>
          <w:rPr>
            <w:rFonts w:eastAsia="Calibri"/>
            <w:color w:val="0000FF"/>
            <w:sz w:val="22"/>
            <w:u w:val="single"/>
          </w:rPr>
          <w:t>единого перечня продукции, подлежащей обязательной сертификации</w:t>
        </w:r>
      </w:hyperlink>
      <w:r>
        <w:rPr>
          <w:rFonts w:eastAsia="Calibri"/>
          <w:sz w:val="22"/>
        </w:rPr>
        <w:t>, и </w:t>
      </w:r>
      <w:hyperlink r:id="rId16" w:anchor="7DO0K9" w:history="1">
        <w:r>
          <w:rPr>
            <w:rFonts w:eastAsia="Calibri"/>
            <w:color w:val="0000FF"/>
            <w:sz w:val="22"/>
            <w:u w:val="single"/>
          </w:rPr>
          <w:t>единого перечня продукции, подлежащей декларированию соответствия</w:t>
        </w:r>
      </w:hyperlink>
      <w:r>
        <w:rPr>
          <w:rFonts w:eastAsia="Calibri"/>
          <w:sz w:val="22"/>
        </w:rPr>
        <w:t xml:space="preserve">, внесении изменений </w:t>
      </w:r>
      <w:r>
        <w:rPr>
          <w:rFonts w:eastAsia="Calibri"/>
          <w:sz w:val="22"/>
        </w:rPr>
        <w:lastRenderedPageBreak/>
        <w:t>в </w:t>
      </w:r>
      <w:hyperlink r:id="rId17" w:anchor="7D20K3" w:history="1">
        <w:r>
          <w:rPr>
            <w:rFonts w:eastAsia="Calibri"/>
            <w:color w:val="0000FF"/>
            <w:sz w:val="22"/>
            <w:u w:val="single"/>
          </w:rPr>
          <w:t>постановление Правительства Российской Федерации от 31 декабря 2020 г. N 2467</w:t>
        </w:r>
      </w:hyperlink>
      <w:r>
        <w:rPr>
          <w:rFonts w:eastAsia="Calibri"/>
          <w:sz w:val="22"/>
        </w:rPr>
        <w:t> и признании утратившими силу некоторых актов Правительства Российской Федерации».</w:t>
      </w:r>
    </w:p>
    <w:p>
      <w:pPr>
        <w:ind w:firstLine="708"/>
        <w:jc w:val="both"/>
        <w:rPr>
          <w:rFonts w:eastAsia="Calibri"/>
          <w:sz w:val="22"/>
        </w:rPr>
      </w:pPr>
      <w:r>
        <w:rPr>
          <w:rFonts w:eastAsia="Calibri"/>
          <w:sz w:val="22"/>
        </w:rPr>
        <w:t>Заказчик вправе, уведомив Поставщика, отказаться от принятия товара ненадлежащего качества.</w:t>
      </w:r>
    </w:p>
    <w:p>
      <w:pPr>
        <w:keepNext/>
        <w:keepLines/>
        <w:jc w:val="both"/>
        <w:rPr>
          <w:b/>
          <w:sz w:val="22"/>
          <w:szCs w:val="22"/>
        </w:rPr>
      </w:pPr>
      <w:r>
        <w:rPr>
          <w:b/>
          <w:sz w:val="22"/>
          <w:szCs w:val="22"/>
        </w:rPr>
        <w:t>2.2. Требования к таре и упаковке товара</w:t>
      </w:r>
    </w:p>
    <w:p>
      <w:pPr>
        <w:tabs>
          <w:tab w:val="left" w:pos="993"/>
        </w:tabs>
        <w:ind w:firstLine="567"/>
        <w:jc w:val="both"/>
        <w:rPr>
          <w:sz w:val="22"/>
          <w:szCs w:val="22"/>
        </w:rPr>
      </w:pPr>
      <w:r>
        <w:rPr>
          <w:sz w:val="22"/>
          <w:szCs w:val="22"/>
        </w:rPr>
        <w:t>1. Упаковка должна предохранять Товар от всякого рода повреждений, утраты товарного вида и коррозии при его поставке. Поставщик несет ответственность за утрату и всякого рода повреждение Товара вследствие его некачественной упаковки или консервации, или несоблюдения инструкции по хранению Товара.</w:t>
      </w:r>
    </w:p>
    <w:p>
      <w:pPr>
        <w:tabs>
          <w:tab w:val="left" w:pos="360"/>
        </w:tabs>
        <w:ind w:firstLine="567"/>
        <w:jc w:val="both"/>
        <w:rPr>
          <w:sz w:val="22"/>
          <w:szCs w:val="22"/>
        </w:rPr>
      </w:pPr>
      <w:r>
        <w:rPr>
          <w:sz w:val="22"/>
          <w:szCs w:val="22"/>
        </w:rPr>
        <w:t>2.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pPr>
        <w:jc w:val="both"/>
        <w:rPr>
          <w:b/>
          <w:bCs/>
          <w:sz w:val="22"/>
          <w:szCs w:val="22"/>
        </w:rPr>
      </w:pPr>
      <w:r>
        <w:rPr>
          <w:b/>
          <w:bCs/>
          <w:sz w:val="22"/>
          <w:szCs w:val="22"/>
        </w:rPr>
        <w:t>2.3. Требования к отгрузке, доставке и установке (монтажу) товара</w:t>
      </w:r>
    </w:p>
    <w:p>
      <w:pPr>
        <w:tabs>
          <w:tab w:val="left" w:pos="9911"/>
        </w:tabs>
        <w:ind w:firstLine="567"/>
        <w:jc w:val="both"/>
        <w:rPr>
          <w:sz w:val="22"/>
          <w:szCs w:val="22"/>
        </w:rPr>
      </w:pPr>
      <w:r>
        <w:rPr>
          <w:sz w:val="22"/>
          <w:szCs w:val="22"/>
        </w:rPr>
        <w:sym w:font="Symbol" w:char="F0B7"/>
      </w:r>
      <w:r>
        <w:rPr>
          <w:sz w:val="22"/>
          <w:szCs w:val="22"/>
        </w:rPr>
        <w:t xml:space="preserve"> Доставка товара осуществляется транспортом Поставщика за счет Поставщика.</w:t>
      </w:r>
    </w:p>
    <w:p>
      <w:pPr>
        <w:jc w:val="both"/>
        <w:rPr>
          <w:sz w:val="22"/>
          <w:szCs w:val="22"/>
        </w:rPr>
      </w:pPr>
      <w:r>
        <w:rPr>
          <w:sz w:val="22"/>
          <w:szCs w:val="22"/>
        </w:rPr>
        <w:t xml:space="preserve">          </w:t>
      </w:r>
      <w:r>
        <w:rPr>
          <w:sz w:val="22"/>
          <w:szCs w:val="22"/>
        </w:rPr>
        <w:sym w:font="Symbol" w:char="F0B7"/>
      </w:r>
      <w:r>
        <w:rPr>
          <w:sz w:val="22"/>
          <w:szCs w:val="22"/>
        </w:rPr>
        <w:t xml:space="preserve"> Погрузо-разгрузочные работы по доставке товара осуществляются силами Поставщика.</w:t>
      </w:r>
    </w:p>
    <w:p>
      <w:pPr>
        <w:ind w:firstLine="567"/>
        <w:jc w:val="both"/>
        <w:rPr>
          <w:sz w:val="22"/>
          <w:szCs w:val="22"/>
        </w:rPr>
      </w:pPr>
      <w:r>
        <w:rPr>
          <w:sz w:val="22"/>
          <w:szCs w:val="22"/>
        </w:rPr>
        <w:sym w:font="Symbol" w:char="F0B7"/>
      </w:r>
      <w:r>
        <w:rPr>
          <w:sz w:val="22"/>
          <w:szCs w:val="22"/>
        </w:rPr>
        <w:t xml:space="preserve"> 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согласовать с Заказчиком время доставки товара. </w:t>
      </w:r>
    </w:p>
    <w:p>
      <w:pPr>
        <w:ind w:firstLine="567"/>
        <w:jc w:val="both"/>
        <w:rPr>
          <w:sz w:val="22"/>
          <w:szCs w:val="22"/>
        </w:rPr>
      </w:pPr>
      <w:r>
        <w:rPr>
          <w:sz w:val="22"/>
          <w:szCs w:val="22"/>
        </w:rPr>
        <w:sym w:font="Symbol" w:char="F0B7"/>
      </w:r>
      <w:r>
        <w:rPr>
          <w:sz w:val="22"/>
          <w:szCs w:val="22"/>
        </w:rPr>
        <w:t xml:space="preserve"> В случаях, когда при доставке товара устанавливаются повреждение или порча товара, составляется акт, который подписывается представителем заказчика и представителем Поставщика. Поставщик должен обеспечить строгое соблюдение правил транспортировки Товаров, а также условий и сроков их хранения и реализации.</w:t>
      </w:r>
    </w:p>
    <w:p>
      <w:pPr>
        <w:ind w:firstLine="567"/>
        <w:jc w:val="both"/>
        <w:rPr>
          <w:sz w:val="22"/>
          <w:szCs w:val="22"/>
        </w:rPr>
      </w:pPr>
      <w:r>
        <w:rPr>
          <w:sz w:val="22"/>
          <w:szCs w:val="22"/>
        </w:rPr>
        <w:sym w:font="Symbol" w:char="F0B7"/>
      </w:r>
      <w:r>
        <w:rPr>
          <w:sz w:val="22"/>
          <w:szCs w:val="22"/>
        </w:rPr>
        <w:t xml:space="preserve"> Поставщик должен обеспечивать Заказчика качественной продукцией в количестве, указанном в Заявке; при выявлении недопоставки продукции, восполнить недопоставленное количество товара в течение 1 (одного) дня с момента</w:t>
      </w:r>
      <w:r>
        <w:rPr>
          <w:szCs w:val="22"/>
        </w:rPr>
        <w:t xml:space="preserve"> </w:t>
      </w:r>
      <w:r>
        <w:rPr>
          <w:sz w:val="22"/>
          <w:szCs w:val="22"/>
        </w:rPr>
        <w:t xml:space="preserve">обнаружения недопоставки или с согласия Заказчика при поставке следующей партии в пределах срока действия Контракта. </w:t>
      </w:r>
    </w:p>
    <w:p>
      <w:pPr>
        <w:ind w:firstLine="567"/>
        <w:jc w:val="both"/>
        <w:rPr>
          <w:sz w:val="22"/>
          <w:szCs w:val="22"/>
        </w:rPr>
      </w:pPr>
      <w:r>
        <w:rPr>
          <w:sz w:val="22"/>
          <w:szCs w:val="22"/>
        </w:rPr>
        <w:t>Доставка товара осуществляется с предварительным уточнением времени поставки товара.</w:t>
      </w:r>
    </w:p>
    <w:p>
      <w:pPr>
        <w:keepNext/>
        <w:keepLines/>
        <w:jc w:val="both"/>
        <w:rPr>
          <w:b/>
          <w:sz w:val="22"/>
          <w:szCs w:val="22"/>
        </w:rPr>
      </w:pPr>
      <w:r>
        <w:rPr>
          <w:b/>
          <w:sz w:val="22"/>
          <w:szCs w:val="22"/>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pPr>
        <w:ind w:firstLine="567"/>
        <w:jc w:val="both"/>
        <w:rPr>
          <w:sz w:val="22"/>
          <w:szCs w:val="22"/>
        </w:rPr>
      </w:pPr>
      <w:r>
        <w:rPr>
          <w:sz w:val="22"/>
          <w:szCs w:val="22"/>
        </w:rPr>
        <w:t>3.1. Поставщик гарантирует, что поставляемый Товар соответствует требованиям, установленным Контрактом.</w:t>
      </w:r>
    </w:p>
    <w:p>
      <w:pPr>
        <w:ind w:firstLine="567"/>
        <w:jc w:val="both"/>
        <w:rPr>
          <w:sz w:val="22"/>
          <w:szCs w:val="22"/>
        </w:rPr>
      </w:pPr>
      <w:r>
        <w:rPr>
          <w:sz w:val="22"/>
          <w:szCs w:val="22"/>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pPr>
        <w:ind w:firstLine="567"/>
        <w:jc w:val="both"/>
        <w:rPr>
          <w:sz w:val="22"/>
          <w:szCs w:val="22"/>
        </w:rPr>
      </w:pPr>
      <w:r>
        <w:rPr>
          <w:sz w:val="22"/>
          <w:szCs w:val="22"/>
        </w:rPr>
        <w:t xml:space="preserve">3.2.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 </w:t>
      </w:r>
    </w:p>
    <w:p>
      <w:pPr>
        <w:ind w:firstLine="567"/>
        <w:jc w:val="both"/>
        <w:rPr>
          <w:sz w:val="22"/>
          <w:szCs w:val="22"/>
        </w:rPr>
      </w:pPr>
      <w:r>
        <w:rPr>
          <w:sz w:val="22"/>
          <w:szCs w:val="22"/>
        </w:rPr>
        <w:t xml:space="preserve">3.3. Поставщик гарантирует полное соответствие поставляемого Товара условиям Контракта, устранение неисправностей, связанных с дефектами производства. Если с поставкой товара требуется сборка, для нормальной работы товара, Поставщик обязан обеспечить своими силами за свой счет сборку, установку, монтаж, наладка поставляемого товара. </w:t>
      </w:r>
    </w:p>
    <w:p>
      <w:pPr>
        <w:ind w:firstLine="567"/>
        <w:jc w:val="both"/>
        <w:rPr>
          <w:sz w:val="22"/>
          <w:szCs w:val="22"/>
        </w:rPr>
      </w:pPr>
      <w:r>
        <w:rPr>
          <w:sz w:val="22"/>
          <w:szCs w:val="22"/>
        </w:rPr>
        <w:t xml:space="preserve">3.4. </w:t>
      </w:r>
      <w:r>
        <w:rPr>
          <w:b/>
          <w:sz w:val="22"/>
          <w:szCs w:val="22"/>
        </w:rPr>
        <w:t>Гарантия Поставщика на поставленный Товар составляет 12 месяцев</w:t>
      </w:r>
      <w:r>
        <w:rPr>
          <w:sz w:val="22"/>
          <w:szCs w:val="22"/>
        </w:rPr>
        <w:t>. Гарантия производителя на Товар составляет 12 месяцев. Гарантийный срок начинает исчисляться со дня подписания соответствующего документа о приемке Товара</w:t>
      </w:r>
      <w:r>
        <w:rPr>
          <w:bCs/>
          <w:sz w:val="22"/>
          <w:szCs w:val="22"/>
        </w:rPr>
        <w:t>.</w:t>
      </w:r>
      <w:r>
        <w:rPr>
          <w:sz w:val="22"/>
          <w:szCs w:val="22"/>
        </w:rPr>
        <w:t xml:space="preserve"> </w:t>
      </w:r>
    </w:p>
    <w:p>
      <w:pPr>
        <w:ind w:firstLine="567"/>
        <w:jc w:val="both"/>
        <w:rPr>
          <w:sz w:val="22"/>
          <w:szCs w:val="22"/>
        </w:rPr>
      </w:pPr>
      <w:r>
        <w:rPr>
          <w:sz w:val="22"/>
          <w:szCs w:val="22"/>
        </w:rPr>
        <w:t xml:space="preserve">3.5. Неисправный или дефектный Товар будет возвращен Поставщику за его счет </w:t>
      </w:r>
      <w:r>
        <w:rPr>
          <w:sz w:val="22"/>
          <w:szCs w:val="22"/>
        </w:rPr>
        <w:br/>
        <w:t>в сроки, согласованные Заказчиком и Поставщиком. В случае замены или исправления дефектного Товара гарантийный срок на данный Товар продлевается.</w:t>
      </w:r>
    </w:p>
    <w:p>
      <w:pPr>
        <w:ind w:firstLine="567"/>
        <w:jc w:val="both"/>
        <w:rPr>
          <w:sz w:val="22"/>
          <w:szCs w:val="22"/>
        </w:rPr>
      </w:pPr>
      <w:r>
        <w:rPr>
          <w:sz w:val="22"/>
          <w:szCs w:val="22"/>
        </w:rPr>
        <w:t>3.6. Поставщик не несет гарантийной ответственности за неполадки и неисправности Товара, если они произошли:</w:t>
      </w:r>
    </w:p>
    <w:p>
      <w:pPr>
        <w:ind w:firstLine="567"/>
        <w:jc w:val="both"/>
        <w:rPr>
          <w:sz w:val="22"/>
          <w:szCs w:val="22"/>
        </w:rPr>
      </w:pPr>
      <w:proofErr w:type="gramStart"/>
      <w:r>
        <w:rPr>
          <w:sz w:val="22"/>
          <w:szCs w:val="22"/>
        </w:rPr>
        <w:t>а</w:t>
      </w:r>
      <w:proofErr w:type="gramEnd"/>
      <w:r>
        <w:rPr>
          <w:sz w:val="22"/>
          <w:szCs w:val="22"/>
        </w:rPr>
        <w:t>) в результате внесения Заказчиком или третьей стороной модификаций или изменений Товара без письменного согласия Поставщика;</w:t>
      </w:r>
    </w:p>
    <w:p>
      <w:pPr>
        <w:ind w:firstLine="567"/>
        <w:jc w:val="both"/>
        <w:rPr>
          <w:sz w:val="22"/>
          <w:szCs w:val="22"/>
        </w:rPr>
      </w:pPr>
      <w:proofErr w:type="gramStart"/>
      <w:r>
        <w:rPr>
          <w:sz w:val="22"/>
          <w:szCs w:val="22"/>
        </w:rPr>
        <w:t>б</w:t>
      </w:r>
      <w:proofErr w:type="gramEnd"/>
      <w:r>
        <w:rPr>
          <w:sz w:val="22"/>
          <w:szCs w:val="22"/>
        </w:rPr>
        <w:t>)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pPr>
        <w:ind w:firstLine="567"/>
        <w:jc w:val="both"/>
        <w:rPr>
          <w:sz w:val="22"/>
          <w:szCs w:val="22"/>
        </w:rPr>
      </w:pPr>
    </w:p>
    <w:p>
      <w:pPr>
        <w:autoSpaceDE w:val="0"/>
        <w:autoSpaceDN w:val="0"/>
        <w:adjustRightInd w:val="0"/>
        <w:ind w:firstLine="540"/>
        <w:jc w:val="both"/>
        <w:rPr>
          <w:b/>
          <w:i/>
          <w:sz w:val="22"/>
          <w:szCs w:val="22"/>
        </w:rPr>
      </w:pPr>
      <w:r>
        <w:rPr>
          <w:b/>
          <w:sz w:val="22"/>
          <w:szCs w:val="22"/>
        </w:rPr>
        <w:t>4. Требования энергетической эффективности товаров, работ, услуг</w:t>
      </w:r>
    </w:p>
    <w:p>
      <w:pPr>
        <w:autoSpaceDE w:val="0"/>
        <w:autoSpaceDN w:val="0"/>
        <w:adjustRightInd w:val="0"/>
        <w:rPr>
          <w:sz w:val="22"/>
          <w:szCs w:val="22"/>
        </w:rPr>
      </w:pPr>
      <w:r>
        <w:rPr>
          <w:sz w:val="22"/>
          <w:szCs w:val="22"/>
        </w:rPr>
        <w:t xml:space="preserve">При поставке товара Поставщик должен руководствоваться: </w:t>
      </w:r>
    </w:p>
    <w:p>
      <w:pPr>
        <w:autoSpaceDE w:val="0"/>
        <w:autoSpaceDN w:val="0"/>
        <w:adjustRightInd w:val="0"/>
        <w:jc w:val="both"/>
        <w:rPr>
          <w:sz w:val="22"/>
          <w:szCs w:val="22"/>
        </w:rPr>
      </w:pPr>
      <w:r>
        <w:rPr>
          <w:sz w:val="22"/>
          <w:szCs w:val="22"/>
        </w:rPr>
        <w:lastRenderedPageBreak/>
        <w:t>- Федеральным законом от 23.11.2009 г. № 261-ФЗ «Об энергосбережении и о повышении энергетической эффективности»;</w:t>
      </w:r>
    </w:p>
    <w:p>
      <w:pPr>
        <w:autoSpaceDE w:val="0"/>
        <w:autoSpaceDN w:val="0"/>
        <w:adjustRightInd w:val="0"/>
        <w:jc w:val="both"/>
        <w:rPr>
          <w:sz w:val="22"/>
          <w:szCs w:val="22"/>
        </w:rPr>
      </w:pPr>
      <w:r>
        <w:rPr>
          <w:sz w:val="22"/>
          <w:szCs w:val="22"/>
        </w:rPr>
        <w:t>- 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(далее – Правила);</w:t>
      </w:r>
    </w:p>
    <w:p>
      <w:pPr>
        <w:autoSpaceDE w:val="0"/>
        <w:autoSpaceDN w:val="0"/>
        <w:adjustRightInd w:val="0"/>
        <w:jc w:val="both"/>
        <w:rPr>
          <w:sz w:val="22"/>
          <w:szCs w:val="22"/>
        </w:rPr>
      </w:pPr>
      <w:r>
        <w:rPr>
          <w:sz w:val="22"/>
          <w:szCs w:val="22"/>
        </w:rPr>
        <w:t>- приказом Министерства экономического развития Российской Федерации от 22.03.2021 N 131 "О требованиях энергетической эффективности в отношении товаров, указанных в приложении к правилам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 постановлением правительства Российской Федерации от 31 декабря 2009 г. N 1221".</w:t>
      </w:r>
    </w:p>
    <w:p>
      <w:pPr>
        <w:autoSpaceDE w:val="0"/>
        <w:autoSpaceDN w:val="0"/>
        <w:adjustRightInd w:val="0"/>
        <w:rPr>
          <w:sz w:val="22"/>
          <w:szCs w:val="22"/>
        </w:rPr>
      </w:pPr>
    </w:p>
    <w:p>
      <w:pPr>
        <w:jc w:val="center"/>
        <w:rPr>
          <w:b/>
          <w:sz w:val="22"/>
          <w:szCs w:val="22"/>
          <w:lang w:eastAsia="en-US"/>
        </w:rPr>
      </w:pPr>
      <w:r>
        <w:rPr>
          <w:b/>
          <w:sz w:val="22"/>
          <w:szCs w:val="22"/>
          <w:lang w:eastAsia="en-US"/>
        </w:rPr>
        <w:t>5. Место доставки товара, являющегося предметом контракта, место выполнения работ или оказания услуг, являющихся предметом контракта, сроки поставки товара или завершения работы, график оказания услуг</w:t>
      </w:r>
    </w:p>
    <w:p>
      <w:pPr>
        <w:jc w:val="center"/>
        <w:rPr>
          <w:b/>
          <w:sz w:val="22"/>
          <w:szCs w:val="22"/>
          <w:lang w:eastAsia="en-US"/>
        </w:rPr>
      </w:pPr>
    </w:p>
    <w:p>
      <w:pPr>
        <w:suppressAutoHyphens/>
        <w:autoSpaceDE w:val="0"/>
        <w:autoSpaceDN w:val="0"/>
        <w:adjustRightInd w:val="0"/>
        <w:ind w:firstLine="567"/>
        <w:jc w:val="both"/>
        <w:rPr>
          <w:sz w:val="22"/>
          <w:szCs w:val="22"/>
          <w:lang w:eastAsia="en-US"/>
        </w:rPr>
      </w:pPr>
      <w:r>
        <w:rPr>
          <w:sz w:val="22"/>
          <w:szCs w:val="22"/>
          <w:lang w:eastAsia="en-US"/>
        </w:rPr>
        <w:t xml:space="preserve">5.1. Место доставки товара: </w:t>
      </w:r>
      <w:r>
        <w:rPr>
          <w:sz w:val="22"/>
          <w:szCs w:val="22"/>
        </w:rPr>
        <w:t xml:space="preserve">Санкт-Петербург, ул. Зои Космодемьянской, дом 3. </w:t>
      </w:r>
    </w:p>
    <w:p>
      <w:pPr>
        <w:suppressAutoHyphens/>
        <w:autoSpaceDE w:val="0"/>
        <w:autoSpaceDN w:val="0"/>
        <w:adjustRightInd w:val="0"/>
        <w:ind w:firstLine="567"/>
        <w:jc w:val="both"/>
        <w:rPr>
          <w:sz w:val="22"/>
          <w:szCs w:val="22"/>
          <w:lang w:eastAsia="en-US"/>
        </w:rPr>
      </w:pPr>
      <w:r>
        <w:rPr>
          <w:sz w:val="22"/>
          <w:szCs w:val="22"/>
          <w:lang w:eastAsia="en-US"/>
        </w:rPr>
        <w:t xml:space="preserve">5.2. Сроки поставки товара: </w:t>
      </w:r>
      <w:r>
        <w:rPr>
          <w:b/>
          <w:sz w:val="22"/>
          <w:szCs w:val="22"/>
          <w:u w:val="single"/>
          <w:lang w:eastAsia="en-US"/>
        </w:rPr>
        <w:t>поставка осуществляется в течении 5 (рабочих) дней, с даты направления заявки Заказчиком.</w:t>
      </w:r>
      <w:r>
        <w:rPr>
          <w:sz w:val="22"/>
          <w:szCs w:val="22"/>
          <w:lang w:eastAsia="en-US"/>
        </w:rPr>
        <w:t xml:space="preserve"> Заявка подается любым доступным способом (почтовое отправление, телеграмма, </w:t>
      </w:r>
      <w:proofErr w:type="spellStart"/>
      <w:r>
        <w:rPr>
          <w:sz w:val="22"/>
          <w:szCs w:val="22"/>
          <w:lang w:eastAsia="en-US"/>
        </w:rPr>
        <w:t>факсограмма</w:t>
      </w:r>
      <w:proofErr w:type="spellEnd"/>
      <w:r>
        <w:rPr>
          <w:sz w:val="22"/>
          <w:szCs w:val="22"/>
          <w:lang w:eastAsia="en-US"/>
        </w:rPr>
        <w:t>, телефонограмма, электронная почта). Поставщик обязан согласовать дату и время поставки с Заказчиком. Заявка направляется не позднее 20 (двадцати) рабочих дней с момента заключения Контракта.</w:t>
      </w:r>
    </w:p>
    <w:p>
      <w:pPr>
        <w:suppressAutoHyphens/>
        <w:autoSpaceDE w:val="0"/>
        <w:autoSpaceDN w:val="0"/>
        <w:adjustRightInd w:val="0"/>
        <w:ind w:firstLine="567"/>
        <w:jc w:val="both"/>
        <w:rPr>
          <w:sz w:val="22"/>
          <w:szCs w:val="22"/>
          <w:lang w:eastAsia="en-US"/>
        </w:rPr>
      </w:pPr>
      <w:r>
        <w:rPr>
          <w:sz w:val="22"/>
          <w:szCs w:val="22"/>
          <w:lang w:eastAsia="en-US"/>
        </w:rP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разгрузку, подъем на этаж, сборку и установку, монтаж поставляемого Товара. </w:t>
      </w:r>
    </w:p>
    <w:p>
      <w:pPr>
        <w:suppressAutoHyphens/>
        <w:autoSpaceDE w:val="0"/>
        <w:autoSpaceDN w:val="0"/>
        <w:adjustRightInd w:val="0"/>
        <w:ind w:firstLine="567"/>
        <w:jc w:val="both"/>
        <w:rPr>
          <w:sz w:val="22"/>
          <w:szCs w:val="22"/>
          <w:lang w:eastAsia="en-US"/>
        </w:rPr>
      </w:pPr>
      <w:r>
        <w:rPr>
          <w:sz w:val="22"/>
          <w:szCs w:val="22"/>
          <w:lang w:eastAsia="en-US"/>
        </w:rPr>
        <w:t>5.2.1. Доставка и разгрузка товара, подъем на этаж, осуществляется силами и средствами Поставщика. Время и день передачи товара согласовывается между Сторонами не менее чем за 1 (один) рабочий день до даты поставки. Поставка осуществляется по согласованию с Заказчиком.</w:t>
      </w:r>
    </w:p>
    <w:p>
      <w:pPr>
        <w:suppressAutoHyphens/>
        <w:autoSpaceDE w:val="0"/>
        <w:autoSpaceDN w:val="0"/>
        <w:adjustRightInd w:val="0"/>
        <w:ind w:firstLine="567"/>
        <w:jc w:val="both"/>
        <w:rPr>
          <w:sz w:val="22"/>
          <w:szCs w:val="22"/>
          <w:lang w:eastAsia="en-US"/>
        </w:rPr>
      </w:pPr>
    </w:p>
    <w:p>
      <w:pPr>
        <w:jc w:val="both"/>
        <w:rPr>
          <w:sz w:val="22"/>
          <w:szCs w:val="22"/>
        </w:rPr>
      </w:pPr>
    </w:p>
    <w:p>
      <w:pPr>
        <w:jc w:val="both"/>
        <w:rPr>
          <w:sz w:val="22"/>
          <w:szCs w:val="22"/>
        </w:rPr>
      </w:pPr>
    </w:p>
    <w:p>
      <w:pPr>
        <w:jc w:val="both"/>
        <w:rPr>
          <w:sz w:val="22"/>
          <w:szCs w:val="22"/>
        </w:rPr>
      </w:pPr>
    </w:p>
    <w:p>
      <w:pPr>
        <w:jc w:val="both"/>
        <w:rPr>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31"/>
        <w:gridCol w:w="1402"/>
        <w:gridCol w:w="3456"/>
      </w:tblGrid>
      <w:tr>
        <w:tc>
          <w:tcPr>
            <w:tcW w:w="3931" w:type="dxa"/>
            <w:vAlign w:val="bottom"/>
          </w:tcPr>
          <w:p>
            <w:pPr>
              <w:widowControl w:val="0"/>
              <w:autoSpaceDE w:val="0"/>
              <w:autoSpaceDN w:val="0"/>
              <w:jc w:val="both"/>
              <w:rPr>
                <w:sz w:val="22"/>
                <w:szCs w:val="22"/>
              </w:rPr>
            </w:pPr>
            <w:r>
              <w:rPr>
                <w:sz w:val="22"/>
                <w:szCs w:val="22"/>
              </w:rPr>
              <w:t>Художественный руководитель СПБ ГБУК «Театр у Нарвских ворот»</w:t>
            </w:r>
          </w:p>
          <w:p>
            <w:pPr>
              <w:widowControl w:val="0"/>
              <w:autoSpaceDE w:val="0"/>
              <w:autoSpaceDN w:val="0"/>
              <w:jc w:val="both"/>
              <w:rPr>
                <w:sz w:val="22"/>
                <w:szCs w:val="22"/>
              </w:rPr>
            </w:pPr>
          </w:p>
          <w:p>
            <w:pPr>
              <w:widowControl w:val="0"/>
              <w:autoSpaceDE w:val="0"/>
              <w:autoSpaceDN w:val="0"/>
              <w:jc w:val="both"/>
              <w:rPr>
                <w:sz w:val="22"/>
                <w:szCs w:val="22"/>
              </w:rPr>
            </w:pPr>
            <w:r>
              <w:rPr>
                <w:sz w:val="22"/>
                <w:szCs w:val="22"/>
              </w:rPr>
              <w:t xml:space="preserve">_____________________ В.М. </w:t>
            </w:r>
            <w:proofErr w:type="spellStart"/>
            <w:r>
              <w:rPr>
                <w:sz w:val="22"/>
                <w:szCs w:val="22"/>
              </w:rPr>
              <w:t>Лутц</w:t>
            </w:r>
            <w:proofErr w:type="spellEnd"/>
          </w:p>
          <w:p>
            <w:pPr>
              <w:widowControl w:val="0"/>
              <w:autoSpaceDE w:val="0"/>
              <w:autoSpaceDN w:val="0"/>
              <w:jc w:val="both"/>
              <w:rPr>
                <w:sz w:val="22"/>
                <w:szCs w:val="22"/>
              </w:rPr>
            </w:pPr>
            <w:r>
              <w:rPr>
                <w:sz w:val="22"/>
                <w:szCs w:val="22"/>
              </w:rPr>
              <w:t>(</w:t>
            </w:r>
            <w:proofErr w:type="spellStart"/>
            <w:r>
              <w:rPr>
                <w:sz w:val="22"/>
                <w:szCs w:val="22"/>
              </w:rPr>
              <w:t>м.п</w:t>
            </w:r>
            <w:proofErr w:type="spellEnd"/>
            <w:r>
              <w:rPr>
                <w:sz w:val="22"/>
                <w:szCs w:val="22"/>
              </w:rPr>
              <w:t>.)</w:t>
            </w:r>
          </w:p>
        </w:tc>
        <w:tc>
          <w:tcPr>
            <w:tcW w:w="1402" w:type="dxa"/>
          </w:tcPr>
          <w:p>
            <w:pPr>
              <w:widowControl w:val="0"/>
              <w:autoSpaceDE w:val="0"/>
              <w:autoSpaceDN w:val="0"/>
              <w:jc w:val="both"/>
              <w:rPr>
                <w:sz w:val="22"/>
                <w:szCs w:val="22"/>
              </w:rPr>
            </w:pPr>
          </w:p>
        </w:tc>
        <w:tc>
          <w:tcPr>
            <w:tcW w:w="3456" w:type="dxa"/>
            <w:vAlign w:val="bottom"/>
          </w:tcPr>
          <w:p>
            <w:pPr>
              <w:widowControl w:val="0"/>
              <w:autoSpaceDE w:val="0"/>
              <w:autoSpaceDN w:val="0"/>
              <w:jc w:val="both"/>
              <w:rPr>
                <w:sz w:val="22"/>
                <w:szCs w:val="22"/>
              </w:rPr>
            </w:pPr>
          </w:p>
          <w:p>
            <w:pPr>
              <w:widowControl w:val="0"/>
              <w:autoSpaceDE w:val="0"/>
              <w:autoSpaceDN w:val="0"/>
              <w:jc w:val="both"/>
              <w:rPr>
                <w:sz w:val="22"/>
                <w:szCs w:val="22"/>
              </w:rPr>
            </w:pPr>
          </w:p>
          <w:p>
            <w:pPr>
              <w:widowControl w:val="0"/>
              <w:autoSpaceDE w:val="0"/>
              <w:autoSpaceDN w:val="0"/>
              <w:jc w:val="both"/>
              <w:rPr>
                <w:sz w:val="22"/>
                <w:szCs w:val="22"/>
              </w:rPr>
            </w:pPr>
          </w:p>
          <w:p>
            <w:pPr>
              <w:widowControl w:val="0"/>
              <w:autoSpaceDE w:val="0"/>
              <w:autoSpaceDN w:val="0"/>
              <w:jc w:val="both"/>
              <w:rPr>
                <w:sz w:val="22"/>
                <w:szCs w:val="22"/>
              </w:rPr>
            </w:pPr>
          </w:p>
          <w:p>
            <w:pPr>
              <w:widowControl w:val="0"/>
              <w:autoSpaceDE w:val="0"/>
              <w:autoSpaceDN w:val="0"/>
              <w:jc w:val="both"/>
              <w:rPr>
                <w:sz w:val="22"/>
                <w:szCs w:val="22"/>
              </w:rPr>
            </w:pPr>
            <w:r>
              <w:rPr>
                <w:sz w:val="22"/>
                <w:szCs w:val="22"/>
              </w:rPr>
              <w:t xml:space="preserve">_________________  </w:t>
            </w:r>
          </w:p>
          <w:p>
            <w:pPr>
              <w:widowControl w:val="0"/>
              <w:autoSpaceDE w:val="0"/>
              <w:autoSpaceDN w:val="0"/>
              <w:jc w:val="both"/>
              <w:rPr>
                <w:sz w:val="22"/>
                <w:szCs w:val="22"/>
              </w:rPr>
            </w:pPr>
            <w:r>
              <w:rPr>
                <w:sz w:val="22"/>
                <w:szCs w:val="22"/>
              </w:rPr>
              <w:t>(</w:t>
            </w:r>
            <w:proofErr w:type="spellStart"/>
            <w:r>
              <w:rPr>
                <w:sz w:val="22"/>
                <w:szCs w:val="22"/>
              </w:rPr>
              <w:t>м.п</w:t>
            </w:r>
            <w:proofErr w:type="spellEnd"/>
            <w:r>
              <w:rPr>
                <w:sz w:val="22"/>
                <w:szCs w:val="22"/>
              </w:rPr>
              <w:t>.)</w:t>
            </w:r>
          </w:p>
        </w:tc>
      </w:tr>
      <w:tr>
        <w:tc>
          <w:tcPr>
            <w:tcW w:w="3931" w:type="dxa"/>
            <w:tcBorders>
              <w:top w:val="single" w:sz="4" w:space="0" w:color="auto"/>
            </w:tcBorders>
          </w:tcPr>
          <w:p>
            <w:pPr>
              <w:widowControl w:val="0"/>
              <w:autoSpaceDE w:val="0"/>
              <w:autoSpaceDN w:val="0"/>
              <w:jc w:val="both"/>
              <w:rPr>
                <w:sz w:val="22"/>
                <w:szCs w:val="22"/>
              </w:rPr>
            </w:pPr>
            <w:r>
              <w:rPr>
                <w:bCs/>
                <w:sz w:val="22"/>
                <w:szCs w:val="22"/>
              </w:rPr>
              <w:t>Контракт подписан усиленными электронными подписями лиц, имеющих право действовать от имени Заказчика и Поставщика</w:t>
            </w:r>
          </w:p>
        </w:tc>
        <w:tc>
          <w:tcPr>
            <w:tcW w:w="1402" w:type="dxa"/>
          </w:tcPr>
          <w:p>
            <w:pPr>
              <w:widowControl w:val="0"/>
              <w:autoSpaceDE w:val="0"/>
              <w:autoSpaceDN w:val="0"/>
              <w:jc w:val="both"/>
              <w:rPr>
                <w:sz w:val="22"/>
                <w:szCs w:val="22"/>
              </w:rPr>
            </w:pPr>
          </w:p>
        </w:tc>
        <w:tc>
          <w:tcPr>
            <w:tcW w:w="3456" w:type="dxa"/>
            <w:tcBorders>
              <w:top w:val="single" w:sz="4" w:space="0" w:color="auto"/>
            </w:tcBorders>
          </w:tcPr>
          <w:p>
            <w:pPr>
              <w:widowControl w:val="0"/>
              <w:autoSpaceDE w:val="0"/>
              <w:autoSpaceDN w:val="0"/>
              <w:jc w:val="both"/>
              <w:rPr>
                <w:sz w:val="22"/>
                <w:szCs w:val="22"/>
              </w:rPr>
            </w:pPr>
          </w:p>
        </w:tc>
      </w:tr>
    </w:tbl>
    <w:p>
      <w:pPr>
        <w:jc w:val="both"/>
        <w:rPr>
          <w:sz w:val="22"/>
          <w:szCs w:val="22"/>
        </w:rPr>
      </w:pPr>
    </w:p>
    <w:p>
      <w:pPr>
        <w:rPr>
          <w:sz w:val="22"/>
          <w:szCs w:val="22"/>
        </w:rPr>
      </w:pPr>
    </w:p>
    <w:p>
      <w:pPr>
        <w:rPr>
          <w:sz w:val="22"/>
          <w:szCs w:val="22"/>
        </w:rPr>
      </w:pPr>
    </w:p>
    <w:p>
      <w:pPr>
        <w:rPr>
          <w:sz w:val="22"/>
          <w:szCs w:val="22"/>
        </w:rPr>
      </w:pPr>
    </w:p>
    <w:p>
      <w:pPr>
        <w:rPr>
          <w:sz w:val="22"/>
          <w:szCs w:val="22"/>
        </w:rPr>
      </w:pPr>
    </w:p>
    <w:p>
      <w:pPr>
        <w:spacing w:after="200" w:line="276" w:lineRule="auto"/>
        <w:ind w:firstLine="709"/>
        <w:jc w:val="center"/>
        <w:rPr>
          <w:b/>
          <w:bCs/>
          <w:color w:val="000000"/>
        </w:rPr>
      </w:pPr>
    </w:p>
    <w:p>
      <w:pPr>
        <w:tabs>
          <w:tab w:val="left" w:pos="3150"/>
        </w:tabs>
        <w:rPr>
          <w:sz w:val="22"/>
          <w:szCs w:val="22"/>
        </w:rPr>
      </w:pPr>
    </w:p>
    <w:p>
      <w:pPr>
        <w:tabs>
          <w:tab w:val="left" w:pos="3150"/>
        </w:tabs>
        <w:rPr>
          <w:sz w:val="22"/>
          <w:szCs w:val="22"/>
        </w:rPr>
      </w:pPr>
    </w:p>
    <w:p>
      <w:pPr>
        <w:tabs>
          <w:tab w:val="left" w:pos="3150"/>
        </w:tabs>
        <w:rPr>
          <w:sz w:val="22"/>
          <w:szCs w:val="22"/>
        </w:rPr>
      </w:pPr>
    </w:p>
    <w:p>
      <w:pPr>
        <w:tabs>
          <w:tab w:val="left" w:pos="3150"/>
        </w:tabs>
        <w:rPr>
          <w:sz w:val="22"/>
          <w:szCs w:val="22"/>
        </w:rPr>
      </w:pPr>
    </w:p>
    <w:p>
      <w:pPr>
        <w:tabs>
          <w:tab w:val="left" w:pos="3150"/>
        </w:tabs>
        <w:rPr>
          <w:sz w:val="22"/>
          <w:szCs w:val="22"/>
        </w:rPr>
        <w:sectPr>
          <w:footerReference w:type="default" r:id="rId18"/>
          <w:footerReference w:type="first" r:id="rId19"/>
          <w:type w:val="continuous"/>
          <w:pgSz w:w="11906" w:h="16838"/>
          <w:pgMar w:top="567" w:right="566" w:bottom="794" w:left="1134" w:header="709" w:footer="709" w:gutter="0"/>
          <w:cols w:space="708"/>
          <w:docGrid w:linePitch="360"/>
        </w:sectPr>
      </w:pPr>
    </w:p>
    <w:p>
      <w:pPr>
        <w:jc w:val="right"/>
        <w:outlineLvl w:val="0"/>
        <w:rPr>
          <w:sz w:val="20"/>
        </w:rPr>
      </w:pPr>
    </w:p>
    <w:p>
      <w:pPr>
        <w:jc w:val="right"/>
        <w:outlineLvl w:val="0"/>
        <w:rPr>
          <w:sz w:val="20"/>
        </w:rPr>
      </w:pPr>
      <w:r>
        <w:rPr>
          <w:sz w:val="20"/>
        </w:rPr>
        <w:t>Приложение № 1 к описанию объекта закупки</w:t>
      </w:r>
    </w:p>
    <w:p>
      <w:pPr>
        <w:jc w:val="center"/>
        <w:outlineLvl w:val="0"/>
        <w:rPr>
          <w:b/>
          <w:sz w:val="20"/>
        </w:rPr>
      </w:pPr>
      <w:r>
        <w:rPr>
          <w:b/>
          <w:sz w:val="20"/>
        </w:rPr>
        <w:t>Требования к значениям показателей (характеристик) товара, позволяющие определить соответствие установленным заказчиком требованиям</w:t>
      </w:r>
    </w:p>
    <w:p>
      <w:pPr>
        <w:jc w:val="center"/>
        <w:outlineLvl w:val="0"/>
        <w:rPr>
          <w:b/>
          <w:sz w:val="20"/>
        </w:rPr>
      </w:pPr>
    </w:p>
    <w:p>
      <w:pPr>
        <w:outlineLvl w:val="0"/>
        <w:rPr>
          <w:b/>
          <w:i/>
          <w:sz w:val="20"/>
          <w:u w:val="single"/>
        </w:rPr>
      </w:pPr>
    </w:p>
    <w:tbl>
      <w:tblPr>
        <w:tblpPr w:leftFromText="180" w:rightFromText="180" w:vertAnchor="text" w:horzAnchor="page" w:tblpX="1137" w:tblpY="260"/>
        <w:tblOverlap w:val="never"/>
        <w:tblW w:w="15276" w:type="dxa"/>
        <w:tblLayout w:type="fixed"/>
        <w:tblLook w:val="04A0" w:firstRow="1" w:lastRow="0" w:firstColumn="1" w:lastColumn="0" w:noHBand="0" w:noVBand="1"/>
      </w:tblPr>
      <w:tblGrid>
        <w:gridCol w:w="521"/>
        <w:gridCol w:w="2355"/>
        <w:gridCol w:w="1134"/>
        <w:gridCol w:w="2902"/>
        <w:gridCol w:w="4820"/>
        <w:gridCol w:w="1559"/>
        <w:gridCol w:w="1134"/>
        <w:gridCol w:w="851"/>
      </w:tblGrid>
      <w:tr>
        <w:trPr>
          <w:trHeight w:val="131"/>
        </w:trPr>
        <w:tc>
          <w:tcPr>
            <w:tcW w:w="521" w:type="dxa"/>
            <w:vMerge w:val="restart"/>
            <w:tcBorders>
              <w:top w:val="single" w:sz="4" w:space="0" w:color="000000"/>
              <w:left w:val="single" w:sz="4" w:space="0" w:color="000000"/>
              <w:right w:val="single" w:sz="4" w:space="0" w:color="000000"/>
            </w:tcBorders>
            <w:vAlign w:val="center"/>
          </w:tcPr>
          <w:p>
            <w:pPr>
              <w:snapToGrid w:val="0"/>
              <w:jc w:val="center"/>
              <w:textAlignment w:val="baseline"/>
              <w:rPr>
                <w:rFonts w:eastAsia="Andale Sans UI"/>
                <w:sz w:val="18"/>
                <w:szCs w:val="18"/>
                <w:lang w:eastAsia="ja-JP" w:bidi="fa-IR"/>
              </w:rPr>
            </w:pPr>
            <w:r>
              <w:rPr>
                <w:rFonts w:eastAsia="Andale Sans UI"/>
                <w:sz w:val="18"/>
                <w:szCs w:val="18"/>
                <w:lang w:eastAsia="ja-JP" w:bidi="fa-IR"/>
              </w:rPr>
              <w:t>№ п/п</w:t>
            </w:r>
          </w:p>
        </w:tc>
        <w:tc>
          <w:tcPr>
            <w:tcW w:w="2355" w:type="dxa"/>
            <w:vMerge w:val="restart"/>
            <w:tcBorders>
              <w:top w:val="single" w:sz="4" w:space="0" w:color="000000"/>
              <w:left w:val="single" w:sz="4" w:space="0" w:color="000000"/>
              <w:right w:val="single" w:sz="4" w:space="0" w:color="000000"/>
            </w:tcBorders>
            <w:vAlign w:val="center"/>
          </w:tcPr>
          <w:p>
            <w:pPr>
              <w:snapToGrid w:val="0"/>
              <w:jc w:val="center"/>
              <w:textAlignment w:val="baseline"/>
              <w:rPr>
                <w:rFonts w:eastAsia="Andale Sans UI"/>
                <w:sz w:val="18"/>
                <w:szCs w:val="18"/>
                <w:lang w:val="de-DE" w:eastAsia="ja-JP" w:bidi="fa-IR"/>
              </w:rPr>
            </w:pPr>
            <w:r>
              <w:rPr>
                <w:rFonts w:eastAsia="Andale Sans UI"/>
                <w:sz w:val="18"/>
                <w:szCs w:val="18"/>
                <w:lang w:eastAsia="ja-JP" w:bidi="fa-IR"/>
              </w:rPr>
              <w:t>Наименование товара, работы, услуги</w:t>
            </w:r>
          </w:p>
        </w:tc>
        <w:tc>
          <w:tcPr>
            <w:tcW w:w="1134" w:type="dxa"/>
            <w:vMerge w:val="restart"/>
            <w:tcBorders>
              <w:top w:val="single" w:sz="4" w:space="0" w:color="000000"/>
              <w:left w:val="single" w:sz="4" w:space="0" w:color="000000"/>
              <w:right w:val="single" w:sz="4" w:space="0" w:color="000000"/>
            </w:tcBorders>
            <w:vAlign w:val="center"/>
          </w:tcPr>
          <w:p>
            <w:pPr>
              <w:snapToGrid w:val="0"/>
              <w:jc w:val="center"/>
              <w:textAlignment w:val="baseline"/>
              <w:rPr>
                <w:rFonts w:eastAsia="Andale Sans UI"/>
                <w:sz w:val="18"/>
                <w:szCs w:val="18"/>
                <w:lang w:eastAsia="ja-JP" w:bidi="fa-IR"/>
              </w:rPr>
            </w:pPr>
            <w:r>
              <w:rPr>
                <w:rFonts w:eastAsia="Andale Sans UI"/>
                <w:sz w:val="18"/>
                <w:szCs w:val="18"/>
                <w:lang w:eastAsia="ja-JP" w:bidi="fa-IR"/>
              </w:rPr>
              <w:t>Код</w:t>
            </w:r>
            <w:r>
              <w:rPr>
                <w:rFonts w:eastAsia="Andale Sans UI"/>
                <w:sz w:val="18"/>
                <w:szCs w:val="18"/>
                <w:lang w:val="de-DE" w:eastAsia="ja-JP" w:bidi="fa-IR"/>
              </w:rPr>
              <w:t xml:space="preserve"> </w:t>
            </w:r>
            <w:proofErr w:type="gramStart"/>
            <w:r>
              <w:rPr>
                <w:rFonts w:eastAsia="Andale Sans UI"/>
                <w:sz w:val="18"/>
                <w:szCs w:val="18"/>
                <w:lang w:eastAsia="ja-JP" w:bidi="fa-IR"/>
              </w:rPr>
              <w:t>товара</w:t>
            </w:r>
            <w:r>
              <w:rPr>
                <w:rFonts w:eastAsia="Andale Sans UI"/>
                <w:sz w:val="18"/>
                <w:szCs w:val="18"/>
                <w:lang w:val="de-DE" w:eastAsia="ja-JP" w:bidi="fa-IR"/>
              </w:rPr>
              <w:t>,</w:t>
            </w:r>
            <w:r>
              <w:rPr>
                <w:rFonts w:eastAsia="Andale Sans UI"/>
                <w:sz w:val="18"/>
                <w:szCs w:val="18"/>
                <w:lang w:val="de-DE" w:eastAsia="ja-JP" w:bidi="fa-IR"/>
              </w:rPr>
              <w:br/>
            </w:r>
            <w:proofErr w:type="spellStart"/>
            <w:r>
              <w:rPr>
                <w:rFonts w:eastAsia="Andale Sans UI"/>
                <w:sz w:val="18"/>
                <w:szCs w:val="18"/>
                <w:lang w:val="de-DE" w:eastAsia="ja-JP" w:bidi="fa-IR"/>
              </w:rPr>
              <w:t>работы</w:t>
            </w:r>
            <w:proofErr w:type="spellEnd"/>
            <w:proofErr w:type="gramEnd"/>
            <w:r>
              <w:rPr>
                <w:rFonts w:eastAsia="Andale Sans UI"/>
                <w:sz w:val="18"/>
                <w:szCs w:val="18"/>
                <w:lang w:val="de-DE" w:eastAsia="ja-JP" w:bidi="fa-IR"/>
              </w:rPr>
              <w:t xml:space="preserve">, </w:t>
            </w:r>
            <w:proofErr w:type="spellStart"/>
            <w:r>
              <w:rPr>
                <w:rFonts w:eastAsia="Andale Sans UI"/>
                <w:sz w:val="18"/>
                <w:szCs w:val="18"/>
                <w:lang w:val="de-DE" w:eastAsia="ja-JP" w:bidi="fa-IR"/>
              </w:rPr>
              <w:t>услуги</w:t>
            </w:r>
            <w:proofErr w:type="spellEnd"/>
            <w:r>
              <w:rPr>
                <w:rFonts w:eastAsia="Andale Sans UI"/>
                <w:sz w:val="18"/>
                <w:szCs w:val="18"/>
                <w:lang w:val="de-DE" w:eastAsia="ja-JP" w:bidi="fa-IR"/>
              </w:rPr>
              <w:t xml:space="preserve"> </w:t>
            </w:r>
            <w:proofErr w:type="spellStart"/>
            <w:r>
              <w:rPr>
                <w:rFonts w:eastAsia="Andale Sans UI"/>
                <w:sz w:val="18"/>
                <w:szCs w:val="18"/>
                <w:lang w:val="de-DE" w:eastAsia="ja-JP" w:bidi="fa-IR"/>
              </w:rPr>
              <w:t>по</w:t>
            </w:r>
            <w:proofErr w:type="spellEnd"/>
            <w:r>
              <w:rPr>
                <w:rFonts w:eastAsia="Andale Sans UI"/>
                <w:sz w:val="18"/>
                <w:szCs w:val="18"/>
                <w:lang w:val="de-DE" w:eastAsia="ja-JP" w:bidi="fa-IR"/>
              </w:rPr>
              <w:t xml:space="preserve"> </w:t>
            </w:r>
            <w:r>
              <w:rPr>
                <w:rFonts w:eastAsia="Andale Sans UI"/>
                <w:sz w:val="18"/>
                <w:szCs w:val="18"/>
                <w:lang w:eastAsia="ja-JP" w:bidi="fa-IR"/>
              </w:rPr>
              <w:t>ОКПД2 / КТРУ</w:t>
            </w:r>
          </w:p>
        </w:tc>
        <w:tc>
          <w:tcPr>
            <w:tcW w:w="9281" w:type="dxa"/>
            <w:gridSpan w:val="3"/>
            <w:tcBorders>
              <w:top w:val="single" w:sz="4" w:space="0" w:color="000000"/>
              <w:left w:val="single" w:sz="4" w:space="0" w:color="000000"/>
              <w:bottom w:val="single" w:sz="4" w:space="0" w:color="000000"/>
              <w:right w:val="single" w:sz="4" w:space="0" w:color="auto"/>
            </w:tcBorders>
            <w:vAlign w:val="center"/>
          </w:tcPr>
          <w:p>
            <w:pPr>
              <w:snapToGrid w:val="0"/>
              <w:jc w:val="center"/>
              <w:textAlignment w:val="baseline"/>
              <w:rPr>
                <w:rFonts w:eastAsia="Andale Sans UI"/>
                <w:sz w:val="18"/>
                <w:szCs w:val="18"/>
                <w:lang w:eastAsia="ja-JP" w:bidi="fa-IR"/>
              </w:rPr>
            </w:pPr>
            <w:r>
              <w:rPr>
                <w:rFonts w:eastAsia="Andale Sans UI"/>
                <w:sz w:val="18"/>
                <w:szCs w:val="18"/>
                <w:lang w:eastAsia="ja-JP" w:bidi="fa-IR"/>
              </w:rPr>
              <w:t>Функциональные, технические, качественные, эксплуатационные характеристики</w:t>
            </w:r>
          </w:p>
        </w:tc>
        <w:tc>
          <w:tcPr>
            <w:tcW w:w="1134" w:type="dxa"/>
            <w:vMerge w:val="restart"/>
            <w:tcBorders>
              <w:top w:val="single" w:sz="4" w:space="0" w:color="auto"/>
              <w:left w:val="single" w:sz="4" w:space="0" w:color="auto"/>
              <w:right w:val="single" w:sz="4" w:space="0" w:color="auto"/>
            </w:tcBorders>
            <w:vAlign w:val="center"/>
          </w:tcPr>
          <w:p>
            <w:pPr>
              <w:snapToGrid w:val="0"/>
              <w:jc w:val="center"/>
              <w:textAlignment w:val="baseline"/>
              <w:rPr>
                <w:rFonts w:eastAsia="Andale Sans UI"/>
                <w:sz w:val="18"/>
                <w:szCs w:val="18"/>
                <w:lang w:eastAsia="ja-JP" w:bidi="fa-IR"/>
              </w:rPr>
            </w:pPr>
            <w:r>
              <w:rPr>
                <w:rFonts w:eastAsia="Andale Sans UI"/>
                <w:sz w:val="18"/>
                <w:szCs w:val="18"/>
                <w:lang w:eastAsia="ja-JP" w:bidi="fa-IR"/>
              </w:rPr>
              <w:t>Единица измерения</w:t>
            </w:r>
          </w:p>
        </w:tc>
        <w:tc>
          <w:tcPr>
            <w:tcW w:w="851" w:type="dxa"/>
            <w:vMerge w:val="restart"/>
            <w:tcBorders>
              <w:top w:val="single" w:sz="4" w:space="0" w:color="auto"/>
              <w:left w:val="single" w:sz="4" w:space="0" w:color="auto"/>
              <w:right w:val="single" w:sz="4" w:space="0" w:color="auto"/>
            </w:tcBorders>
            <w:vAlign w:val="center"/>
          </w:tcPr>
          <w:p>
            <w:pPr>
              <w:snapToGrid w:val="0"/>
              <w:jc w:val="center"/>
              <w:textAlignment w:val="baseline"/>
              <w:rPr>
                <w:rFonts w:eastAsia="Andale Sans UI"/>
                <w:sz w:val="18"/>
                <w:szCs w:val="18"/>
                <w:lang w:val="de-DE" w:eastAsia="ja-JP" w:bidi="fa-IR"/>
              </w:rPr>
            </w:pPr>
            <w:proofErr w:type="spellStart"/>
            <w:r>
              <w:rPr>
                <w:rFonts w:eastAsia="Andale Sans UI"/>
                <w:sz w:val="18"/>
                <w:szCs w:val="18"/>
                <w:lang w:val="de-DE" w:eastAsia="ja-JP" w:bidi="fa-IR"/>
              </w:rPr>
              <w:t>Количество</w:t>
            </w:r>
            <w:proofErr w:type="spellEnd"/>
          </w:p>
        </w:tc>
      </w:tr>
      <w:tr>
        <w:tc>
          <w:tcPr>
            <w:tcW w:w="521" w:type="dxa"/>
            <w:vMerge/>
            <w:tcBorders>
              <w:left w:val="single" w:sz="4" w:space="0" w:color="000000"/>
              <w:bottom w:val="single" w:sz="4" w:space="0" w:color="000000"/>
              <w:right w:val="single" w:sz="4" w:space="0" w:color="000000"/>
            </w:tcBorders>
          </w:tcPr>
          <w:p>
            <w:pPr>
              <w:snapToGrid w:val="0"/>
              <w:jc w:val="center"/>
              <w:textAlignment w:val="baseline"/>
              <w:rPr>
                <w:rFonts w:eastAsia="Andale Sans UI"/>
                <w:sz w:val="18"/>
                <w:szCs w:val="18"/>
                <w:lang w:eastAsia="ja-JP" w:bidi="fa-IR"/>
              </w:rPr>
            </w:pPr>
          </w:p>
        </w:tc>
        <w:tc>
          <w:tcPr>
            <w:tcW w:w="2355" w:type="dxa"/>
            <w:vMerge/>
            <w:tcBorders>
              <w:left w:val="single" w:sz="4" w:space="0" w:color="000000"/>
              <w:bottom w:val="single" w:sz="4" w:space="0" w:color="000000"/>
              <w:right w:val="single" w:sz="4" w:space="0" w:color="000000"/>
            </w:tcBorders>
          </w:tcPr>
          <w:p>
            <w:pPr>
              <w:snapToGrid w:val="0"/>
              <w:jc w:val="center"/>
              <w:textAlignment w:val="baseline"/>
              <w:rPr>
                <w:rFonts w:eastAsia="Andale Sans UI"/>
                <w:sz w:val="18"/>
                <w:szCs w:val="18"/>
                <w:lang w:eastAsia="ja-JP" w:bidi="fa-IR"/>
              </w:rPr>
            </w:pPr>
          </w:p>
        </w:tc>
        <w:tc>
          <w:tcPr>
            <w:tcW w:w="1134" w:type="dxa"/>
            <w:vMerge/>
            <w:tcBorders>
              <w:left w:val="single" w:sz="4" w:space="0" w:color="000000"/>
              <w:bottom w:val="single" w:sz="4" w:space="0" w:color="000000"/>
              <w:right w:val="single" w:sz="4" w:space="0" w:color="000000"/>
            </w:tcBorders>
          </w:tcPr>
          <w:p>
            <w:pPr>
              <w:snapToGrid w:val="0"/>
              <w:jc w:val="center"/>
              <w:textAlignment w:val="baseline"/>
              <w:rPr>
                <w:rFonts w:eastAsia="Andale Sans UI"/>
                <w:sz w:val="18"/>
                <w:szCs w:val="18"/>
                <w:lang w:eastAsia="ja-JP" w:bidi="fa-IR"/>
              </w:rPr>
            </w:pPr>
          </w:p>
        </w:tc>
        <w:tc>
          <w:tcPr>
            <w:tcW w:w="2902" w:type="dxa"/>
            <w:tcBorders>
              <w:top w:val="single" w:sz="4" w:space="0" w:color="000000"/>
              <w:left w:val="single" w:sz="4" w:space="0" w:color="000000"/>
              <w:bottom w:val="single" w:sz="4" w:space="0" w:color="000000"/>
              <w:right w:val="single" w:sz="4" w:space="0" w:color="000000"/>
            </w:tcBorders>
            <w:vAlign w:val="center"/>
          </w:tcPr>
          <w:p>
            <w:pPr>
              <w:jc w:val="center"/>
              <w:rPr>
                <w:rFonts w:eastAsia="Andale Sans UI"/>
                <w:sz w:val="18"/>
                <w:szCs w:val="18"/>
                <w:lang w:eastAsia="ja-JP" w:bidi="fa-IR"/>
              </w:rPr>
            </w:pPr>
            <w:r>
              <w:rPr>
                <w:bCs/>
                <w:color w:val="000000"/>
                <w:sz w:val="18"/>
                <w:szCs w:val="18"/>
              </w:rPr>
              <w:t>Наименование характеристики</w:t>
            </w:r>
          </w:p>
        </w:tc>
        <w:tc>
          <w:tcPr>
            <w:tcW w:w="4820" w:type="dxa"/>
            <w:tcBorders>
              <w:top w:val="single" w:sz="4" w:space="0" w:color="000000"/>
              <w:left w:val="single" w:sz="4" w:space="0" w:color="000000"/>
              <w:bottom w:val="single" w:sz="4" w:space="0" w:color="000000"/>
              <w:right w:val="single" w:sz="4" w:space="0" w:color="000000"/>
            </w:tcBorders>
            <w:vAlign w:val="center"/>
          </w:tcPr>
          <w:p>
            <w:pPr>
              <w:jc w:val="center"/>
              <w:rPr>
                <w:rFonts w:eastAsia="Andale Sans UI"/>
                <w:sz w:val="18"/>
                <w:szCs w:val="18"/>
                <w:lang w:eastAsia="ja-JP" w:bidi="fa-IR"/>
              </w:rPr>
            </w:pPr>
            <w:r>
              <w:rPr>
                <w:bCs/>
                <w:color w:val="000000"/>
                <w:sz w:val="18"/>
                <w:szCs w:val="18"/>
              </w:rPr>
              <w:t>Значение характеристики</w:t>
            </w:r>
          </w:p>
        </w:tc>
        <w:tc>
          <w:tcPr>
            <w:tcW w:w="1559" w:type="dxa"/>
            <w:tcBorders>
              <w:top w:val="single" w:sz="4" w:space="0" w:color="000000"/>
              <w:left w:val="single" w:sz="4" w:space="0" w:color="000000"/>
              <w:bottom w:val="single" w:sz="4" w:space="0" w:color="000000"/>
              <w:right w:val="single" w:sz="4" w:space="0" w:color="000000"/>
            </w:tcBorders>
            <w:vAlign w:val="center"/>
          </w:tcPr>
          <w:p>
            <w:pPr>
              <w:jc w:val="center"/>
              <w:rPr>
                <w:rFonts w:eastAsia="Andale Sans UI"/>
                <w:sz w:val="18"/>
                <w:szCs w:val="18"/>
                <w:lang w:eastAsia="ja-JP" w:bidi="fa-IR"/>
              </w:rPr>
            </w:pPr>
            <w:r>
              <w:rPr>
                <w:bCs/>
                <w:color w:val="000000"/>
                <w:sz w:val="18"/>
                <w:szCs w:val="18"/>
              </w:rPr>
              <w:t>Единица измерения характеристики</w:t>
            </w:r>
          </w:p>
        </w:tc>
        <w:tc>
          <w:tcPr>
            <w:tcW w:w="1134" w:type="dxa"/>
            <w:vMerge/>
            <w:tcBorders>
              <w:left w:val="single" w:sz="4" w:space="0" w:color="auto"/>
              <w:bottom w:val="single" w:sz="4" w:space="0" w:color="auto"/>
              <w:right w:val="single" w:sz="4" w:space="0" w:color="auto"/>
            </w:tcBorders>
          </w:tcPr>
          <w:p>
            <w:pPr>
              <w:snapToGrid w:val="0"/>
              <w:jc w:val="center"/>
              <w:textAlignment w:val="baseline"/>
              <w:rPr>
                <w:rFonts w:eastAsia="Andale Sans UI"/>
                <w:sz w:val="18"/>
                <w:szCs w:val="18"/>
                <w:lang w:eastAsia="ja-JP" w:bidi="fa-IR"/>
              </w:rPr>
            </w:pPr>
          </w:p>
        </w:tc>
        <w:tc>
          <w:tcPr>
            <w:tcW w:w="851" w:type="dxa"/>
            <w:vMerge/>
            <w:tcBorders>
              <w:left w:val="single" w:sz="4" w:space="0" w:color="auto"/>
              <w:bottom w:val="single" w:sz="4" w:space="0" w:color="auto"/>
              <w:right w:val="single" w:sz="4" w:space="0" w:color="auto"/>
            </w:tcBorders>
          </w:tcPr>
          <w:p>
            <w:pPr>
              <w:snapToGrid w:val="0"/>
              <w:jc w:val="center"/>
              <w:textAlignment w:val="baseline"/>
              <w:rPr>
                <w:rFonts w:eastAsia="Andale Sans UI"/>
                <w:sz w:val="18"/>
                <w:szCs w:val="18"/>
                <w:lang w:val="de-DE" w:eastAsia="ja-JP" w:bidi="fa-IR"/>
              </w:rPr>
            </w:pPr>
          </w:p>
        </w:tc>
      </w:tr>
      <w:tr>
        <w:trPr>
          <w:trHeight w:val="319"/>
        </w:trPr>
        <w:tc>
          <w:tcPr>
            <w:tcW w:w="521" w:type="dxa"/>
            <w:vMerge w:val="restart"/>
            <w:tcBorders>
              <w:top w:val="single" w:sz="4" w:space="0" w:color="000000"/>
              <w:left w:val="single" w:sz="4" w:space="0" w:color="000000"/>
              <w:right w:val="single" w:sz="4" w:space="0" w:color="000000"/>
            </w:tcBorders>
          </w:tcPr>
          <w:p>
            <w:pPr>
              <w:rPr>
                <w:color w:val="000000"/>
                <w:sz w:val="18"/>
                <w:szCs w:val="18"/>
              </w:rPr>
            </w:pPr>
            <w:r>
              <w:rPr>
                <w:color w:val="000000"/>
                <w:sz w:val="18"/>
                <w:szCs w:val="18"/>
              </w:rPr>
              <w:t>1</w:t>
            </w:r>
          </w:p>
        </w:tc>
        <w:tc>
          <w:tcPr>
            <w:tcW w:w="2355" w:type="dxa"/>
            <w:vMerge w:val="restart"/>
            <w:tcBorders>
              <w:top w:val="single" w:sz="4" w:space="0" w:color="000000"/>
              <w:left w:val="single" w:sz="4" w:space="0" w:color="000000"/>
              <w:right w:val="single" w:sz="4" w:space="0" w:color="000000"/>
            </w:tcBorders>
          </w:tcPr>
          <w:p>
            <w:pPr>
              <w:rPr>
                <w:color w:val="000000"/>
                <w:sz w:val="18"/>
                <w:szCs w:val="18"/>
              </w:rPr>
            </w:pPr>
            <w:r>
              <w:rPr>
                <w:color w:val="000000"/>
                <w:sz w:val="18"/>
                <w:szCs w:val="18"/>
              </w:rPr>
              <w:t xml:space="preserve">Наушники </w:t>
            </w:r>
          </w:p>
          <w:p>
            <w:pPr>
              <w:rPr>
                <w:color w:val="000000"/>
                <w:sz w:val="18"/>
                <w:szCs w:val="18"/>
              </w:rPr>
            </w:pPr>
            <w:proofErr w:type="spellStart"/>
            <w:r>
              <w:rPr>
                <w:color w:val="000000"/>
                <w:sz w:val="18"/>
                <w:szCs w:val="18"/>
                <w:lang w:val="en-US"/>
              </w:rPr>
              <w:t>Beyerdynamic</w:t>
            </w:r>
            <w:proofErr w:type="spellEnd"/>
            <w:r>
              <w:rPr>
                <w:color w:val="000000"/>
                <w:sz w:val="18"/>
                <w:szCs w:val="18"/>
              </w:rPr>
              <w:t xml:space="preserve"> </w:t>
            </w:r>
            <w:r>
              <w:rPr>
                <w:color w:val="000000"/>
                <w:sz w:val="18"/>
                <w:szCs w:val="18"/>
                <w:lang w:val="en-US"/>
              </w:rPr>
              <w:t>DT</w:t>
            </w:r>
            <w:r>
              <w:rPr>
                <w:color w:val="000000"/>
                <w:sz w:val="18"/>
                <w:szCs w:val="18"/>
              </w:rPr>
              <w:t xml:space="preserve"> 770 </w:t>
            </w:r>
            <w:r>
              <w:rPr>
                <w:color w:val="000000"/>
                <w:sz w:val="18"/>
                <w:szCs w:val="18"/>
                <w:lang w:val="en-US"/>
              </w:rPr>
              <w:t>PRO</w:t>
            </w:r>
            <w:r>
              <w:rPr>
                <w:color w:val="000000"/>
                <w:sz w:val="18"/>
                <w:szCs w:val="18"/>
              </w:rPr>
              <w:t xml:space="preserve"> 250 </w:t>
            </w:r>
            <w:r>
              <w:rPr>
                <w:color w:val="000000"/>
                <w:sz w:val="18"/>
                <w:szCs w:val="18"/>
                <w:lang w:val="en-US"/>
              </w:rPr>
              <w:t>Ohm</w:t>
            </w:r>
          </w:p>
          <w:p>
            <w:pPr>
              <w:rPr>
                <w:color w:val="000000"/>
                <w:sz w:val="18"/>
                <w:szCs w:val="18"/>
              </w:rPr>
            </w:pPr>
            <w:r>
              <w:rPr>
                <w:color w:val="000000"/>
                <w:sz w:val="18"/>
                <w:szCs w:val="18"/>
              </w:rPr>
              <w:t>Или «эквивалент»</w:t>
            </w:r>
            <w:bookmarkStart w:id="23" w:name="_GoBack"/>
            <w:bookmarkEnd w:id="23"/>
          </w:p>
        </w:tc>
        <w:tc>
          <w:tcPr>
            <w:tcW w:w="1134" w:type="dxa"/>
            <w:vMerge w:val="restart"/>
            <w:tcBorders>
              <w:top w:val="single" w:sz="4" w:space="0" w:color="000000"/>
              <w:left w:val="single" w:sz="4" w:space="0" w:color="000000"/>
              <w:right w:val="single" w:sz="4" w:space="0" w:color="000000"/>
            </w:tcBorders>
          </w:tcPr>
          <w:p>
            <w:pPr>
              <w:shd w:val="clear" w:color="auto" w:fill="FFFFFF"/>
              <w:rPr>
                <w:color w:val="000000"/>
                <w:sz w:val="16"/>
                <w:szCs w:val="16"/>
              </w:rPr>
            </w:pPr>
            <w:r>
              <w:rPr>
                <w:color w:val="000000"/>
                <w:sz w:val="16"/>
                <w:szCs w:val="16"/>
              </w:rPr>
              <w:t>26.40.42.120</w:t>
            </w:r>
          </w:p>
        </w:tc>
        <w:tc>
          <w:tcPr>
            <w:tcW w:w="2902" w:type="dxa"/>
            <w:tcBorders>
              <w:top w:val="single" w:sz="4" w:space="0" w:color="000000"/>
              <w:left w:val="single" w:sz="4" w:space="0" w:color="000000"/>
              <w:bottom w:val="single" w:sz="4" w:space="0" w:color="000000"/>
              <w:right w:val="single" w:sz="4" w:space="0" w:color="000000"/>
            </w:tcBorders>
          </w:tcPr>
          <w:p>
            <w:pPr>
              <w:rPr>
                <w:bCs/>
                <w:color w:val="000000"/>
                <w:sz w:val="18"/>
                <w:szCs w:val="18"/>
                <w:lang w:val="en-US"/>
              </w:rPr>
            </w:pPr>
            <w:r>
              <w:rPr>
                <w:sz w:val="18"/>
                <w:szCs w:val="18"/>
              </w:rPr>
              <w:t>Тип конструкции</w:t>
            </w:r>
          </w:p>
        </w:tc>
        <w:tc>
          <w:tcPr>
            <w:tcW w:w="4820" w:type="dxa"/>
            <w:tcBorders>
              <w:top w:val="single" w:sz="4" w:space="0" w:color="000000"/>
              <w:left w:val="single" w:sz="4" w:space="0" w:color="000000"/>
              <w:bottom w:val="single" w:sz="4" w:space="0" w:color="000000"/>
              <w:right w:val="single" w:sz="4" w:space="0" w:color="000000"/>
            </w:tcBorders>
          </w:tcPr>
          <w:p>
            <w:pPr>
              <w:rPr>
                <w:color w:val="000000"/>
                <w:sz w:val="18"/>
                <w:szCs w:val="18"/>
                <w:lang w:val="en-US"/>
              </w:rPr>
            </w:pPr>
            <w:r>
              <w:rPr>
                <w:sz w:val="18"/>
                <w:szCs w:val="18"/>
              </w:rPr>
              <w:t>Охватывающие</w:t>
            </w:r>
          </w:p>
        </w:tc>
        <w:tc>
          <w:tcPr>
            <w:tcW w:w="1559" w:type="dxa"/>
            <w:tcBorders>
              <w:top w:val="single" w:sz="4" w:space="0" w:color="000000"/>
              <w:left w:val="single" w:sz="4" w:space="0" w:color="000000"/>
              <w:bottom w:val="single" w:sz="4" w:space="0" w:color="000000"/>
              <w:right w:val="single" w:sz="4" w:space="0" w:color="000000"/>
            </w:tcBorders>
          </w:tcPr>
          <w:p>
            <w:pPr>
              <w:rPr>
                <w:bCs/>
                <w:color w:val="000000"/>
                <w:sz w:val="18"/>
                <w:szCs w:val="18"/>
                <w:lang w:val="en-US"/>
              </w:rPr>
            </w:pPr>
          </w:p>
        </w:tc>
        <w:tc>
          <w:tcPr>
            <w:tcW w:w="1134" w:type="dxa"/>
            <w:vMerge w:val="restart"/>
            <w:tcBorders>
              <w:top w:val="single" w:sz="4" w:space="0" w:color="auto"/>
              <w:left w:val="single" w:sz="4" w:space="0" w:color="000000"/>
              <w:right w:val="single" w:sz="4" w:space="0" w:color="000000"/>
            </w:tcBorders>
          </w:tcPr>
          <w:p>
            <w:pPr>
              <w:rPr>
                <w:color w:val="000000"/>
                <w:sz w:val="18"/>
                <w:szCs w:val="18"/>
              </w:rPr>
            </w:pPr>
            <w:proofErr w:type="gramStart"/>
            <w:r>
              <w:rPr>
                <w:color w:val="000000"/>
                <w:sz w:val="18"/>
                <w:szCs w:val="18"/>
              </w:rPr>
              <w:t>штука</w:t>
            </w:r>
            <w:proofErr w:type="gramEnd"/>
          </w:p>
        </w:tc>
        <w:tc>
          <w:tcPr>
            <w:tcW w:w="851" w:type="dxa"/>
            <w:vMerge w:val="restart"/>
            <w:tcBorders>
              <w:top w:val="single" w:sz="4" w:space="0" w:color="auto"/>
              <w:left w:val="single" w:sz="4" w:space="0" w:color="000000"/>
              <w:right w:val="single" w:sz="4" w:space="0" w:color="000000"/>
            </w:tcBorders>
          </w:tcPr>
          <w:p>
            <w:pPr>
              <w:rPr>
                <w:color w:val="000000"/>
                <w:sz w:val="18"/>
                <w:szCs w:val="18"/>
              </w:rPr>
            </w:pPr>
            <w:r>
              <w:rPr>
                <w:color w:val="000000"/>
                <w:sz w:val="18"/>
                <w:szCs w:val="18"/>
              </w:rPr>
              <w:t>2</w:t>
            </w:r>
          </w:p>
        </w:tc>
      </w:tr>
      <w:tr>
        <w:trPr>
          <w:trHeight w:val="457"/>
        </w:trPr>
        <w:tc>
          <w:tcPr>
            <w:tcW w:w="521" w:type="dxa"/>
            <w:vMerge/>
            <w:tcBorders>
              <w:left w:val="single" w:sz="4" w:space="0" w:color="000000"/>
              <w:right w:val="single" w:sz="4" w:space="0" w:color="000000"/>
            </w:tcBorders>
          </w:tcPr>
          <w:p>
            <w:pPr>
              <w:rPr>
                <w:color w:val="000000"/>
                <w:sz w:val="18"/>
                <w:szCs w:val="18"/>
                <w:lang w:val="en-US"/>
              </w:rPr>
            </w:pPr>
          </w:p>
        </w:tc>
        <w:tc>
          <w:tcPr>
            <w:tcW w:w="2355" w:type="dxa"/>
            <w:vMerge/>
            <w:tcBorders>
              <w:left w:val="single" w:sz="4" w:space="0" w:color="000000"/>
              <w:right w:val="single" w:sz="4" w:space="0" w:color="000000"/>
            </w:tcBorders>
          </w:tcPr>
          <w:p>
            <w:pPr>
              <w:rPr>
                <w:color w:val="000000"/>
                <w:sz w:val="18"/>
                <w:szCs w:val="18"/>
                <w:lang w:val="en-US"/>
              </w:rPr>
            </w:pPr>
          </w:p>
        </w:tc>
        <w:tc>
          <w:tcPr>
            <w:tcW w:w="1134" w:type="dxa"/>
            <w:vMerge/>
            <w:tcBorders>
              <w:left w:val="single" w:sz="4" w:space="0" w:color="000000"/>
              <w:right w:val="single" w:sz="4" w:space="0" w:color="000000"/>
            </w:tcBorders>
          </w:tcPr>
          <w:p>
            <w:pPr>
              <w:shd w:val="clear" w:color="auto" w:fill="FFFFFF"/>
              <w:rPr>
                <w:color w:val="000000"/>
                <w:sz w:val="18"/>
                <w:szCs w:val="18"/>
                <w:lang w:val="en-US"/>
              </w:rPr>
            </w:pPr>
          </w:p>
        </w:tc>
        <w:tc>
          <w:tcPr>
            <w:tcW w:w="2902" w:type="dxa"/>
            <w:tcBorders>
              <w:top w:val="single" w:sz="4" w:space="0" w:color="000000"/>
              <w:left w:val="single" w:sz="4" w:space="0" w:color="000000"/>
              <w:bottom w:val="single" w:sz="4" w:space="0" w:color="000000"/>
              <w:right w:val="single" w:sz="4" w:space="0" w:color="000000"/>
            </w:tcBorders>
          </w:tcPr>
          <w:p>
            <w:pPr>
              <w:rPr>
                <w:bCs/>
                <w:color w:val="000000"/>
                <w:sz w:val="18"/>
                <w:szCs w:val="18"/>
                <w:lang w:val="en-US"/>
              </w:rPr>
            </w:pPr>
            <w:r>
              <w:rPr>
                <w:sz w:val="18"/>
                <w:szCs w:val="18"/>
              </w:rPr>
              <w:t>Акустическое оформление</w:t>
            </w:r>
          </w:p>
        </w:tc>
        <w:tc>
          <w:tcPr>
            <w:tcW w:w="4820" w:type="dxa"/>
            <w:tcBorders>
              <w:top w:val="single" w:sz="4" w:space="0" w:color="000000"/>
              <w:left w:val="single" w:sz="4" w:space="0" w:color="000000"/>
              <w:bottom w:val="single" w:sz="4" w:space="0" w:color="000000"/>
              <w:right w:val="single" w:sz="4" w:space="0" w:color="000000"/>
            </w:tcBorders>
          </w:tcPr>
          <w:p>
            <w:pPr>
              <w:rPr>
                <w:color w:val="000000"/>
                <w:sz w:val="18"/>
                <w:szCs w:val="18"/>
                <w:lang w:val="en-US"/>
              </w:rPr>
            </w:pPr>
            <w:r>
              <w:rPr>
                <w:sz w:val="18"/>
                <w:szCs w:val="18"/>
              </w:rPr>
              <w:t>Закрытое</w:t>
            </w:r>
          </w:p>
        </w:tc>
        <w:tc>
          <w:tcPr>
            <w:tcW w:w="1559" w:type="dxa"/>
            <w:tcBorders>
              <w:top w:val="single" w:sz="4" w:space="0" w:color="000000"/>
              <w:left w:val="single" w:sz="4" w:space="0" w:color="000000"/>
              <w:bottom w:val="single" w:sz="4" w:space="0" w:color="000000"/>
              <w:right w:val="single" w:sz="4" w:space="0" w:color="000000"/>
            </w:tcBorders>
          </w:tcPr>
          <w:p>
            <w:pPr>
              <w:rPr>
                <w:bCs/>
                <w:color w:val="000000"/>
                <w:sz w:val="18"/>
                <w:szCs w:val="18"/>
                <w:lang w:val="en-US"/>
              </w:rPr>
            </w:pPr>
          </w:p>
        </w:tc>
        <w:tc>
          <w:tcPr>
            <w:tcW w:w="1134" w:type="dxa"/>
            <w:vMerge/>
            <w:tcBorders>
              <w:left w:val="single" w:sz="4" w:space="0" w:color="000000"/>
              <w:right w:val="single" w:sz="4" w:space="0" w:color="000000"/>
            </w:tcBorders>
          </w:tcPr>
          <w:p>
            <w:pPr>
              <w:rPr>
                <w:color w:val="000000"/>
                <w:sz w:val="18"/>
                <w:szCs w:val="18"/>
                <w:lang w:val="en-US"/>
              </w:rPr>
            </w:pPr>
          </w:p>
        </w:tc>
        <w:tc>
          <w:tcPr>
            <w:tcW w:w="851" w:type="dxa"/>
            <w:vMerge/>
            <w:tcBorders>
              <w:left w:val="single" w:sz="4" w:space="0" w:color="000000"/>
              <w:right w:val="single" w:sz="4" w:space="0" w:color="000000"/>
            </w:tcBorders>
          </w:tcPr>
          <w:p>
            <w:pPr>
              <w:rPr>
                <w:color w:val="000000"/>
                <w:sz w:val="18"/>
                <w:szCs w:val="18"/>
                <w:lang w:val="en-US"/>
              </w:rPr>
            </w:pPr>
          </w:p>
        </w:tc>
      </w:tr>
      <w:tr>
        <w:trPr>
          <w:trHeight w:val="319"/>
        </w:trPr>
        <w:tc>
          <w:tcPr>
            <w:tcW w:w="521" w:type="dxa"/>
            <w:vMerge/>
            <w:tcBorders>
              <w:left w:val="single" w:sz="4" w:space="0" w:color="000000"/>
              <w:right w:val="single" w:sz="4" w:space="0" w:color="000000"/>
            </w:tcBorders>
          </w:tcPr>
          <w:p>
            <w:pPr>
              <w:rPr>
                <w:color w:val="000000"/>
                <w:sz w:val="18"/>
                <w:szCs w:val="18"/>
                <w:lang w:val="en-US"/>
              </w:rPr>
            </w:pPr>
          </w:p>
        </w:tc>
        <w:tc>
          <w:tcPr>
            <w:tcW w:w="2355" w:type="dxa"/>
            <w:vMerge/>
            <w:tcBorders>
              <w:left w:val="single" w:sz="4" w:space="0" w:color="000000"/>
              <w:right w:val="single" w:sz="4" w:space="0" w:color="000000"/>
            </w:tcBorders>
          </w:tcPr>
          <w:p>
            <w:pPr>
              <w:rPr>
                <w:color w:val="000000"/>
                <w:sz w:val="18"/>
                <w:szCs w:val="18"/>
                <w:lang w:val="en-US"/>
              </w:rPr>
            </w:pPr>
          </w:p>
        </w:tc>
        <w:tc>
          <w:tcPr>
            <w:tcW w:w="1134" w:type="dxa"/>
            <w:vMerge/>
            <w:tcBorders>
              <w:left w:val="single" w:sz="4" w:space="0" w:color="000000"/>
              <w:right w:val="single" w:sz="4" w:space="0" w:color="000000"/>
            </w:tcBorders>
          </w:tcPr>
          <w:p>
            <w:pPr>
              <w:shd w:val="clear" w:color="auto" w:fill="FFFFFF"/>
              <w:rPr>
                <w:color w:val="000000"/>
                <w:sz w:val="18"/>
                <w:szCs w:val="18"/>
                <w:lang w:val="en-US"/>
              </w:rPr>
            </w:pPr>
          </w:p>
        </w:tc>
        <w:tc>
          <w:tcPr>
            <w:tcW w:w="2902" w:type="dxa"/>
            <w:tcBorders>
              <w:top w:val="single" w:sz="4" w:space="0" w:color="000000"/>
              <w:left w:val="single" w:sz="4" w:space="0" w:color="000000"/>
              <w:bottom w:val="single" w:sz="4" w:space="0" w:color="000000"/>
              <w:right w:val="single" w:sz="4" w:space="0" w:color="000000"/>
            </w:tcBorders>
          </w:tcPr>
          <w:p>
            <w:pPr>
              <w:rPr>
                <w:bCs/>
                <w:color w:val="000000"/>
                <w:sz w:val="18"/>
                <w:szCs w:val="18"/>
                <w:lang w:val="en-US"/>
              </w:rPr>
            </w:pPr>
            <w:r>
              <w:rPr>
                <w:sz w:val="18"/>
                <w:szCs w:val="18"/>
              </w:rPr>
              <w:t>Тип подключения</w:t>
            </w:r>
          </w:p>
        </w:tc>
        <w:tc>
          <w:tcPr>
            <w:tcW w:w="4820" w:type="dxa"/>
            <w:tcBorders>
              <w:top w:val="single" w:sz="4" w:space="0" w:color="000000"/>
              <w:left w:val="single" w:sz="4" w:space="0" w:color="000000"/>
              <w:bottom w:val="single" w:sz="4" w:space="0" w:color="000000"/>
              <w:right w:val="single" w:sz="4" w:space="0" w:color="000000"/>
            </w:tcBorders>
          </w:tcPr>
          <w:p>
            <w:pPr>
              <w:rPr>
                <w:color w:val="000000"/>
                <w:sz w:val="18"/>
                <w:szCs w:val="18"/>
                <w:lang w:val="en-US"/>
              </w:rPr>
            </w:pPr>
            <w:r>
              <w:rPr>
                <w:sz w:val="18"/>
                <w:szCs w:val="18"/>
              </w:rPr>
              <w:t>Проводной</w:t>
            </w:r>
          </w:p>
        </w:tc>
        <w:tc>
          <w:tcPr>
            <w:tcW w:w="1559" w:type="dxa"/>
            <w:tcBorders>
              <w:top w:val="single" w:sz="4" w:space="0" w:color="000000"/>
              <w:left w:val="single" w:sz="4" w:space="0" w:color="000000"/>
              <w:bottom w:val="single" w:sz="4" w:space="0" w:color="000000"/>
              <w:right w:val="single" w:sz="4" w:space="0" w:color="000000"/>
            </w:tcBorders>
          </w:tcPr>
          <w:p>
            <w:pPr>
              <w:rPr>
                <w:bCs/>
                <w:color w:val="000000"/>
                <w:sz w:val="16"/>
                <w:szCs w:val="16"/>
                <w:lang w:val="en-US"/>
              </w:rPr>
            </w:pPr>
          </w:p>
        </w:tc>
        <w:tc>
          <w:tcPr>
            <w:tcW w:w="1134" w:type="dxa"/>
            <w:vMerge/>
            <w:tcBorders>
              <w:left w:val="single" w:sz="4" w:space="0" w:color="000000"/>
              <w:right w:val="single" w:sz="4" w:space="0" w:color="000000"/>
            </w:tcBorders>
          </w:tcPr>
          <w:p>
            <w:pPr>
              <w:rPr>
                <w:color w:val="000000"/>
                <w:sz w:val="18"/>
                <w:szCs w:val="18"/>
                <w:lang w:val="en-US"/>
              </w:rPr>
            </w:pPr>
          </w:p>
        </w:tc>
        <w:tc>
          <w:tcPr>
            <w:tcW w:w="851" w:type="dxa"/>
            <w:vMerge/>
            <w:tcBorders>
              <w:left w:val="single" w:sz="4" w:space="0" w:color="000000"/>
              <w:right w:val="single" w:sz="4" w:space="0" w:color="000000"/>
            </w:tcBorders>
          </w:tcPr>
          <w:p>
            <w:pPr>
              <w:rPr>
                <w:color w:val="000000"/>
                <w:sz w:val="18"/>
                <w:szCs w:val="18"/>
                <w:lang w:val="en-US"/>
              </w:rPr>
            </w:pPr>
          </w:p>
        </w:tc>
      </w:tr>
      <w:tr>
        <w:trPr>
          <w:trHeight w:val="319"/>
        </w:trPr>
        <w:tc>
          <w:tcPr>
            <w:tcW w:w="521" w:type="dxa"/>
            <w:vMerge/>
            <w:tcBorders>
              <w:left w:val="single" w:sz="4" w:space="0" w:color="000000"/>
              <w:right w:val="single" w:sz="4" w:space="0" w:color="000000"/>
            </w:tcBorders>
          </w:tcPr>
          <w:p>
            <w:pPr>
              <w:rPr>
                <w:color w:val="000000"/>
                <w:sz w:val="18"/>
                <w:szCs w:val="18"/>
                <w:lang w:val="en-US"/>
              </w:rPr>
            </w:pPr>
          </w:p>
        </w:tc>
        <w:tc>
          <w:tcPr>
            <w:tcW w:w="2355" w:type="dxa"/>
            <w:vMerge/>
            <w:tcBorders>
              <w:left w:val="single" w:sz="4" w:space="0" w:color="000000"/>
              <w:right w:val="single" w:sz="4" w:space="0" w:color="000000"/>
            </w:tcBorders>
          </w:tcPr>
          <w:p>
            <w:pPr>
              <w:rPr>
                <w:color w:val="000000"/>
                <w:sz w:val="18"/>
                <w:szCs w:val="18"/>
                <w:lang w:val="en-US"/>
              </w:rPr>
            </w:pPr>
          </w:p>
        </w:tc>
        <w:tc>
          <w:tcPr>
            <w:tcW w:w="1134" w:type="dxa"/>
            <w:vMerge/>
            <w:tcBorders>
              <w:left w:val="single" w:sz="4" w:space="0" w:color="000000"/>
              <w:right w:val="single" w:sz="4" w:space="0" w:color="000000"/>
            </w:tcBorders>
          </w:tcPr>
          <w:p>
            <w:pPr>
              <w:shd w:val="clear" w:color="auto" w:fill="FFFFFF"/>
              <w:rPr>
                <w:color w:val="000000"/>
                <w:sz w:val="18"/>
                <w:szCs w:val="18"/>
                <w:lang w:val="en-US"/>
              </w:rPr>
            </w:pPr>
          </w:p>
        </w:tc>
        <w:tc>
          <w:tcPr>
            <w:tcW w:w="2902" w:type="dxa"/>
            <w:tcBorders>
              <w:top w:val="single" w:sz="4" w:space="0" w:color="000000"/>
              <w:left w:val="single" w:sz="4" w:space="0" w:color="000000"/>
              <w:bottom w:val="single" w:sz="4" w:space="0" w:color="000000"/>
              <w:right w:val="single" w:sz="4" w:space="0" w:color="000000"/>
            </w:tcBorders>
          </w:tcPr>
          <w:p>
            <w:pPr>
              <w:rPr>
                <w:bCs/>
                <w:color w:val="000000"/>
                <w:sz w:val="18"/>
                <w:szCs w:val="18"/>
                <w:lang w:val="en-US"/>
              </w:rPr>
            </w:pPr>
            <w:r>
              <w:rPr>
                <w:sz w:val="18"/>
                <w:szCs w:val="18"/>
              </w:rPr>
              <w:t>Диапазон воспроизводимых частот</w:t>
            </w:r>
          </w:p>
        </w:tc>
        <w:tc>
          <w:tcPr>
            <w:tcW w:w="4820" w:type="dxa"/>
            <w:tcBorders>
              <w:top w:val="single" w:sz="4" w:space="0" w:color="000000"/>
              <w:left w:val="single" w:sz="4" w:space="0" w:color="000000"/>
              <w:bottom w:val="single" w:sz="4" w:space="0" w:color="000000"/>
              <w:right w:val="single" w:sz="4" w:space="0" w:color="000000"/>
            </w:tcBorders>
          </w:tcPr>
          <w:p>
            <w:pPr>
              <w:rPr>
                <w:color w:val="000000"/>
                <w:sz w:val="18"/>
                <w:szCs w:val="18"/>
                <w:lang w:val="en-US"/>
              </w:rPr>
            </w:pPr>
            <w:proofErr w:type="gramStart"/>
            <w:r>
              <w:rPr>
                <w:sz w:val="18"/>
                <w:szCs w:val="18"/>
              </w:rPr>
              <w:t>от</w:t>
            </w:r>
            <w:proofErr w:type="gramEnd"/>
            <w:r>
              <w:rPr>
                <w:sz w:val="18"/>
                <w:szCs w:val="18"/>
              </w:rPr>
              <w:t xml:space="preserve"> 5 до 35000</w:t>
            </w:r>
          </w:p>
        </w:tc>
        <w:tc>
          <w:tcPr>
            <w:tcW w:w="1559" w:type="dxa"/>
            <w:tcBorders>
              <w:top w:val="single" w:sz="4" w:space="0" w:color="000000"/>
              <w:left w:val="single" w:sz="4" w:space="0" w:color="000000"/>
              <w:bottom w:val="single" w:sz="4" w:space="0" w:color="000000"/>
              <w:right w:val="single" w:sz="4" w:space="0" w:color="000000"/>
            </w:tcBorders>
          </w:tcPr>
          <w:p>
            <w:pPr>
              <w:rPr>
                <w:bCs/>
                <w:color w:val="000000"/>
                <w:sz w:val="16"/>
                <w:szCs w:val="16"/>
                <w:lang w:val="en-US"/>
              </w:rPr>
            </w:pPr>
            <w:r>
              <w:rPr>
                <w:sz w:val="16"/>
                <w:szCs w:val="16"/>
              </w:rPr>
              <w:t>Герц</w:t>
            </w:r>
          </w:p>
        </w:tc>
        <w:tc>
          <w:tcPr>
            <w:tcW w:w="1134" w:type="dxa"/>
            <w:vMerge/>
            <w:tcBorders>
              <w:left w:val="single" w:sz="4" w:space="0" w:color="000000"/>
              <w:right w:val="single" w:sz="4" w:space="0" w:color="000000"/>
            </w:tcBorders>
          </w:tcPr>
          <w:p>
            <w:pPr>
              <w:rPr>
                <w:color w:val="000000"/>
                <w:sz w:val="18"/>
                <w:szCs w:val="18"/>
                <w:lang w:val="en-US"/>
              </w:rPr>
            </w:pPr>
          </w:p>
        </w:tc>
        <w:tc>
          <w:tcPr>
            <w:tcW w:w="851" w:type="dxa"/>
            <w:vMerge/>
            <w:tcBorders>
              <w:left w:val="single" w:sz="4" w:space="0" w:color="000000"/>
              <w:right w:val="single" w:sz="4" w:space="0" w:color="000000"/>
            </w:tcBorders>
          </w:tcPr>
          <w:p>
            <w:pPr>
              <w:rPr>
                <w:color w:val="000000"/>
                <w:sz w:val="18"/>
                <w:szCs w:val="18"/>
                <w:lang w:val="en-US"/>
              </w:rPr>
            </w:pPr>
          </w:p>
        </w:tc>
      </w:tr>
      <w:tr>
        <w:trPr>
          <w:trHeight w:val="319"/>
        </w:trPr>
        <w:tc>
          <w:tcPr>
            <w:tcW w:w="521" w:type="dxa"/>
            <w:vMerge/>
            <w:tcBorders>
              <w:left w:val="single" w:sz="4" w:space="0" w:color="000000"/>
              <w:right w:val="single" w:sz="4" w:space="0" w:color="000000"/>
            </w:tcBorders>
          </w:tcPr>
          <w:p>
            <w:pPr>
              <w:rPr>
                <w:color w:val="000000"/>
                <w:sz w:val="18"/>
                <w:szCs w:val="18"/>
                <w:lang w:val="en-US"/>
              </w:rPr>
            </w:pPr>
          </w:p>
        </w:tc>
        <w:tc>
          <w:tcPr>
            <w:tcW w:w="2355" w:type="dxa"/>
            <w:vMerge/>
            <w:tcBorders>
              <w:left w:val="single" w:sz="4" w:space="0" w:color="000000"/>
              <w:right w:val="single" w:sz="4" w:space="0" w:color="000000"/>
            </w:tcBorders>
          </w:tcPr>
          <w:p>
            <w:pPr>
              <w:rPr>
                <w:color w:val="000000"/>
                <w:sz w:val="18"/>
                <w:szCs w:val="18"/>
                <w:lang w:val="en-US"/>
              </w:rPr>
            </w:pPr>
          </w:p>
        </w:tc>
        <w:tc>
          <w:tcPr>
            <w:tcW w:w="1134" w:type="dxa"/>
            <w:vMerge/>
            <w:tcBorders>
              <w:left w:val="single" w:sz="4" w:space="0" w:color="000000"/>
              <w:right w:val="single" w:sz="4" w:space="0" w:color="000000"/>
            </w:tcBorders>
          </w:tcPr>
          <w:p>
            <w:pPr>
              <w:shd w:val="clear" w:color="auto" w:fill="FFFFFF"/>
              <w:rPr>
                <w:color w:val="000000"/>
                <w:sz w:val="18"/>
                <w:szCs w:val="18"/>
                <w:lang w:val="en-US"/>
              </w:rPr>
            </w:pPr>
          </w:p>
        </w:tc>
        <w:tc>
          <w:tcPr>
            <w:tcW w:w="2902" w:type="dxa"/>
            <w:tcBorders>
              <w:top w:val="single" w:sz="4" w:space="0" w:color="000000"/>
              <w:left w:val="single" w:sz="4" w:space="0" w:color="000000"/>
              <w:bottom w:val="single" w:sz="4" w:space="0" w:color="000000"/>
              <w:right w:val="single" w:sz="4" w:space="0" w:color="000000"/>
            </w:tcBorders>
          </w:tcPr>
          <w:p>
            <w:pPr>
              <w:rPr>
                <w:bCs/>
                <w:color w:val="000000"/>
                <w:sz w:val="18"/>
                <w:szCs w:val="18"/>
                <w:lang w:val="en-US"/>
              </w:rPr>
            </w:pPr>
            <w:r>
              <w:rPr>
                <w:sz w:val="18"/>
                <w:szCs w:val="18"/>
              </w:rPr>
              <w:t>Номинальный импеданс</w:t>
            </w:r>
          </w:p>
        </w:tc>
        <w:tc>
          <w:tcPr>
            <w:tcW w:w="4820" w:type="dxa"/>
            <w:tcBorders>
              <w:top w:val="single" w:sz="4" w:space="0" w:color="000000"/>
              <w:left w:val="single" w:sz="4" w:space="0" w:color="000000"/>
              <w:bottom w:val="single" w:sz="4" w:space="0" w:color="000000"/>
              <w:right w:val="single" w:sz="4" w:space="0" w:color="000000"/>
            </w:tcBorders>
          </w:tcPr>
          <w:p>
            <w:pPr>
              <w:rPr>
                <w:color w:val="000000"/>
                <w:sz w:val="18"/>
                <w:szCs w:val="18"/>
                <w:lang w:val="en-US"/>
              </w:rPr>
            </w:pPr>
            <w:r>
              <w:rPr>
                <w:color w:val="000000"/>
                <w:sz w:val="18"/>
                <w:szCs w:val="18"/>
                <w:lang w:val="en-US"/>
              </w:rPr>
              <w:t>≥</w:t>
            </w:r>
            <w:r>
              <w:rPr>
                <w:sz w:val="18"/>
                <w:szCs w:val="18"/>
              </w:rPr>
              <w:t>250</w:t>
            </w:r>
          </w:p>
        </w:tc>
        <w:tc>
          <w:tcPr>
            <w:tcW w:w="1559" w:type="dxa"/>
            <w:tcBorders>
              <w:top w:val="single" w:sz="4" w:space="0" w:color="000000"/>
              <w:left w:val="single" w:sz="4" w:space="0" w:color="000000"/>
              <w:bottom w:val="single" w:sz="4" w:space="0" w:color="000000"/>
              <w:right w:val="single" w:sz="4" w:space="0" w:color="000000"/>
            </w:tcBorders>
          </w:tcPr>
          <w:p>
            <w:pPr>
              <w:rPr>
                <w:bCs/>
                <w:color w:val="000000"/>
                <w:sz w:val="16"/>
                <w:szCs w:val="16"/>
                <w:lang w:val="en-US"/>
              </w:rPr>
            </w:pPr>
            <w:r>
              <w:rPr>
                <w:sz w:val="16"/>
                <w:szCs w:val="16"/>
              </w:rPr>
              <w:t>Ом</w:t>
            </w:r>
          </w:p>
        </w:tc>
        <w:tc>
          <w:tcPr>
            <w:tcW w:w="1134" w:type="dxa"/>
            <w:vMerge/>
            <w:tcBorders>
              <w:left w:val="single" w:sz="4" w:space="0" w:color="000000"/>
              <w:right w:val="single" w:sz="4" w:space="0" w:color="000000"/>
            </w:tcBorders>
          </w:tcPr>
          <w:p>
            <w:pPr>
              <w:rPr>
                <w:color w:val="000000"/>
                <w:sz w:val="18"/>
                <w:szCs w:val="18"/>
                <w:lang w:val="en-US"/>
              </w:rPr>
            </w:pPr>
          </w:p>
        </w:tc>
        <w:tc>
          <w:tcPr>
            <w:tcW w:w="851" w:type="dxa"/>
            <w:vMerge/>
            <w:tcBorders>
              <w:left w:val="single" w:sz="4" w:space="0" w:color="000000"/>
              <w:right w:val="single" w:sz="4" w:space="0" w:color="000000"/>
            </w:tcBorders>
          </w:tcPr>
          <w:p>
            <w:pPr>
              <w:rPr>
                <w:color w:val="000000"/>
                <w:sz w:val="18"/>
                <w:szCs w:val="18"/>
                <w:lang w:val="en-US"/>
              </w:rPr>
            </w:pPr>
          </w:p>
        </w:tc>
      </w:tr>
      <w:tr>
        <w:trPr>
          <w:trHeight w:val="319"/>
        </w:trPr>
        <w:tc>
          <w:tcPr>
            <w:tcW w:w="521" w:type="dxa"/>
            <w:vMerge/>
            <w:tcBorders>
              <w:left w:val="single" w:sz="4" w:space="0" w:color="000000"/>
              <w:right w:val="single" w:sz="4" w:space="0" w:color="000000"/>
            </w:tcBorders>
          </w:tcPr>
          <w:p>
            <w:pPr>
              <w:rPr>
                <w:color w:val="000000"/>
                <w:sz w:val="18"/>
                <w:szCs w:val="18"/>
                <w:lang w:val="en-US"/>
              </w:rPr>
            </w:pPr>
          </w:p>
        </w:tc>
        <w:tc>
          <w:tcPr>
            <w:tcW w:w="2355" w:type="dxa"/>
            <w:vMerge/>
            <w:tcBorders>
              <w:left w:val="single" w:sz="4" w:space="0" w:color="000000"/>
              <w:right w:val="single" w:sz="4" w:space="0" w:color="000000"/>
            </w:tcBorders>
          </w:tcPr>
          <w:p>
            <w:pPr>
              <w:rPr>
                <w:color w:val="000000"/>
                <w:sz w:val="18"/>
                <w:szCs w:val="18"/>
                <w:lang w:val="en-US"/>
              </w:rPr>
            </w:pPr>
          </w:p>
        </w:tc>
        <w:tc>
          <w:tcPr>
            <w:tcW w:w="1134" w:type="dxa"/>
            <w:vMerge/>
            <w:tcBorders>
              <w:left w:val="single" w:sz="4" w:space="0" w:color="000000"/>
              <w:right w:val="single" w:sz="4" w:space="0" w:color="000000"/>
            </w:tcBorders>
          </w:tcPr>
          <w:p>
            <w:pPr>
              <w:shd w:val="clear" w:color="auto" w:fill="FFFFFF"/>
              <w:rPr>
                <w:color w:val="000000"/>
                <w:sz w:val="18"/>
                <w:szCs w:val="18"/>
                <w:lang w:val="en-US"/>
              </w:rPr>
            </w:pPr>
          </w:p>
        </w:tc>
        <w:tc>
          <w:tcPr>
            <w:tcW w:w="2902" w:type="dxa"/>
            <w:tcBorders>
              <w:top w:val="single" w:sz="4" w:space="0" w:color="000000"/>
              <w:left w:val="single" w:sz="4" w:space="0" w:color="000000"/>
              <w:bottom w:val="single" w:sz="4" w:space="0" w:color="000000"/>
              <w:right w:val="single" w:sz="4" w:space="0" w:color="000000"/>
            </w:tcBorders>
          </w:tcPr>
          <w:p>
            <w:pPr>
              <w:rPr>
                <w:bCs/>
                <w:color w:val="000000"/>
                <w:sz w:val="18"/>
                <w:szCs w:val="18"/>
                <w:lang w:val="en-US"/>
              </w:rPr>
            </w:pPr>
            <w:r>
              <w:rPr>
                <w:sz w:val="18"/>
                <w:szCs w:val="18"/>
              </w:rPr>
              <w:t>Номинальный импеданс (доступные варианты)</w:t>
            </w:r>
          </w:p>
        </w:tc>
        <w:tc>
          <w:tcPr>
            <w:tcW w:w="4820" w:type="dxa"/>
            <w:tcBorders>
              <w:top w:val="single" w:sz="4" w:space="0" w:color="000000"/>
              <w:left w:val="single" w:sz="4" w:space="0" w:color="000000"/>
              <w:bottom w:val="single" w:sz="4" w:space="0" w:color="000000"/>
              <w:right w:val="single" w:sz="4" w:space="0" w:color="000000"/>
            </w:tcBorders>
          </w:tcPr>
          <w:p>
            <w:pPr>
              <w:rPr>
                <w:color w:val="000000"/>
                <w:sz w:val="18"/>
                <w:szCs w:val="18"/>
                <w:lang w:val="en-US"/>
              </w:rPr>
            </w:pPr>
            <w:r>
              <w:rPr>
                <w:sz w:val="18"/>
                <w:szCs w:val="18"/>
              </w:rPr>
              <w:t>32, 80, 250</w:t>
            </w:r>
          </w:p>
        </w:tc>
        <w:tc>
          <w:tcPr>
            <w:tcW w:w="1559" w:type="dxa"/>
            <w:tcBorders>
              <w:top w:val="single" w:sz="4" w:space="0" w:color="000000"/>
              <w:left w:val="single" w:sz="4" w:space="0" w:color="000000"/>
              <w:bottom w:val="single" w:sz="4" w:space="0" w:color="000000"/>
              <w:right w:val="single" w:sz="4" w:space="0" w:color="000000"/>
            </w:tcBorders>
          </w:tcPr>
          <w:p>
            <w:pPr>
              <w:rPr>
                <w:bCs/>
                <w:color w:val="000000"/>
                <w:sz w:val="16"/>
                <w:szCs w:val="16"/>
                <w:lang w:val="en-US"/>
              </w:rPr>
            </w:pPr>
            <w:r>
              <w:rPr>
                <w:sz w:val="16"/>
                <w:szCs w:val="16"/>
              </w:rPr>
              <w:t>Ом</w:t>
            </w:r>
          </w:p>
        </w:tc>
        <w:tc>
          <w:tcPr>
            <w:tcW w:w="1134" w:type="dxa"/>
            <w:vMerge/>
            <w:tcBorders>
              <w:left w:val="single" w:sz="4" w:space="0" w:color="000000"/>
              <w:right w:val="single" w:sz="4" w:space="0" w:color="000000"/>
            </w:tcBorders>
          </w:tcPr>
          <w:p>
            <w:pPr>
              <w:rPr>
                <w:color w:val="000000"/>
                <w:sz w:val="18"/>
                <w:szCs w:val="18"/>
                <w:lang w:val="en-US"/>
              </w:rPr>
            </w:pPr>
          </w:p>
        </w:tc>
        <w:tc>
          <w:tcPr>
            <w:tcW w:w="851" w:type="dxa"/>
            <w:vMerge/>
            <w:tcBorders>
              <w:left w:val="single" w:sz="4" w:space="0" w:color="000000"/>
              <w:right w:val="single" w:sz="4" w:space="0" w:color="000000"/>
            </w:tcBorders>
          </w:tcPr>
          <w:p>
            <w:pPr>
              <w:rPr>
                <w:color w:val="000000"/>
                <w:sz w:val="18"/>
                <w:szCs w:val="18"/>
                <w:lang w:val="en-US"/>
              </w:rPr>
            </w:pPr>
          </w:p>
        </w:tc>
      </w:tr>
      <w:tr>
        <w:trPr>
          <w:trHeight w:val="319"/>
        </w:trPr>
        <w:tc>
          <w:tcPr>
            <w:tcW w:w="521" w:type="dxa"/>
            <w:tcBorders>
              <w:left w:val="single" w:sz="4" w:space="0" w:color="000000"/>
              <w:right w:val="single" w:sz="4" w:space="0" w:color="000000"/>
            </w:tcBorders>
          </w:tcPr>
          <w:p>
            <w:pPr>
              <w:rPr>
                <w:color w:val="000000"/>
                <w:sz w:val="18"/>
                <w:szCs w:val="18"/>
                <w:lang w:val="en-US"/>
              </w:rPr>
            </w:pPr>
          </w:p>
        </w:tc>
        <w:tc>
          <w:tcPr>
            <w:tcW w:w="2355" w:type="dxa"/>
            <w:tcBorders>
              <w:left w:val="single" w:sz="4" w:space="0" w:color="000000"/>
              <w:right w:val="single" w:sz="4" w:space="0" w:color="000000"/>
            </w:tcBorders>
          </w:tcPr>
          <w:p>
            <w:pPr>
              <w:rPr>
                <w:color w:val="000000"/>
                <w:sz w:val="18"/>
                <w:szCs w:val="18"/>
                <w:lang w:val="en-US"/>
              </w:rPr>
            </w:pPr>
          </w:p>
        </w:tc>
        <w:tc>
          <w:tcPr>
            <w:tcW w:w="1134" w:type="dxa"/>
            <w:tcBorders>
              <w:left w:val="single" w:sz="4" w:space="0" w:color="000000"/>
              <w:right w:val="single" w:sz="4" w:space="0" w:color="000000"/>
            </w:tcBorders>
          </w:tcPr>
          <w:p>
            <w:pPr>
              <w:shd w:val="clear" w:color="auto" w:fill="FFFFFF"/>
              <w:rPr>
                <w:color w:val="000000"/>
                <w:sz w:val="18"/>
                <w:szCs w:val="18"/>
                <w:lang w:val="en-US"/>
              </w:rPr>
            </w:pPr>
          </w:p>
        </w:tc>
        <w:tc>
          <w:tcPr>
            <w:tcW w:w="2902" w:type="dxa"/>
            <w:tcBorders>
              <w:top w:val="single" w:sz="4" w:space="0" w:color="000000"/>
              <w:left w:val="single" w:sz="4" w:space="0" w:color="000000"/>
              <w:bottom w:val="single" w:sz="4" w:space="0" w:color="000000"/>
              <w:right w:val="single" w:sz="4" w:space="0" w:color="000000"/>
            </w:tcBorders>
          </w:tcPr>
          <w:p>
            <w:pPr>
              <w:rPr>
                <w:bCs/>
                <w:color w:val="000000"/>
                <w:sz w:val="18"/>
                <w:szCs w:val="18"/>
              </w:rPr>
            </w:pPr>
            <w:r>
              <w:rPr>
                <w:sz w:val="18"/>
                <w:szCs w:val="18"/>
              </w:rPr>
              <w:t>Номинальный уровень звукового давления (Чувствительность)</w:t>
            </w:r>
          </w:p>
        </w:tc>
        <w:tc>
          <w:tcPr>
            <w:tcW w:w="4820" w:type="dxa"/>
            <w:tcBorders>
              <w:top w:val="single" w:sz="4" w:space="0" w:color="000000"/>
              <w:left w:val="single" w:sz="4" w:space="0" w:color="000000"/>
              <w:bottom w:val="single" w:sz="4" w:space="0" w:color="000000"/>
              <w:right w:val="single" w:sz="4" w:space="0" w:color="000000"/>
            </w:tcBorders>
          </w:tcPr>
          <w:p>
            <w:pPr>
              <w:rPr>
                <w:color w:val="000000"/>
                <w:sz w:val="18"/>
                <w:szCs w:val="18"/>
                <w:lang w:val="en-US"/>
              </w:rPr>
            </w:pPr>
            <w:r>
              <w:rPr>
                <w:color w:val="000000"/>
                <w:sz w:val="18"/>
                <w:szCs w:val="18"/>
                <w:lang w:val="en-US"/>
              </w:rPr>
              <w:t>≥</w:t>
            </w:r>
            <w:r>
              <w:rPr>
                <w:sz w:val="18"/>
                <w:szCs w:val="18"/>
              </w:rPr>
              <w:t>96</w:t>
            </w:r>
          </w:p>
        </w:tc>
        <w:tc>
          <w:tcPr>
            <w:tcW w:w="1559" w:type="dxa"/>
            <w:tcBorders>
              <w:top w:val="single" w:sz="4" w:space="0" w:color="000000"/>
              <w:left w:val="single" w:sz="4" w:space="0" w:color="000000"/>
              <w:bottom w:val="single" w:sz="4" w:space="0" w:color="000000"/>
              <w:right w:val="single" w:sz="4" w:space="0" w:color="000000"/>
            </w:tcBorders>
          </w:tcPr>
          <w:p>
            <w:pPr>
              <w:rPr>
                <w:bCs/>
                <w:color w:val="000000"/>
                <w:sz w:val="16"/>
                <w:szCs w:val="16"/>
                <w:lang w:val="en-US"/>
              </w:rPr>
            </w:pPr>
            <w:r>
              <w:rPr>
                <w:sz w:val="16"/>
                <w:szCs w:val="16"/>
              </w:rPr>
              <w:t>децибел</w:t>
            </w:r>
          </w:p>
        </w:tc>
        <w:tc>
          <w:tcPr>
            <w:tcW w:w="1134" w:type="dxa"/>
            <w:tcBorders>
              <w:left w:val="single" w:sz="4" w:space="0" w:color="000000"/>
              <w:right w:val="single" w:sz="4" w:space="0" w:color="000000"/>
            </w:tcBorders>
          </w:tcPr>
          <w:p>
            <w:pPr>
              <w:rPr>
                <w:color w:val="000000"/>
                <w:sz w:val="18"/>
                <w:szCs w:val="18"/>
                <w:lang w:val="en-US"/>
              </w:rPr>
            </w:pPr>
          </w:p>
        </w:tc>
        <w:tc>
          <w:tcPr>
            <w:tcW w:w="851" w:type="dxa"/>
            <w:tcBorders>
              <w:left w:val="single" w:sz="4" w:space="0" w:color="000000"/>
              <w:right w:val="single" w:sz="4" w:space="0" w:color="000000"/>
            </w:tcBorders>
          </w:tcPr>
          <w:p>
            <w:pPr>
              <w:rPr>
                <w:color w:val="000000"/>
                <w:sz w:val="18"/>
                <w:szCs w:val="18"/>
                <w:lang w:val="en-US"/>
              </w:rPr>
            </w:pPr>
          </w:p>
        </w:tc>
      </w:tr>
      <w:tr>
        <w:trPr>
          <w:trHeight w:val="319"/>
        </w:trPr>
        <w:tc>
          <w:tcPr>
            <w:tcW w:w="521" w:type="dxa"/>
            <w:tcBorders>
              <w:left w:val="single" w:sz="4" w:space="0" w:color="000000"/>
              <w:right w:val="single" w:sz="4" w:space="0" w:color="000000"/>
            </w:tcBorders>
          </w:tcPr>
          <w:p>
            <w:pPr>
              <w:rPr>
                <w:color w:val="000000"/>
                <w:sz w:val="18"/>
                <w:szCs w:val="18"/>
                <w:lang w:val="en-US"/>
              </w:rPr>
            </w:pPr>
          </w:p>
        </w:tc>
        <w:tc>
          <w:tcPr>
            <w:tcW w:w="2355" w:type="dxa"/>
            <w:tcBorders>
              <w:left w:val="single" w:sz="4" w:space="0" w:color="000000"/>
              <w:right w:val="single" w:sz="4" w:space="0" w:color="000000"/>
            </w:tcBorders>
          </w:tcPr>
          <w:p>
            <w:pPr>
              <w:rPr>
                <w:color w:val="000000"/>
                <w:sz w:val="18"/>
                <w:szCs w:val="18"/>
                <w:lang w:val="en-US"/>
              </w:rPr>
            </w:pPr>
          </w:p>
        </w:tc>
        <w:tc>
          <w:tcPr>
            <w:tcW w:w="1134" w:type="dxa"/>
            <w:tcBorders>
              <w:left w:val="single" w:sz="4" w:space="0" w:color="000000"/>
              <w:right w:val="single" w:sz="4" w:space="0" w:color="000000"/>
            </w:tcBorders>
          </w:tcPr>
          <w:p>
            <w:pPr>
              <w:shd w:val="clear" w:color="auto" w:fill="FFFFFF"/>
              <w:rPr>
                <w:color w:val="000000"/>
                <w:sz w:val="18"/>
                <w:szCs w:val="18"/>
                <w:lang w:val="en-US"/>
              </w:rPr>
            </w:pPr>
          </w:p>
        </w:tc>
        <w:tc>
          <w:tcPr>
            <w:tcW w:w="2902" w:type="dxa"/>
            <w:tcBorders>
              <w:top w:val="single" w:sz="4" w:space="0" w:color="000000"/>
              <w:left w:val="single" w:sz="4" w:space="0" w:color="000000"/>
              <w:bottom w:val="single" w:sz="4" w:space="0" w:color="000000"/>
              <w:right w:val="single" w:sz="4" w:space="0" w:color="000000"/>
            </w:tcBorders>
          </w:tcPr>
          <w:p>
            <w:pPr>
              <w:rPr>
                <w:bCs/>
                <w:color w:val="000000"/>
                <w:sz w:val="18"/>
                <w:szCs w:val="18"/>
                <w:lang w:val="en-US"/>
              </w:rPr>
            </w:pPr>
            <w:r>
              <w:rPr>
                <w:sz w:val="18"/>
                <w:szCs w:val="18"/>
              </w:rPr>
              <w:t>Номинальное давление оголовья</w:t>
            </w:r>
          </w:p>
        </w:tc>
        <w:tc>
          <w:tcPr>
            <w:tcW w:w="4820" w:type="dxa"/>
            <w:tcBorders>
              <w:top w:val="single" w:sz="4" w:space="0" w:color="000000"/>
              <w:left w:val="single" w:sz="4" w:space="0" w:color="000000"/>
              <w:bottom w:val="single" w:sz="4" w:space="0" w:color="000000"/>
              <w:right w:val="single" w:sz="4" w:space="0" w:color="000000"/>
            </w:tcBorders>
          </w:tcPr>
          <w:p>
            <w:pPr>
              <w:rPr>
                <w:color w:val="000000"/>
                <w:sz w:val="18"/>
                <w:szCs w:val="18"/>
                <w:lang w:val="en-US"/>
              </w:rPr>
            </w:pPr>
            <w:proofErr w:type="gramStart"/>
            <w:r>
              <w:rPr>
                <w:sz w:val="18"/>
                <w:szCs w:val="18"/>
              </w:rPr>
              <w:t>от</w:t>
            </w:r>
            <w:proofErr w:type="gramEnd"/>
            <w:r>
              <w:rPr>
                <w:sz w:val="18"/>
                <w:szCs w:val="18"/>
              </w:rPr>
              <w:t xml:space="preserve"> 3.5 до 5.5</w:t>
            </w:r>
          </w:p>
        </w:tc>
        <w:tc>
          <w:tcPr>
            <w:tcW w:w="1559" w:type="dxa"/>
            <w:tcBorders>
              <w:top w:val="single" w:sz="4" w:space="0" w:color="000000"/>
              <w:left w:val="single" w:sz="4" w:space="0" w:color="000000"/>
              <w:bottom w:val="single" w:sz="4" w:space="0" w:color="000000"/>
              <w:right w:val="single" w:sz="4" w:space="0" w:color="000000"/>
            </w:tcBorders>
          </w:tcPr>
          <w:p>
            <w:pPr>
              <w:rPr>
                <w:bCs/>
                <w:color w:val="000000"/>
                <w:sz w:val="16"/>
                <w:szCs w:val="16"/>
                <w:lang w:val="en-US"/>
              </w:rPr>
            </w:pPr>
            <w:r>
              <w:rPr>
                <w:sz w:val="16"/>
                <w:szCs w:val="16"/>
              </w:rPr>
              <w:t>Ньютон</w:t>
            </w:r>
          </w:p>
        </w:tc>
        <w:tc>
          <w:tcPr>
            <w:tcW w:w="1134" w:type="dxa"/>
            <w:tcBorders>
              <w:left w:val="single" w:sz="4" w:space="0" w:color="000000"/>
              <w:right w:val="single" w:sz="4" w:space="0" w:color="000000"/>
            </w:tcBorders>
          </w:tcPr>
          <w:p>
            <w:pPr>
              <w:rPr>
                <w:color w:val="000000"/>
                <w:sz w:val="18"/>
                <w:szCs w:val="18"/>
                <w:lang w:val="en-US"/>
              </w:rPr>
            </w:pPr>
          </w:p>
        </w:tc>
        <w:tc>
          <w:tcPr>
            <w:tcW w:w="851" w:type="dxa"/>
            <w:tcBorders>
              <w:left w:val="single" w:sz="4" w:space="0" w:color="000000"/>
              <w:right w:val="single" w:sz="4" w:space="0" w:color="000000"/>
            </w:tcBorders>
          </w:tcPr>
          <w:p>
            <w:pPr>
              <w:rPr>
                <w:color w:val="000000"/>
                <w:sz w:val="18"/>
                <w:szCs w:val="18"/>
                <w:lang w:val="en-US"/>
              </w:rPr>
            </w:pPr>
          </w:p>
        </w:tc>
      </w:tr>
      <w:tr>
        <w:trPr>
          <w:trHeight w:val="319"/>
        </w:trPr>
        <w:tc>
          <w:tcPr>
            <w:tcW w:w="521" w:type="dxa"/>
            <w:tcBorders>
              <w:left w:val="single" w:sz="4" w:space="0" w:color="000000"/>
              <w:right w:val="single" w:sz="4" w:space="0" w:color="000000"/>
            </w:tcBorders>
          </w:tcPr>
          <w:p>
            <w:pPr>
              <w:rPr>
                <w:color w:val="000000"/>
                <w:sz w:val="18"/>
                <w:szCs w:val="18"/>
                <w:lang w:val="en-US"/>
              </w:rPr>
            </w:pPr>
          </w:p>
        </w:tc>
        <w:tc>
          <w:tcPr>
            <w:tcW w:w="2355" w:type="dxa"/>
            <w:tcBorders>
              <w:left w:val="single" w:sz="4" w:space="0" w:color="000000"/>
              <w:right w:val="single" w:sz="4" w:space="0" w:color="000000"/>
            </w:tcBorders>
          </w:tcPr>
          <w:p>
            <w:pPr>
              <w:rPr>
                <w:color w:val="000000"/>
                <w:sz w:val="18"/>
                <w:szCs w:val="18"/>
                <w:lang w:val="en-US"/>
              </w:rPr>
            </w:pPr>
          </w:p>
        </w:tc>
        <w:tc>
          <w:tcPr>
            <w:tcW w:w="1134" w:type="dxa"/>
            <w:tcBorders>
              <w:left w:val="single" w:sz="4" w:space="0" w:color="000000"/>
              <w:right w:val="single" w:sz="4" w:space="0" w:color="000000"/>
            </w:tcBorders>
          </w:tcPr>
          <w:p>
            <w:pPr>
              <w:shd w:val="clear" w:color="auto" w:fill="FFFFFF"/>
              <w:rPr>
                <w:color w:val="000000"/>
                <w:sz w:val="18"/>
                <w:szCs w:val="18"/>
                <w:lang w:val="en-US"/>
              </w:rPr>
            </w:pPr>
          </w:p>
        </w:tc>
        <w:tc>
          <w:tcPr>
            <w:tcW w:w="2902" w:type="dxa"/>
            <w:tcBorders>
              <w:top w:val="single" w:sz="4" w:space="0" w:color="000000"/>
              <w:left w:val="single" w:sz="4" w:space="0" w:color="000000"/>
              <w:bottom w:val="single" w:sz="4" w:space="0" w:color="000000"/>
              <w:right w:val="single" w:sz="4" w:space="0" w:color="000000"/>
            </w:tcBorders>
          </w:tcPr>
          <w:p>
            <w:pPr>
              <w:rPr>
                <w:bCs/>
                <w:color w:val="000000"/>
                <w:sz w:val="18"/>
                <w:szCs w:val="18"/>
                <w:lang w:val="en-US"/>
              </w:rPr>
            </w:pPr>
            <w:r>
              <w:rPr>
                <w:sz w:val="18"/>
                <w:szCs w:val="18"/>
              </w:rPr>
              <w:t xml:space="preserve">Длина кабеля </w:t>
            </w:r>
          </w:p>
        </w:tc>
        <w:tc>
          <w:tcPr>
            <w:tcW w:w="4820" w:type="dxa"/>
            <w:tcBorders>
              <w:top w:val="single" w:sz="4" w:space="0" w:color="000000"/>
              <w:left w:val="single" w:sz="4" w:space="0" w:color="000000"/>
              <w:bottom w:val="single" w:sz="4" w:space="0" w:color="000000"/>
              <w:right w:val="single" w:sz="4" w:space="0" w:color="000000"/>
            </w:tcBorders>
          </w:tcPr>
          <w:p>
            <w:pPr>
              <w:rPr>
                <w:color w:val="000000"/>
                <w:sz w:val="18"/>
                <w:szCs w:val="18"/>
                <w:lang w:val="en-US"/>
              </w:rPr>
            </w:pPr>
            <w:r>
              <w:rPr>
                <w:color w:val="000000"/>
                <w:sz w:val="18"/>
                <w:szCs w:val="18"/>
                <w:lang w:val="en-US"/>
              </w:rPr>
              <w:t>≥</w:t>
            </w:r>
            <w:r>
              <w:rPr>
                <w:sz w:val="18"/>
                <w:szCs w:val="18"/>
              </w:rPr>
              <w:t>3.0</w:t>
            </w:r>
          </w:p>
        </w:tc>
        <w:tc>
          <w:tcPr>
            <w:tcW w:w="1559" w:type="dxa"/>
            <w:tcBorders>
              <w:top w:val="single" w:sz="4" w:space="0" w:color="000000"/>
              <w:left w:val="single" w:sz="4" w:space="0" w:color="000000"/>
              <w:bottom w:val="single" w:sz="4" w:space="0" w:color="000000"/>
              <w:right w:val="single" w:sz="4" w:space="0" w:color="000000"/>
            </w:tcBorders>
          </w:tcPr>
          <w:p>
            <w:pPr>
              <w:rPr>
                <w:bCs/>
                <w:color w:val="000000"/>
                <w:sz w:val="16"/>
                <w:szCs w:val="16"/>
                <w:lang w:val="en-US"/>
              </w:rPr>
            </w:pPr>
            <w:proofErr w:type="gramStart"/>
            <w:r>
              <w:rPr>
                <w:sz w:val="16"/>
                <w:szCs w:val="16"/>
              </w:rPr>
              <w:t>метр</w:t>
            </w:r>
            <w:proofErr w:type="gramEnd"/>
          </w:p>
        </w:tc>
        <w:tc>
          <w:tcPr>
            <w:tcW w:w="1134" w:type="dxa"/>
            <w:tcBorders>
              <w:left w:val="single" w:sz="4" w:space="0" w:color="000000"/>
              <w:right w:val="single" w:sz="4" w:space="0" w:color="000000"/>
            </w:tcBorders>
          </w:tcPr>
          <w:p>
            <w:pPr>
              <w:rPr>
                <w:color w:val="000000"/>
                <w:sz w:val="18"/>
                <w:szCs w:val="18"/>
                <w:lang w:val="en-US"/>
              </w:rPr>
            </w:pPr>
          </w:p>
        </w:tc>
        <w:tc>
          <w:tcPr>
            <w:tcW w:w="851" w:type="dxa"/>
            <w:tcBorders>
              <w:left w:val="single" w:sz="4" w:space="0" w:color="000000"/>
              <w:right w:val="single" w:sz="4" w:space="0" w:color="000000"/>
            </w:tcBorders>
          </w:tcPr>
          <w:p>
            <w:pPr>
              <w:rPr>
                <w:color w:val="000000"/>
                <w:sz w:val="18"/>
                <w:szCs w:val="18"/>
                <w:lang w:val="en-US"/>
              </w:rPr>
            </w:pPr>
          </w:p>
        </w:tc>
      </w:tr>
      <w:tr>
        <w:trPr>
          <w:trHeight w:val="319"/>
        </w:trPr>
        <w:tc>
          <w:tcPr>
            <w:tcW w:w="521" w:type="dxa"/>
            <w:tcBorders>
              <w:left w:val="single" w:sz="4" w:space="0" w:color="000000"/>
              <w:right w:val="single" w:sz="4" w:space="0" w:color="000000"/>
            </w:tcBorders>
          </w:tcPr>
          <w:p>
            <w:pPr>
              <w:rPr>
                <w:color w:val="000000"/>
                <w:sz w:val="18"/>
                <w:szCs w:val="18"/>
                <w:lang w:val="en-US"/>
              </w:rPr>
            </w:pPr>
          </w:p>
        </w:tc>
        <w:tc>
          <w:tcPr>
            <w:tcW w:w="2355" w:type="dxa"/>
            <w:tcBorders>
              <w:left w:val="single" w:sz="4" w:space="0" w:color="000000"/>
              <w:right w:val="single" w:sz="4" w:space="0" w:color="000000"/>
            </w:tcBorders>
          </w:tcPr>
          <w:p>
            <w:pPr>
              <w:rPr>
                <w:color w:val="000000"/>
                <w:sz w:val="18"/>
                <w:szCs w:val="18"/>
                <w:lang w:val="en-US"/>
              </w:rPr>
            </w:pPr>
          </w:p>
        </w:tc>
        <w:tc>
          <w:tcPr>
            <w:tcW w:w="1134" w:type="dxa"/>
            <w:tcBorders>
              <w:left w:val="single" w:sz="4" w:space="0" w:color="000000"/>
              <w:right w:val="single" w:sz="4" w:space="0" w:color="000000"/>
            </w:tcBorders>
          </w:tcPr>
          <w:p>
            <w:pPr>
              <w:shd w:val="clear" w:color="auto" w:fill="FFFFFF"/>
              <w:rPr>
                <w:color w:val="000000"/>
                <w:sz w:val="18"/>
                <w:szCs w:val="18"/>
                <w:lang w:val="en-US"/>
              </w:rPr>
            </w:pPr>
          </w:p>
        </w:tc>
        <w:tc>
          <w:tcPr>
            <w:tcW w:w="2902" w:type="dxa"/>
            <w:tcBorders>
              <w:top w:val="single" w:sz="4" w:space="0" w:color="000000"/>
              <w:left w:val="single" w:sz="4" w:space="0" w:color="000000"/>
              <w:bottom w:val="single" w:sz="4" w:space="0" w:color="000000"/>
              <w:right w:val="single" w:sz="4" w:space="0" w:color="000000"/>
            </w:tcBorders>
          </w:tcPr>
          <w:p>
            <w:pPr>
              <w:rPr>
                <w:bCs/>
                <w:color w:val="000000"/>
                <w:sz w:val="18"/>
                <w:szCs w:val="18"/>
                <w:lang w:val="en-US"/>
              </w:rPr>
            </w:pPr>
            <w:r>
              <w:rPr>
                <w:sz w:val="18"/>
                <w:szCs w:val="18"/>
              </w:rPr>
              <w:t>Основной разъем</w:t>
            </w:r>
          </w:p>
        </w:tc>
        <w:tc>
          <w:tcPr>
            <w:tcW w:w="4820" w:type="dxa"/>
            <w:tcBorders>
              <w:top w:val="single" w:sz="4" w:space="0" w:color="000000"/>
              <w:left w:val="single" w:sz="4" w:space="0" w:color="000000"/>
              <w:bottom w:val="single" w:sz="4" w:space="0" w:color="000000"/>
              <w:right w:val="single" w:sz="4" w:space="0" w:color="000000"/>
            </w:tcBorders>
          </w:tcPr>
          <w:p>
            <w:pPr>
              <w:rPr>
                <w:color w:val="000000"/>
                <w:sz w:val="18"/>
                <w:szCs w:val="18"/>
                <w:lang w:val="en-US"/>
              </w:rPr>
            </w:pPr>
            <w:r>
              <w:rPr>
                <w:sz w:val="18"/>
                <w:szCs w:val="18"/>
              </w:rPr>
              <w:t>3.5 мм мини-</w:t>
            </w:r>
            <w:proofErr w:type="spellStart"/>
            <w:r>
              <w:rPr>
                <w:sz w:val="18"/>
                <w:szCs w:val="18"/>
              </w:rPr>
              <w:t>джек</w:t>
            </w:r>
            <w:proofErr w:type="spellEnd"/>
          </w:p>
        </w:tc>
        <w:tc>
          <w:tcPr>
            <w:tcW w:w="1559" w:type="dxa"/>
            <w:tcBorders>
              <w:top w:val="single" w:sz="4" w:space="0" w:color="000000"/>
              <w:left w:val="single" w:sz="4" w:space="0" w:color="000000"/>
              <w:bottom w:val="single" w:sz="4" w:space="0" w:color="000000"/>
              <w:right w:val="single" w:sz="4" w:space="0" w:color="000000"/>
            </w:tcBorders>
          </w:tcPr>
          <w:p>
            <w:pPr>
              <w:rPr>
                <w:bCs/>
                <w:color w:val="000000"/>
                <w:sz w:val="16"/>
                <w:szCs w:val="16"/>
                <w:lang w:val="en-US"/>
              </w:rPr>
            </w:pPr>
          </w:p>
        </w:tc>
        <w:tc>
          <w:tcPr>
            <w:tcW w:w="1134" w:type="dxa"/>
            <w:tcBorders>
              <w:left w:val="single" w:sz="4" w:space="0" w:color="000000"/>
              <w:right w:val="single" w:sz="4" w:space="0" w:color="000000"/>
            </w:tcBorders>
          </w:tcPr>
          <w:p>
            <w:pPr>
              <w:rPr>
                <w:color w:val="000000"/>
                <w:sz w:val="18"/>
                <w:szCs w:val="18"/>
                <w:lang w:val="en-US"/>
              </w:rPr>
            </w:pPr>
          </w:p>
        </w:tc>
        <w:tc>
          <w:tcPr>
            <w:tcW w:w="851" w:type="dxa"/>
            <w:tcBorders>
              <w:left w:val="single" w:sz="4" w:space="0" w:color="000000"/>
              <w:right w:val="single" w:sz="4" w:space="0" w:color="000000"/>
            </w:tcBorders>
          </w:tcPr>
          <w:p>
            <w:pPr>
              <w:rPr>
                <w:color w:val="000000"/>
                <w:sz w:val="18"/>
                <w:szCs w:val="18"/>
                <w:lang w:val="en-US"/>
              </w:rPr>
            </w:pPr>
          </w:p>
        </w:tc>
      </w:tr>
      <w:tr>
        <w:trPr>
          <w:trHeight w:val="319"/>
        </w:trPr>
        <w:tc>
          <w:tcPr>
            <w:tcW w:w="521" w:type="dxa"/>
            <w:tcBorders>
              <w:left w:val="single" w:sz="4" w:space="0" w:color="000000"/>
              <w:right w:val="single" w:sz="4" w:space="0" w:color="000000"/>
            </w:tcBorders>
          </w:tcPr>
          <w:p>
            <w:pPr>
              <w:rPr>
                <w:color w:val="000000"/>
                <w:sz w:val="18"/>
                <w:szCs w:val="18"/>
                <w:lang w:val="en-US"/>
              </w:rPr>
            </w:pPr>
          </w:p>
        </w:tc>
        <w:tc>
          <w:tcPr>
            <w:tcW w:w="2355" w:type="dxa"/>
            <w:tcBorders>
              <w:left w:val="single" w:sz="4" w:space="0" w:color="000000"/>
              <w:right w:val="single" w:sz="4" w:space="0" w:color="000000"/>
            </w:tcBorders>
          </w:tcPr>
          <w:p>
            <w:pPr>
              <w:rPr>
                <w:color w:val="000000"/>
                <w:sz w:val="18"/>
                <w:szCs w:val="18"/>
                <w:lang w:val="en-US"/>
              </w:rPr>
            </w:pPr>
          </w:p>
        </w:tc>
        <w:tc>
          <w:tcPr>
            <w:tcW w:w="1134" w:type="dxa"/>
            <w:tcBorders>
              <w:left w:val="single" w:sz="4" w:space="0" w:color="000000"/>
              <w:right w:val="single" w:sz="4" w:space="0" w:color="000000"/>
            </w:tcBorders>
          </w:tcPr>
          <w:p>
            <w:pPr>
              <w:shd w:val="clear" w:color="auto" w:fill="FFFFFF"/>
              <w:rPr>
                <w:color w:val="000000"/>
                <w:sz w:val="18"/>
                <w:szCs w:val="18"/>
                <w:lang w:val="en-US"/>
              </w:rPr>
            </w:pPr>
          </w:p>
        </w:tc>
        <w:tc>
          <w:tcPr>
            <w:tcW w:w="2902" w:type="dxa"/>
            <w:tcBorders>
              <w:top w:val="single" w:sz="4" w:space="0" w:color="000000"/>
              <w:left w:val="single" w:sz="4" w:space="0" w:color="000000"/>
              <w:bottom w:val="single" w:sz="4" w:space="0" w:color="000000"/>
              <w:right w:val="single" w:sz="4" w:space="0" w:color="000000"/>
            </w:tcBorders>
          </w:tcPr>
          <w:p>
            <w:pPr>
              <w:rPr>
                <w:bCs/>
                <w:color w:val="000000"/>
                <w:sz w:val="18"/>
                <w:szCs w:val="18"/>
                <w:lang w:val="en-US"/>
              </w:rPr>
            </w:pPr>
            <w:r>
              <w:rPr>
                <w:sz w:val="18"/>
                <w:szCs w:val="18"/>
              </w:rPr>
              <w:t>Наличие адаптера</w:t>
            </w:r>
          </w:p>
        </w:tc>
        <w:tc>
          <w:tcPr>
            <w:tcW w:w="4820" w:type="dxa"/>
            <w:tcBorders>
              <w:top w:val="single" w:sz="4" w:space="0" w:color="000000"/>
              <w:left w:val="single" w:sz="4" w:space="0" w:color="000000"/>
              <w:bottom w:val="single" w:sz="4" w:space="0" w:color="000000"/>
              <w:right w:val="single" w:sz="4" w:space="0" w:color="000000"/>
            </w:tcBorders>
          </w:tcPr>
          <w:p>
            <w:pPr>
              <w:rPr>
                <w:color w:val="000000"/>
                <w:sz w:val="18"/>
                <w:szCs w:val="18"/>
                <w:lang w:val="en-US"/>
              </w:rPr>
            </w:pPr>
            <w:proofErr w:type="gramStart"/>
            <w:r>
              <w:rPr>
                <w:sz w:val="18"/>
                <w:szCs w:val="18"/>
              </w:rPr>
              <w:t>да</w:t>
            </w:r>
            <w:proofErr w:type="gramEnd"/>
          </w:p>
        </w:tc>
        <w:tc>
          <w:tcPr>
            <w:tcW w:w="1559" w:type="dxa"/>
            <w:tcBorders>
              <w:top w:val="single" w:sz="4" w:space="0" w:color="000000"/>
              <w:left w:val="single" w:sz="4" w:space="0" w:color="000000"/>
              <w:bottom w:val="single" w:sz="4" w:space="0" w:color="000000"/>
              <w:right w:val="single" w:sz="4" w:space="0" w:color="000000"/>
            </w:tcBorders>
          </w:tcPr>
          <w:p>
            <w:pPr>
              <w:rPr>
                <w:bCs/>
                <w:color w:val="000000"/>
                <w:sz w:val="16"/>
                <w:szCs w:val="16"/>
                <w:lang w:val="en-US"/>
              </w:rPr>
            </w:pPr>
          </w:p>
        </w:tc>
        <w:tc>
          <w:tcPr>
            <w:tcW w:w="1134" w:type="dxa"/>
            <w:tcBorders>
              <w:left w:val="single" w:sz="4" w:space="0" w:color="000000"/>
              <w:right w:val="single" w:sz="4" w:space="0" w:color="000000"/>
            </w:tcBorders>
          </w:tcPr>
          <w:p>
            <w:pPr>
              <w:rPr>
                <w:color w:val="000000"/>
                <w:sz w:val="18"/>
                <w:szCs w:val="18"/>
                <w:lang w:val="en-US"/>
              </w:rPr>
            </w:pPr>
          </w:p>
        </w:tc>
        <w:tc>
          <w:tcPr>
            <w:tcW w:w="851" w:type="dxa"/>
            <w:tcBorders>
              <w:left w:val="single" w:sz="4" w:space="0" w:color="000000"/>
              <w:right w:val="single" w:sz="4" w:space="0" w:color="000000"/>
            </w:tcBorders>
          </w:tcPr>
          <w:p>
            <w:pPr>
              <w:rPr>
                <w:color w:val="000000"/>
                <w:sz w:val="18"/>
                <w:szCs w:val="18"/>
                <w:lang w:val="en-US"/>
              </w:rPr>
            </w:pPr>
          </w:p>
        </w:tc>
      </w:tr>
      <w:tr>
        <w:trPr>
          <w:trHeight w:val="319"/>
        </w:trPr>
        <w:tc>
          <w:tcPr>
            <w:tcW w:w="521" w:type="dxa"/>
            <w:tcBorders>
              <w:left w:val="single" w:sz="4" w:space="0" w:color="000000"/>
              <w:right w:val="single" w:sz="4" w:space="0" w:color="000000"/>
            </w:tcBorders>
          </w:tcPr>
          <w:p>
            <w:pPr>
              <w:rPr>
                <w:color w:val="000000"/>
                <w:sz w:val="18"/>
                <w:szCs w:val="18"/>
                <w:lang w:val="en-US"/>
              </w:rPr>
            </w:pPr>
          </w:p>
        </w:tc>
        <w:tc>
          <w:tcPr>
            <w:tcW w:w="2355" w:type="dxa"/>
            <w:tcBorders>
              <w:left w:val="single" w:sz="4" w:space="0" w:color="000000"/>
              <w:right w:val="single" w:sz="4" w:space="0" w:color="000000"/>
            </w:tcBorders>
          </w:tcPr>
          <w:p>
            <w:pPr>
              <w:rPr>
                <w:color w:val="000000"/>
                <w:sz w:val="18"/>
                <w:szCs w:val="18"/>
                <w:lang w:val="en-US"/>
              </w:rPr>
            </w:pPr>
          </w:p>
        </w:tc>
        <w:tc>
          <w:tcPr>
            <w:tcW w:w="1134" w:type="dxa"/>
            <w:tcBorders>
              <w:left w:val="single" w:sz="4" w:space="0" w:color="000000"/>
              <w:right w:val="single" w:sz="4" w:space="0" w:color="000000"/>
            </w:tcBorders>
          </w:tcPr>
          <w:p>
            <w:pPr>
              <w:shd w:val="clear" w:color="auto" w:fill="FFFFFF"/>
              <w:rPr>
                <w:color w:val="000000"/>
                <w:sz w:val="18"/>
                <w:szCs w:val="18"/>
                <w:lang w:val="en-US"/>
              </w:rPr>
            </w:pPr>
          </w:p>
        </w:tc>
        <w:tc>
          <w:tcPr>
            <w:tcW w:w="2902" w:type="dxa"/>
            <w:tcBorders>
              <w:top w:val="single" w:sz="4" w:space="0" w:color="000000"/>
              <w:left w:val="single" w:sz="4" w:space="0" w:color="000000"/>
              <w:bottom w:val="single" w:sz="4" w:space="0" w:color="000000"/>
              <w:right w:val="single" w:sz="4" w:space="0" w:color="000000"/>
            </w:tcBorders>
          </w:tcPr>
          <w:p>
            <w:pPr>
              <w:rPr>
                <w:bCs/>
                <w:color w:val="000000"/>
                <w:sz w:val="18"/>
                <w:szCs w:val="18"/>
                <w:lang w:val="en-US"/>
              </w:rPr>
            </w:pPr>
            <w:r>
              <w:rPr>
                <w:sz w:val="18"/>
                <w:szCs w:val="18"/>
              </w:rPr>
              <w:t>Тип адаптера</w:t>
            </w:r>
          </w:p>
        </w:tc>
        <w:tc>
          <w:tcPr>
            <w:tcW w:w="4820" w:type="dxa"/>
            <w:tcBorders>
              <w:top w:val="single" w:sz="4" w:space="0" w:color="000000"/>
              <w:left w:val="single" w:sz="4" w:space="0" w:color="000000"/>
              <w:bottom w:val="single" w:sz="4" w:space="0" w:color="000000"/>
              <w:right w:val="single" w:sz="4" w:space="0" w:color="000000"/>
            </w:tcBorders>
          </w:tcPr>
          <w:p>
            <w:pPr>
              <w:rPr>
                <w:color w:val="000000"/>
                <w:sz w:val="18"/>
                <w:szCs w:val="18"/>
                <w:lang w:val="en-US"/>
              </w:rPr>
            </w:pPr>
            <w:r>
              <w:rPr>
                <w:sz w:val="18"/>
                <w:szCs w:val="18"/>
              </w:rPr>
              <w:t xml:space="preserve">6.35 мм стерео </w:t>
            </w:r>
            <w:proofErr w:type="spellStart"/>
            <w:r>
              <w:rPr>
                <w:sz w:val="18"/>
                <w:szCs w:val="18"/>
              </w:rPr>
              <w:t>джек</w:t>
            </w:r>
            <w:proofErr w:type="spellEnd"/>
            <w:r>
              <w:rPr>
                <w:sz w:val="18"/>
                <w:szCs w:val="18"/>
              </w:rPr>
              <w:t xml:space="preserve"> </w:t>
            </w:r>
          </w:p>
        </w:tc>
        <w:tc>
          <w:tcPr>
            <w:tcW w:w="1559" w:type="dxa"/>
            <w:tcBorders>
              <w:top w:val="single" w:sz="4" w:space="0" w:color="000000"/>
              <w:left w:val="single" w:sz="4" w:space="0" w:color="000000"/>
              <w:bottom w:val="single" w:sz="4" w:space="0" w:color="000000"/>
              <w:right w:val="single" w:sz="4" w:space="0" w:color="000000"/>
            </w:tcBorders>
          </w:tcPr>
          <w:p>
            <w:pPr>
              <w:rPr>
                <w:bCs/>
                <w:color w:val="000000"/>
                <w:sz w:val="16"/>
                <w:szCs w:val="16"/>
                <w:lang w:val="en-US"/>
              </w:rPr>
            </w:pPr>
          </w:p>
        </w:tc>
        <w:tc>
          <w:tcPr>
            <w:tcW w:w="1134" w:type="dxa"/>
            <w:vMerge w:val="restart"/>
            <w:tcBorders>
              <w:left w:val="single" w:sz="4" w:space="0" w:color="000000"/>
              <w:right w:val="single" w:sz="4" w:space="0" w:color="000000"/>
            </w:tcBorders>
          </w:tcPr>
          <w:p>
            <w:pPr>
              <w:rPr>
                <w:color w:val="000000"/>
                <w:sz w:val="18"/>
                <w:szCs w:val="18"/>
                <w:lang w:val="en-US"/>
              </w:rPr>
            </w:pPr>
          </w:p>
        </w:tc>
        <w:tc>
          <w:tcPr>
            <w:tcW w:w="851" w:type="dxa"/>
            <w:tcBorders>
              <w:left w:val="single" w:sz="4" w:space="0" w:color="000000"/>
              <w:right w:val="single" w:sz="4" w:space="0" w:color="000000"/>
            </w:tcBorders>
          </w:tcPr>
          <w:p>
            <w:pPr>
              <w:rPr>
                <w:color w:val="000000"/>
                <w:sz w:val="18"/>
                <w:szCs w:val="18"/>
                <w:lang w:val="en-US"/>
              </w:rPr>
            </w:pPr>
          </w:p>
        </w:tc>
      </w:tr>
      <w:tr>
        <w:trPr>
          <w:trHeight w:val="319"/>
        </w:trPr>
        <w:tc>
          <w:tcPr>
            <w:tcW w:w="521" w:type="dxa"/>
            <w:vMerge w:val="restart"/>
            <w:tcBorders>
              <w:left w:val="single" w:sz="4" w:space="0" w:color="000000"/>
              <w:right w:val="single" w:sz="4" w:space="0" w:color="000000"/>
            </w:tcBorders>
          </w:tcPr>
          <w:p>
            <w:pPr>
              <w:rPr>
                <w:color w:val="000000"/>
                <w:sz w:val="18"/>
                <w:szCs w:val="18"/>
                <w:lang w:val="en-US"/>
              </w:rPr>
            </w:pPr>
          </w:p>
        </w:tc>
        <w:tc>
          <w:tcPr>
            <w:tcW w:w="2355" w:type="dxa"/>
            <w:vMerge w:val="restart"/>
            <w:tcBorders>
              <w:left w:val="single" w:sz="4" w:space="0" w:color="000000"/>
              <w:right w:val="single" w:sz="4" w:space="0" w:color="000000"/>
            </w:tcBorders>
          </w:tcPr>
          <w:p>
            <w:pPr>
              <w:rPr>
                <w:color w:val="000000"/>
                <w:sz w:val="18"/>
                <w:szCs w:val="18"/>
                <w:lang w:val="en-US"/>
              </w:rPr>
            </w:pPr>
          </w:p>
        </w:tc>
        <w:tc>
          <w:tcPr>
            <w:tcW w:w="1134" w:type="dxa"/>
            <w:vMerge w:val="restart"/>
            <w:tcBorders>
              <w:left w:val="single" w:sz="4" w:space="0" w:color="000000"/>
              <w:right w:val="single" w:sz="4" w:space="0" w:color="000000"/>
            </w:tcBorders>
          </w:tcPr>
          <w:p>
            <w:pPr>
              <w:shd w:val="clear" w:color="auto" w:fill="FFFFFF"/>
              <w:rPr>
                <w:color w:val="000000"/>
                <w:sz w:val="18"/>
                <w:szCs w:val="18"/>
                <w:lang w:val="en-US"/>
              </w:rPr>
            </w:pPr>
          </w:p>
        </w:tc>
        <w:tc>
          <w:tcPr>
            <w:tcW w:w="2902" w:type="dxa"/>
            <w:tcBorders>
              <w:top w:val="single" w:sz="4" w:space="0" w:color="000000"/>
              <w:left w:val="single" w:sz="4" w:space="0" w:color="000000"/>
              <w:bottom w:val="single" w:sz="4" w:space="0" w:color="000000"/>
              <w:right w:val="single" w:sz="4" w:space="0" w:color="000000"/>
            </w:tcBorders>
          </w:tcPr>
          <w:p>
            <w:pPr>
              <w:rPr>
                <w:bCs/>
                <w:color w:val="000000"/>
                <w:sz w:val="18"/>
                <w:szCs w:val="18"/>
                <w:lang w:val="en-US"/>
              </w:rPr>
            </w:pPr>
            <w:r>
              <w:rPr>
                <w:sz w:val="18"/>
                <w:szCs w:val="18"/>
              </w:rPr>
              <w:t>Вес без кабеля</w:t>
            </w:r>
          </w:p>
        </w:tc>
        <w:tc>
          <w:tcPr>
            <w:tcW w:w="4820" w:type="dxa"/>
            <w:tcBorders>
              <w:top w:val="single" w:sz="4" w:space="0" w:color="000000"/>
              <w:left w:val="single" w:sz="4" w:space="0" w:color="000000"/>
              <w:bottom w:val="single" w:sz="4" w:space="0" w:color="000000"/>
              <w:right w:val="single" w:sz="4" w:space="0" w:color="000000"/>
            </w:tcBorders>
          </w:tcPr>
          <w:p>
            <w:pPr>
              <w:rPr>
                <w:color w:val="000000"/>
                <w:sz w:val="18"/>
                <w:szCs w:val="18"/>
                <w:lang w:val="en-US"/>
              </w:rPr>
            </w:pPr>
            <w:r>
              <w:rPr>
                <w:sz w:val="18"/>
                <w:szCs w:val="18"/>
              </w:rPr>
              <w:t>≤300</w:t>
            </w:r>
          </w:p>
        </w:tc>
        <w:tc>
          <w:tcPr>
            <w:tcW w:w="1559" w:type="dxa"/>
            <w:tcBorders>
              <w:top w:val="single" w:sz="4" w:space="0" w:color="000000"/>
              <w:left w:val="single" w:sz="4" w:space="0" w:color="000000"/>
              <w:bottom w:val="single" w:sz="4" w:space="0" w:color="000000"/>
              <w:right w:val="single" w:sz="4" w:space="0" w:color="000000"/>
            </w:tcBorders>
          </w:tcPr>
          <w:p>
            <w:pPr>
              <w:rPr>
                <w:bCs/>
                <w:color w:val="000000"/>
                <w:sz w:val="16"/>
                <w:szCs w:val="16"/>
                <w:lang w:val="en-US"/>
              </w:rPr>
            </w:pPr>
            <w:proofErr w:type="gramStart"/>
            <w:r>
              <w:rPr>
                <w:sz w:val="16"/>
                <w:szCs w:val="16"/>
              </w:rPr>
              <w:t>грамм</w:t>
            </w:r>
            <w:proofErr w:type="gramEnd"/>
          </w:p>
        </w:tc>
        <w:tc>
          <w:tcPr>
            <w:tcW w:w="1134" w:type="dxa"/>
            <w:vMerge/>
            <w:tcBorders>
              <w:left w:val="single" w:sz="4" w:space="0" w:color="000000"/>
              <w:right w:val="single" w:sz="4" w:space="0" w:color="000000"/>
            </w:tcBorders>
          </w:tcPr>
          <w:p>
            <w:pPr>
              <w:rPr>
                <w:color w:val="000000"/>
                <w:sz w:val="18"/>
                <w:szCs w:val="18"/>
                <w:lang w:val="en-US"/>
              </w:rPr>
            </w:pPr>
          </w:p>
        </w:tc>
        <w:tc>
          <w:tcPr>
            <w:tcW w:w="851" w:type="dxa"/>
            <w:vMerge w:val="restart"/>
            <w:tcBorders>
              <w:left w:val="single" w:sz="4" w:space="0" w:color="000000"/>
              <w:right w:val="single" w:sz="4" w:space="0" w:color="000000"/>
            </w:tcBorders>
          </w:tcPr>
          <w:p>
            <w:pPr>
              <w:rPr>
                <w:color w:val="000000"/>
                <w:sz w:val="18"/>
                <w:szCs w:val="18"/>
                <w:lang w:val="en-US"/>
              </w:rPr>
            </w:pPr>
          </w:p>
        </w:tc>
      </w:tr>
      <w:tr>
        <w:trPr>
          <w:trHeight w:val="319"/>
        </w:trPr>
        <w:tc>
          <w:tcPr>
            <w:tcW w:w="521" w:type="dxa"/>
            <w:vMerge/>
            <w:tcBorders>
              <w:left w:val="single" w:sz="4" w:space="0" w:color="000000"/>
              <w:bottom w:val="single" w:sz="4" w:space="0" w:color="000000"/>
              <w:right w:val="single" w:sz="4" w:space="0" w:color="000000"/>
            </w:tcBorders>
          </w:tcPr>
          <w:p>
            <w:pPr>
              <w:rPr>
                <w:color w:val="000000"/>
                <w:sz w:val="18"/>
                <w:szCs w:val="18"/>
                <w:lang w:val="en-US"/>
              </w:rPr>
            </w:pPr>
          </w:p>
        </w:tc>
        <w:tc>
          <w:tcPr>
            <w:tcW w:w="2355" w:type="dxa"/>
            <w:vMerge/>
            <w:tcBorders>
              <w:left w:val="single" w:sz="4" w:space="0" w:color="000000"/>
              <w:bottom w:val="single" w:sz="4" w:space="0" w:color="000000"/>
              <w:right w:val="single" w:sz="4" w:space="0" w:color="000000"/>
            </w:tcBorders>
          </w:tcPr>
          <w:p>
            <w:pPr>
              <w:rPr>
                <w:color w:val="000000"/>
                <w:sz w:val="18"/>
                <w:szCs w:val="18"/>
                <w:lang w:val="en-US"/>
              </w:rPr>
            </w:pPr>
          </w:p>
        </w:tc>
        <w:tc>
          <w:tcPr>
            <w:tcW w:w="1134" w:type="dxa"/>
            <w:vMerge/>
            <w:tcBorders>
              <w:left w:val="single" w:sz="4" w:space="0" w:color="000000"/>
              <w:bottom w:val="single" w:sz="4" w:space="0" w:color="000000"/>
              <w:right w:val="single" w:sz="4" w:space="0" w:color="000000"/>
            </w:tcBorders>
          </w:tcPr>
          <w:p>
            <w:pPr>
              <w:shd w:val="clear" w:color="auto" w:fill="FFFFFF"/>
              <w:rPr>
                <w:color w:val="000000"/>
                <w:sz w:val="18"/>
                <w:szCs w:val="18"/>
                <w:lang w:val="en-US"/>
              </w:rPr>
            </w:pPr>
          </w:p>
        </w:tc>
        <w:tc>
          <w:tcPr>
            <w:tcW w:w="2902" w:type="dxa"/>
            <w:tcBorders>
              <w:top w:val="single" w:sz="4" w:space="0" w:color="000000"/>
              <w:left w:val="single" w:sz="4" w:space="0" w:color="000000"/>
              <w:bottom w:val="single" w:sz="4" w:space="0" w:color="000000"/>
              <w:right w:val="single" w:sz="4" w:space="0" w:color="000000"/>
            </w:tcBorders>
          </w:tcPr>
          <w:p>
            <w:pPr>
              <w:rPr>
                <w:bCs/>
                <w:color w:val="000000"/>
                <w:sz w:val="18"/>
                <w:szCs w:val="18"/>
                <w:lang w:val="en-US"/>
              </w:rPr>
            </w:pPr>
            <w:r>
              <w:rPr>
                <w:sz w:val="18"/>
                <w:szCs w:val="18"/>
              </w:rPr>
              <w:t>Система усиления низких частот</w:t>
            </w:r>
          </w:p>
        </w:tc>
        <w:tc>
          <w:tcPr>
            <w:tcW w:w="4820" w:type="dxa"/>
            <w:tcBorders>
              <w:top w:val="single" w:sz="4" w:space="0" w:color="000000"/>
              <w:left w:val="single" w:sz="4" w:space="0" w:color="000000"/>
              <w:bottom w:val="single" w:sz="4" w:space="0" w:color="000000"/>
              <w:right w:val="single" w:sz="4" w:space="0" w:color="000000"/>
            </w:tcBorders>
          </w:tcPr>
          <w:p>
            <w:pPr>
              <w:rPr>
                <w:color w:val="000000"/>
                <w:sz w:val="18"/>
                <w:szCs w:val="18"/>
                <w:lang w:val="en-US"/>
              </w:rPr>
            </w:pPr>
            <w:r>
              <w:rPr>
                <w:sz w:val="18"/>
                <w:szCs w:val="18"/>
              </w:rPr>
              <w:t>Инновационная система басового рефлекса</w:t>
            </w:r>
          </w:p>
        </w:tc>
        <w:tc>
          <w:tcPr>
            <w:tcW w:w="1559" w:type="dxa"/>
            <w:tcBorders>
              <w:top w:val="single" w:sz="4" w:space="0" w:color="000000"/>
              <w:left w:val="single" w:sz="4" w:space="0" w:color="000000"/>
              <w:bottom w:val="single" w:sz="4" w:space="0" w:color="000000"/>
              <w:right w:val="single" w:sz="4" w:space="0" w:color="000000"/>
            </w:tcBorders>
          </w:tcPr>
          <w:p>
            <w:pPr>
              <w:rPr>
                <w:bCs/>
                <w:color w:val="000000"/>
                <w:sz w:val="16"/>
                <w:szCs w:val="16"/>
                <w:lang w:val="en-US"/>
              </w:rPr>
            </w:pPr>
          </w:p>
        </w:tc>
        <w:tc>
          <w:tcPr>
            <w:tcW w:w="1134" w:type="dxa"/>
            <w:vMerge/>
            <w:tcBorders>
              <w:left w:val="single" w:sz="4" w:space="0" w:color="000000"/>
              <w:bottom w:val="single" w:sz="4" w:space="0" w:color="000000"/>
              <w:right w:val="single" w:sz="4" w:space="0" w:color="000000"/>
            </w:tcBorders>
          </w:tcPr>
          <w:p>
            <w:pPr>
              <w:rPr>
                <w:color w:val="000000"/>
                <w:sz w:val="18"/>
                <w:szCs w:val="18"/>
                <w:lang w:val="en-US"/>
              </w:rPr>
            </w:pPr>
          </w:p>
        </w:tc>
        <w:tc>
          <w:tcPr>
            <w:tcW w:w="851" w:type="dxa"/>
            <w:vMerge/>
            <w:tcBorders>
              <w:left w:val="single" w:sz="4" w:space="0" w:color="000000"/>
              <w:bottom w:val="single" w:sz="4" w:space="0" w:color="000000"/>
              <w:right w:val="single" w:sz="4" w:space="0" w:color="000000"/>
            </w:tcBorders>
          </w:tcPr>
          <w:p>
            <w:pPr>
              <w:rPr>
                <w:color w:val="000000"/>
                <w:sz w:val="18"/>
                <w:szCs w:val="18"/>
                <w:lang w:val="en-US"/>
              </w:rPr>
            </w:pPr>
          </w:p>
        </w:tc>
      </w:tr>
    </w:tbl>
    <w:p>
      <w:pPr>
        <w:outlineLvl w:val="0"/>
        <w:rPr>
          <w:b/>
          <w:i/>
          <w:sz w:val="20"/>
          <w:u w:val="single"/>
        </w:rPr>
      </w:pPr>
    </w:p>
    <w:p>
      <w:pPr>
        <w:outlineLvl w:val="0"/>
        <w:rPr>
          <w:b/>
          <w:i/>
          <w:sz w:val="20"/>
          <w:u w:val="single"/>
        </w:rPr>
      </w:pPr>
    </w:p>
    <w:p>
      <w:pPr>
        <w:jc w:val="center"/>
        <w:outlineLvl w:val="0"/>
        <w:rPr>
          <w:b/>
          <w:sz w:val="20"/>
        </w:rPr>
      </w:pPr>
    </w:p>
    <w:p>
      <w:pPr>
        <w:jc w:val="both"/>
        <w:rPr>
          <w:bCs/>
          <w:sz w:val="16"/>
          <w:szCs w:val="16"/>
        </w:rPr>
      </w:pPr>
      <w:r>
        <w:rPr>
          <w:bCs/>
          <w:sz w:val="16"/>
          <w:szCs w:val="16"/>
        </w:rPr>
        <w:t xml:space="preserve">Описание объекта закупки выполнено в соответствии с требованиями ст. 33. Федерального закона от 05.04.2013 N 44-ФЗ и действующей нормативно-технической документацией на товары такого рода. </w:t>
      </w:r>
    </w:p>
    <w:sectPr>
      <w:headerReference w:type="default" r:id="rId20"/>
      <w:pgSz w:w="16838" w:h="11906" w:orient="landscape"/>
      <w:pgMar w:top="1134" w:right="567" w:bottom="567" w:left="79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DL">
    <w:altName w:val="Times New Roman"/>
    <w:panose1 w:val="00000000000000000000"/>
    <w:charset w:val="00"/>
    <w:family w:val="roman"/>
    <w:notTrueType/>
    <w:pitch w:val="variable"/>
    <w:sig w:usb0="00000003" w:usb1="00000000" w:usb2="00000000" w:usb3="00000000" w:csb0="00000001" w:csb1="00000000"/>
  </w:font>
  <w:font w:name="DejaVu Sans">
    <w:altName w:val="Calibri"/>
    <w:charset w:val="CC"/>
    <w:family w:val="swiss"/>
    <w:pitch w:val="variable"/>
    <w:sig w:usb0="E7002EFF" w:usb1="D200FDFF" w:usb2="0A246029" w:usb3="00000000" w:csb0="000001FF" w:csb1="00000000"/>
  </w:font>
  <w:font w:name="font181">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Andale Sans UI">
    <w:altName w:val="Segoe Print"/>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5"/>
      <w:jc w:val="right"/>
    </w:pPr>
  </w:p>
  <w:p>
    <w:pPr>
      <w:pStyle w:val="a5"/>
      <w:tabs>
        <w:tab w:val="left" w:pos="1302"/>
        <w:tab w:val="left" w:pos="5635"/>
      </w:tabs>
      <w:rPr>
        <w:i/>
      </w:rPr>
    </w:pPr>
    <w:r>
      <w:tab/>
    </w:r>
    <w:r>
      <w:rPr>
        <w:i/>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5"/>
      <w:jc w:val="right"/>
    </w:pPr>
  </w:p>
  <w:p>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 w:id="1">
    <w:p>
      <w:pPr>
        <w:pStyle w:val="af"/>
        <w:jc w:val="both"/>
        <w:rPr>
          <w:rFonts w:ascii="Times New Roman" w:hAnsi="Times New Roman"/>
        </w:rPr>
      </w:pPr>
      <w:r>
        <w:rPr>
          <w:rStyle w:val="af1"/>
          <w:rFonts w:ascii="Times New Roman" w:hAnsi="Times New Roman"/>
        </w:rPr>
        <w:footnoteRef/>
      </w:r>
      <w:r>
        <w:rPr>
          <w:rFonts w:ascii="Times New Roman" w:hAnsi="Times New Roman"/>
        </w:rPr>
        <w:t xml:space="preserve"> Здесь и далее по тексту контракта в случае, если объект закупки не подлежит налогообложению и (или) поставщик имеет право на освобождение от уплаты НДС, выбирается «НДС не облагается на основании ___________ Налогового кодекса Российской Федерации» с указанием статьи Налогового кодекса Российской Федерации (ст. 149 НК РФ).</w:t>
      </w:r>
    </w:p>
  </w:footnote>
  <w:footnote w:id="2">
    <w:p>
      <w:pPr>
        <w:pStyle w:val="af"/>
        <w:jc w:val="both"/>
        <w:rPr>
          <w:rFonts w:ascii="Times New Roman" w:hAnsi="Times New Roman"/>
        </w:rPr>
      </w:pPr>
      <w:r>
        <w:rPr>
          <w:rStyle w:val="af1"/>
          <w:rFonts w:ascii="Times New Roman" w:hAnsi="Times New Roman"/>
        </w:rPr>
        <w:footnoteRef/>
      </w:r>
      <w:r>
        <w:rPr>
          <w:rFonts w:ascii="Times New Roman" w:hAnsi="Times New Roman"/>
        </w:rPr>
        <w:t xml:space="preserve"> За исключением случаев, предусмотренных пунктами 7.11 - 7.13, 7.15 контракта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3"/>
      <w:jc w:val="center"/>
      <w:rPr>
        <w:sz w:val="24"/>
        <w:szCs w:val="24"/>
      </w:rPr>
    </w:pPr>
    <w:r>
      <w:rPr>
        <w:sz w:val="24"/>
        <w:szCs w:val="24"/>
      </w:rPr>
      <w:fldChar w:fldCharType="begin"/>
    </w:r>
    <w:r>
      <w:rPr>
        <w:sz w:val="24"/>
        <w:szCs w:val="24"/>
      </w:rPr>
      <w:instrText>PAGE   \* MERGEFORMAT</w:instrText>
    </w:r>
    <w:r>
      <w:rPr>
        <w:sz w:val="24"/>
        <w:szCs w:val="24"/>
      </w:rPr>
      <w:fldChar w:fldCharType="separate"/>
    </w:r>
    <w:r>
      <w:rPr>
        <w:noProof/>
        <w:sz w:val="24"/>
        <w:szCs w:val="24"/>
      </w:rPr>
      <w:t>15</w:t>
    </w:r>
    <w:r>
      <w:rPr>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5A22"/>
    <w:multiLevelType w:val="hybridMultilevel"/>
    <w:tmpl w:val="230E493E"/>
    <w:lvl w:ilvl="0" w:tplc="57B88B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7A15DC9"/>
    <w:multiLevelType w:val="hybridMultilevel"/>
    <w:tmpl w:val="4942DE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BFE253D"/>
    <w:multiLevelType w:val="multilevel"/>
    <w:tmpl w:val="B4D01696"/>
    <w:lvl w:ilvl="0">
      <w:start w:val="1"/>
      <w:numFmt w:val="decimal"/>
      <w:lvlText w:val="%1."/>
      <w:lvlJc w:val="left"/>
      <w:pPr>
        <w:ind w:left="1260" w:hanging="1260"/>
      </w:pPr>
      <w:rPr>
        <w:rFonts w:eastAsia="Calibri" w:hint="default"/>
      </w:rPr>
    </w:lvl>
    <w:lvl w:ilvl="1">
      <w:start w:val="1"/>
      <w:numFmt w:val="decimal"/>
      <w:lvlText w:val="%1.%2."/>
      <w:lvlJc w:val="left"/>
      <w:pPr>
        <w:ind w:left="1500" w:hanging="1260"/>
      </w:pPr>
      <w:rPr>
        <w:rFonts w:eastAsia="Calibri" w:hint="default"/>
      </w:rPr>
    </w:lvl>
    <w:lvl w:ilvl="2">
      <w:start w:val="1"/>
      <w:numFmt w:val="decimal"/>
      <w:lvlText w:val="%1.%2.%3."/>
      <w:lvlJc w:val="left"/>
      <w:pPr>
        <w:ind w:left="1740" w:hanging="1260"/>
      </w:pPr>
      <w:rPr>
        <w:rFonts w:eastAsia="Calibri" w:hint="default"/>
      </w:rPr>
    </w:lvl>
    <w:lvl w:ilvl="3">
      <w:start w:val="1"/>
      <w:numFmt w:val="decimal"/>
      <w:lvlText w:val="%1.%2.%3.%4."/>
      <w:lvlJc w:val="left"/>
      <w:pPr>
        <w:ind w:left="1980" w:hanging="1260"/>
      </w:pPr>
      <w:rPr>
        <w:rFonts w:eastAsia="Calibri" w:hint="default"/>
      </w:rPr>
    </w:lvl>
    <w:lvl w:ilvl="4">
      <w:start w:val="1"/>
      <w:numFmt w:val="decimal"/>
      <w:lvlText w:val="%1.%2.%3.%4.%5."/>
      <w:lvlJc w:val="left"/>
      <w:pPr>
        <w:ind w:left="2220" w:hanging="1260"/>
      </w:pPr>
      <w:rPr>
        <w:rFonts w:eastAsia="Calibri" w:hint="default"/>
      </w:rPr>
    </w:lvl>
    <w:lvl w:ilvl="5">
      <w:start w:val="1"/>
      <w:numFmt w:val="decimal"/>
      <w:lvlText w:val="%1.%2.%3.%4.%5.%6."/>
      <w:lvlJc w:val="left"/>
      <w:pPr>
        <w:ind w:left="2460" w:hanging="1260"/>
      </w:pPr>
      <w:rPr>
        <w:rFonts w:eastAsia="Calibri" w:hint="default"/>
      </w:rPr>
    </w:lvl>
    <w:lvl w:ilvl="6">
      <w:start w:val="1"/>
      <w:numFmt w:val="decimal"/>
      <w:lvlText w:val="%1.%2.%3.%4.%5.%6.%7."/>
      <w:lvlJc w:val="left"/>
      <w:pPr>
        <w:ind w:left="2880" w:hanging="1440"/>
      </w:pPr>
      <w:rPr>
        <w:rFonts w:eastAsia="Calibri" w:hint="default"/>
      </w:rPr>
    </w:lvl>
    <w:lvl w:ilvl="7">
      <w:start w:val="1"/>
      <w:numFmt w:val="decimal"/>
      <w:lvlText w:val="%1.%2.%3.%4.%5.%6.%7.%8."/>
      <w:lvlJc w:val="left"/>
      <w:pPr>
        <w:ind w:left="3120" w:hanging="1440"/>
      </w:pPr>
      <w:rPr>
        <w:rFonts w:eastAsia="Calibri" w:hint="default"/>
      </w:rPr>
    </w:lvl>
    <w:lvl w:ilvl="8">
      <w:start w:val="1"/>
      <w:numFmt w:val="decimal"/>
      <w:lvlText w:val="%1.%2.%3.%4.%5.%6.%7.%8.%9."/>
      <w:lvlJc w:val="left"/>
      <w:pPr>
        <w:ind w:left="3720" w:hanging="1800"/>
      </w:pPr>
      <w:rPr>
        <w:rFonts w:eastAsia="Calibri" w:hint="default"/>
      </w:rPr>
    </w:lvl>
  </w:abstractNum>
  <w:abstractNum w:abstractNumId="3">
    <w:nsid w:val="1DA15281"/>
    <w:multiLevelType w:val="hybridMultilevel"/>
    <w:tmpl w:val="7494D97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3A3C63"/>
    <w:multiLevelType w:val="hybridMultilevel"/>
    <w:tmpl w:val="BDA05A7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26F26BA"/>
    <w:multiLevelType w:val="hybridMultilevel"/>
    <w:tmpl w:val="110E9F78"/>
    <w:lvl w:ilvl="0" w:tplc="36E2DAC8">
      <w:start w:val="1"/>
      <w:numFmt w:val="decimal"/>
      <w:lvlText w:val="%1."/>
      <w:lvlJc w:val="left"/>
      <w:pPr>
        <w:ind w:left="927" w:hanging="360"/>
      </w:pPr>
      <w:rPr>
        <w:rFonts w:hint="default"/>
        <w:color w:val="000000"/>
        <w:u w:val="none"/>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6A92C1A"/>
    <w:multiLevelType w:val="multilevel"/>
    <w:tmpl w:val="F690799C"/>
    <w:lvl w:ilvl="0">
      <w:start w:val="1"/>
      <w:numFmt w:val="decimal"/>
      <w:lvlText w:val="%1."/>
      <w:lvlJc w:val="left"/>
      <w:pPr>
        <w:ind w:left="2810" w:hanging="420"/>
      </w:pPr>
      <w:rPr>
        <w:rFonts w:ascii="Times New Roman" w:eastAsia="Calibri" w:hAnsi="Times New Roman" w:cs="Times New Roman"/>
      </w:rPr>
    </w:lvl>
    <w:lvl w:ilvl="1">
      <w:start w:val="1"/>
      <w:numFmt w:val="decimal"/>
      <w:isLgl/>
      <w:lvlText w:val="%1.%2."/>
      <w:lvlJc w:val="left"/>
      <w:pPr>
        <w:ind w:left="3405" w:hanging="780"/>
      </w:pPr>
      <w:rPr>
        <w:rFonts w:hint="default"/>
      </w:rPr>
    </w:lvl>
    <w:lvl w:ilvl="2">
      <w:start w:val="1"/>
      <w:numFmt w:val="decimal"/>
      <w:isLgl/>
      <w:lvlText w:val="%1.%2.%3."/>
      <w:lvlJc w:val="left"/>
      <w:pPr>
        <w:ind w:left="3825" w:hanging="780"/>
      </w:pPr>
      <w:rPr>
        <w:rFonts w:hint="default"/>
      </w:rPr>
    </w:lvl>
    <w:lvl w:ilvl="3">
      <w:start w:val="1"/>
      <w:numFmt w:val="decimal"/>
      <w:isLgl/>
      <w:lvlText w:val="%1.%2.%3.%4."/>
      <w:lvlJc w:val="left"/>
      <w:pPr>
        <w:ind w:left="4545" w:hanging="1080"/>
      </w:pPr>
      <w:rPr>
        <w:rFonts w:hint="default"/>
      </w:rPr>
    </w:lvl>
    <w:lvl w:ilvl="4">
      <w:start w:val="1"/>
      <w:numFmt w:val="decimal"/>
      <w:isLgl/>
      <w:lvlText w:val="%1.%2.%3.%4.%5."/>
      <w:lvlJc w:val="left"/>
      <w:pPr>
        <w:ind w:left="4965" w:hanging="1080"/>
      </w:pPr>
      <w:rPr>
        <w:rFonts w:hint="default"/>
      </w:rPr>
    </w:lvl>
    <w:lvl w:ilvl="5">
      <w:start w:val="1"/>
      <w:numFmt w:val="decimal"/>
      <w:isLgl/>
      <w:lvlText w:val="%1.%2.%3.%4.%5.%6."/>
      <w:lvlJc w:val="left"/>
      <w:pPr>
        <w:ind w:left="5745" w:hanging="1440"/>
      </w:pPr>
      <w:rPr>
        <w:rFonts w:hint="default"/>
      </w:rPr>
    </w:lvl>
    <w:lvl w:ilvl="6">
      <w:start w:val="1"/>
      <w:numFmt w:val="decimal"/>
      <w:isLgl/>
      <w:lvlText w:val="%1.%2.%3.%4.%5.%6.%7."/>
      <w:lvlJc w:val="left"/>
      <w:pPr>
        <w:ind w:left="6525" w:hanging="1800"/>
      </w:pPr>
      <w:rPr>
        <w:rFonts w:hint="default"/>
      </w:rPr>
    </w:lvl>
    <w:lvl w:ilvl="7">
      <w:start w:val="1"/>
      <w:numFmt w:val="decimal"/>
      <w:isLgl/>
      <w:lvlText w:val="%1.%2.%3.%4.%5.%6.%7.%8."/>
      <w:lvlJc w:val="left"/>
      <w:pPr>
        <w:ind w:left="6945" w:hanging="1800"/>
      </w:pPr>
      <w:rPr>
        <w:rFonts w:hint="default"/>
      </w:rPr>
    </w:lvl>
    <w:lvl w:ilvl="8">
      <w:start w:val="1"/>
      <w:numFmt w:val="decimal"/>
      <w:isLgl/>
      <w:lvlText w:val="%1.%2.%3.%4.%5.%6.%7.%8.%9."/>
      <w:lvlJc w:val="left"/>
      <w:pPr>
        <w:ind w:left="7725" w:hanging="2160"/>
      </w:pPr>
      <w:rPr>
        <w:rFonts w:hint="default"/>
      </w:rPr>
    </w:lvl>
  </w:abstractNum>
  <w:abstractNum w:abstractNumId="7">
    <w:nsid w:val="3A185ED3"/>
    <w:multiLevelType w:val="hybridMultilevel"/>
    <w:tmpl w:val="5E5075F2"/>
    <w:lvl w:ilvl="0" w:tplc="D4380274">
      <w:start w:val="1"/>
      <w:numFmt w:val="decimal"/>
      <w:lvlText w:val="%1."/>
      <w:lvlJc w:val="left"/>
      <w:pPr>
        <w:ind w:left="1309" w:hanging="6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9">
    <w:nsid w:val="41B87566"/>
    <w:multiLevelType w:val="multilevel"/>
    <w:tmpl w:val="E280E67A"/>
    <w:lvl w:ilvl="0">
      <w:start w:val="1"/>
      <w:numFmt w:val="decimal"/>
      <w:lvlText w:val="%1."/>
      <w:lvlJc w:val="left"/>
      <w:pPr>
        <w:ind w:left="540" w:hanging="360"/>
      </w:pPr>
      <w:rPr>
        <w:rFonts w:hint="default"/>
      </w:rPr>
    </w:lvl>
    <w:lvl w:ilvl="1">
      <w:start w:val="2"/>
      <w:numFmt w:val="decimal"/>
      <w:isLgl/>
      <w:lvlText w:val="%1.%2."/>
      <w:lvlJc w:val="left"/>
      <w:pPr>
        <w:ind w:left="1068" w:hanging="360"/>
      </w:pPr>
      <w:rPr>
        <w:rFonts w:hint="default"/>
      </w:rPr>
    </w:lvl>
    <w:lvl w:ilvl="2">
      <w:start w:val="1"/>
      <w:numFmt w:val="decimal"/>
      <w:isLgl/>
      <w:lvlText w:val="%1.%2.%3."/>
      <w:lvlJc w:val="left"/>
      <w:pPr>
        <w:ind w:left="1956" w:hanging="720"/>
      </w:pPr>
      <w:rPr>
        <w:rFonts w:hint="default"/>
      </w:rPr>
    </w:lvl>
    <w:lvl w:ilvl="3">
      <w:start w:val="1"/>
      <w:numFmt w:val="decimal"/>
      <w:isLgl/>
      <w:lvlText w:val="%1.%2.%3.%4."/>
      <w:lvlJc w:val="left"/>
      <w:pPr>
        <w:ind w:left="2484" w:hanging="720"/>
      </w:pPr>
      <w:rPr>
        <w:rFonts w:hint="default"/>
      </w:rPr>
    </w:lvl>
    <w:lvl w:ilvl="4">
      <w:start w:val="1"/>
      <w:numFmt w:val="decimal"/>
      <w:isLgl/>
      <w:lvlText w:val="%1.%2.%3.%4.%5."/>
      <w:lvlJc w:val="left"/>
      <w:pPr>
        <w:ind w:left="3372" w:hanging="1080"/>
      </w:pPr>
      <w:rPr>
        <w:rFonts w:hint="default"/>
      </w:rPr>
    </w:lvl>
    <w:lvl w:ilvl="5">
      <w:start w:val="1"/>
      <w:numFmt w:val="decimal"/>
      <w:isLgl/>
      <w:lvlText w:val="%1.%2.%3.%4.%5.%6."/>
      <w:lvlJc w:val="left"/>
      <w:pPr>
        <w:ind w:left="3900" w:hanging="1080"/>
      </w:pPr>
      <w:rPr>
        <w:rFonts w:hint="default"/>
      </w:rPr>
    </w:lvl>
    <w:lvl w:ilvl="6">
      <w:start w:val="1"/>
      <w:numFmt w:val="decimal"/>
      <w:isLgl/>
      <w:lvlText w:val="%1.%2.%3.%4.%5.%6.%7."/>
      <w:lvlJc w:val="left"/>
      <w:pPr>
        <w:ind w:left="4788" w:hanging="1440"/>
      </w:pPr>
      <w:rPr>
        <w:rFonts w:hint="default"/>
      </w:rPr>
    </w:lvl>
    <w:lvl w:ilvl="7">
      <w:start w:val="1"/>
      <w:numFmt w:val="decimal"/>
      <w:isLgl/>
      <w:lvlText w:val="%1.%2.%3.%4.%5.%6.%7.%8."/>
      <w:lvlJc w:val="left"/>
      <w:pPr>
        <w:ind w:left="5316" w:hanging="1440"/>
      </w:pPr>
      <w:rPr>
        <w:rFonts w:hint="default"/>
      </w:rPr>
    </w:lvl>
    <w:lvl w:ilvl="8">
      <w:start w:val="1"/>
      <w:numFmt w:val="decimal"/>
      <w:isLgl/>
      <w:lvlText w:val="%1.%2.%3.%4.%5.%6.%7.%8.%9."/>
      <w:lvlJc w:val="left"/>
      <w:pPr>
        <w:ind w:left="6204" w:hanging="1800"/>
      </w:pPr>
      <w:rPr>
        <w:rFonts w:hint="default"/>
      </w:rPr>
    </w:lvl>
  </w:abstractNum>
  <w:abstractNum w:abstractNumId="10">
    <w:nsid w:val="496559E2"/>
    <w:multiLevelType w:val="hybridMultilevel"/>
    <w:tmpl w:val="4942DE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2">
    <w:nsid w:val="58864A1F"/>
    <w:multiLevelType w:val="hybridMultilevel"/>
    <w:tmpl w:val="38487F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14">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5">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62CD1E68"/>
    <w:multiLevelType w:val="multilevel"/>
    <w:tmpl w:val="020A8D0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440" w:hanging="108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800" w:hanging="1440"/>
      </w:pPr>
      <w:rPr>
        <w:rFonts w:hint="default"/>
        <w:sz w:val="24"/>
      </w:rPr>
    </w:lvl>
    <w:lvl w:ilvl="6">
      <w:start w:val="1"/>
      <w:numFmt w:val="decimal"/>
      <w:isLgl/>
      <w:lvlText w:val="%1.%2.%3.%4.%5.%6.%7."/>
      <w:lvlJc w:val="left"/>
      <w:pPr>
        <w:ind w:left="2160" w:hanging="1800"/>
      </w:pPr>
      <w:rPr>
        <w:rFonts w:hint="default"/>
        <w:sz w:val="24"/>
      </w:rPr>
    </w:lvl>
    <w:lvl w:ilvl="7">
      <w:start w:val="1"/>
      <w:numFmt w:val="decimal"/>
      <w:isLgl/>
      <w:lvlText w:val="%1.%2.%3.%4.%5.%6.%7.%8."/>
      <w:lvlJc w:val="left"/>
      <w:pPr>
        <w:ind w:left="2160" w:hanging="1800"/>
      </w:pPr>
      <w:rPr>
        <w:rFonts w:hint="default"/>
        <w:sz w:val="24"/>
      </w:rPr>
    </w:lvl>
    <w:lvl w:ilvl="8">
      <w:start w:val="1"/>
      <w:numFmt w:val="decimal"/>
      <w:isLgl/>
      <w:lvlText w:val="%1.%2.%3.%4.%5.%6.%7.%8.%9."/>
      <w:lvlJc w:val="left"/>
      <w:pPr>
        <w:ind w:left="2520" w:hanging="2160"/>
      </w:pPr>
      <w:rPr>
        <w:rFonts w:hint="default"/>
        <w:sz w:val="24"/>
      </w:rPr>
    </w:lvl>
  </w:abstractNum>
  <w:abstractNum w:abstractNumId="17">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4"/>
  </w:num>
  <w:num w:numId="2">
    <w:abstractNumId w:val="1"/>
  </w:num>
  <w:num w:numId="3">
    <w:abstractNumId w:val="7"/>
  </w:num>
  <w:num w:numId="4">
    <w:abstractNumId w:val="10"/>
  </w:num>
  <w:num w:numId="5">
    <w:abstractNumId w:val="6"/>
  </w:num>
  <w:num w:numId="6">
    <w:abstractNumId w:val="16"/>
  </w:num>
  <w:num w:numId="7">
    <w:abstractNumId w:val="12"/>
  </w:num>
  <w:num w:numId="8">
    <w:abstractNumId w:val="9"/>
  </w:num>
  <w:num w:numId="9">
    <w:abstractNumId w:val="2"/>
  </w:num>
  <w:num w:numId="10">
    <w:abstractNumId w:val="0"/>
  </w:num>
  <w:num w:numId="11">
    <w:abstractNumId w:val="13"/>
  </w:num>
  <w:num w:numId="12">
    <w:abstractNumId w:val="18"/>
  </w:num>
  <w:num w:numId="13">
    <w:abstractNumId w:val="11"/>
  </w:num>
  <w:num w:numId="14">
    <w:abstractNumId w:val="8"/>
  </w:num>
  <w:num w:numId="15">
    <w:abstractNumId w:val="14"/>
  </w:num>
  <w:num w:numId="16">
    <w:abstractNumId w:val="15"/>
  </w:num>
  <w:num w:numId="17">
    <w:abstractNumId w:val="17"/>
  </w:num>
  <w:num w:numId="18">
    <w:abstractNumId w:val="5"/>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9"/>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01EED7C-A655-4C0C-BCA7-2187429FF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nhideWhenUsed="1" w:qFormat="1"/>
    <w:lsdException w:name="heading 7" w:semiHidden="1" w:unhideWhenUsed="1" w:qFormat="1"/>
    <w:lsdException w:name="heading 8" w:uiPriority="9" w:qFormat="1"/>
    <w:lsdException w:name="heading 9" w:semiHidden="1" w:unhideWhenUsed="1" w:qFormat="1"/>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annotation reference" w:uiPriority="99"/>
    <w:lsdException w:name="Title" w:uiPriority="10" w:qFormat="1"/>
    <w:lsdException w:name="Subtitle" w:uiPriority="11" w:qFormat="1"/>
    <w:lsdException w:name="Hyperlink" w:uiPriority="99"/>
    <w:lsdException w:name="FollowedHyperlink" w:uiPriority="99"/>
    <w:lsdException w:name="Strong" w:qFormat="1"/>
    <w:lsdException w:name="Emphasis" w:qFormat="1"/>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
    <w:qFormat/>
    <w:pPr>
      <w:keepNext/>
      <w:outlineLvl w:val="0"/>
    </w:pPr>
    <w:rPr>
      <w:b/>
      <w:bCs/>
      <w:spacing w:val="4"/>
      <w:sz w:val="28"/>
    </w:rPr>
  </w:style>
  <w:style w:type="paragraph" w:styleId="2">
    <w:name w:val="heading 2"/>
    <w:basedOn w:val="a"/>
    <w:next w:val="a"/>
    <w:link w:val="20"/>
    <w:uiPriority w:val="9"/>
    <w:unhideWhenUsed/>
    <w:qFormat/>
    <w:pPr>
      <w:keepNext/>
      <w:keepLines/>
      <w:spacing w:before="40" w:line="259" w:lineRule="auto"/>
      <w:outlineLvl w:val="1"/>
    </w:pPr>
    <w:rPr>
      <w:rFonts w:ascii="Calibri Light" w:hAnsi="Calibri Light"/>
      <w:color w:val="2E74B5"/>
      <w:sz w:val="26"/>
      <w:szCs w:val="26"/>
      <w:lang w:eastAsia="en-US"/>
    </w:rPr>
  </w:style>
  <w:style w:type="paragraph" w:styleId="3">
    <w:name w:val="heading 3"/>
    <w:basedOn w:val="a"/>
    <w:next w:val="a"/>
    <w:link w:val="30"/>
    <w:uiPriority w:val="9"/>
    <w:unhideWhenUsed/>
    <w:qFormat/>
    <w:pPr>
      <w:keepNext/>
      <w:keepLines/>
      <w:spacing w:before="40" w:line="259" w:lineRule="auto"/>
      <w:outlineLvl w:val="2"/>
    </w:pPr>
    <w:rPr>
      <w:rFonts w:ascii="Calibri Light" w:hAnsi="Calibri Light"/>
      <w:color w:val="1F4D78"/>
      <w:lang w:eastAsia="en-US"/>
    </w:rPr>
  </w:style>
  <w:style w:type="paragraph" w:styleId="4">
    <w:name w:val="heading 4"/>
    <w:basedOn w:val="a"/>
    <w:next w:val="a"/>
    <w:link w:val="40"/>
    <w:uiPriority w:val="9"/>
    <w:unhideWhenUsed/>
    <w:qFormat/>
    <w:pPr>
      <w:keepNext/>
      <w:keepLines/>
      <w:spacing w:before="40" w:line="259" w:lineRule="auto"/>
      <w:outlineLvl w:val="3"/>
    </w:pPr>
    <w:rPr>
      <w:rFonts w:ascii="Calibri Light" w:hAnsi="Calibri Light"/>
      <w:i/>
      <w:iCs/>
      <w:color w:val="2E74B5"/>
      <w:sz w:val="22"/>
      <w:szCs w:val="22"/>
      <w:lang w:eastAsia="en-US"/>
    </w:rPr>
  </w:style>
  <w:style w:type="paragraph" w:styleId="5">
    <w:name w:val="heading 5"/>
    <w:basedOn w:val="a"/>
    <w:next w:val="a"/>
    <w:link w:val="50"/>
    <w:uiPriority w:val="9"/>
    <w:qFormat/>
    <w:pPr>
      <w:keepNext/>
      <w:jc w:val="center"/>
      <w:outlineLvl w:val="4"/>
    </w:pPr>
    <w:rPr>
      <w:b/>
      <w:sz w:val="16"/>
      <w:szCs w:val="20"/>
    </w:rPr>
  </w:style>
  <w:style w:type="paragraph" w:styleId="8">
    <w:name w:val="heading 8"/>
    <w:basedOn w:val="a"/>
    <w:next w:val="a"/>
    <w:link w:val="80"/>
    <w:uiPriority w:val="9"/>
    <w:qFormat/>
    <w:pPr>
      <w:keepNext/>
      <w:jc w:val="center"/>
      <w:outlineLvl w:val="7"/>
    </w:pPr>
    <w:rPr>
      <w:b/>
      <w:spacing w:val="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rPr>
      <w:sz w:val="20"/>
      <w:szCs w:val="20"/>
    </w:rPr>
  </w:style>
  <w:style w:type="paragraph" w:styleId="a5">
    <w:name w:val="footer"/>
    <w:basedOn w:val="a"/>
    <w:link w:val="a6"/>
    <w:uiPriority w:val="99"/>
    <w:pPr>
      <w:tabs>
        <w:tab w:val="center" w:pos="4153"/>
        <w:tab w:val="right" w:pos="8306"/>
      </w:tabs>
    </w:pPr>
    <w:rPr>
      <w:sz w:val="20"/>
      <w:szCs w:val="20"/>
    </w:rPr>
  </w:style>
  <w:style w:type="paragraph" w:styleId="a7">
    <w:name w:val="Body Text"/>
    <w:basedOn w:val="a"/>
    <w:pPr>
      <w:jc w:val="both"/>
    </w:pPr>
    <w:rPr>
      <w:rFonts w:ascii="Times New Roman CYR" w:hAnsi="Times New Roman CYR"/>
      <w:sz w:val="26"/>
      <w:szCs w:val="20"/>
    </w:rPr>
  </w:style>
  <w:style w:type="paragraph" w:styleId="a8">
    <w:name w:val="Balloon Text"/>
    <w:basedOn w:val="a"/>
    <w:link w:val="a9"/>
    <w:uiPriority w:val="99"/>
    <w:rPr>
      <w:rFonts w:ascii="Segoe UI" w:hAnsi="Segoe UI"/>
      <w:sz w:val="18"/>
      <w:szCs w:val="18"/>
      <w:lang w:val="x-none" w:eastAsia="x-none"/>
    </w:rPr>
  </w:style>
  <w:style w:type="character" w:customStyle="1" w:styleId="a9">
    <w:name w:val="Текст выноски Знак"/>
    <w:link w:val="a8"/>
    <w:uiPriority w:val="99"/>
    <w:rPr>
      <w:rFonts w:ascii="Segoe UI" w:hAnsi="Segoe UI" w:cs="Segoe UI"/>
      <w:sz w:val="18"/>
      <w:szCs w:val="18"/>
    </w:rPr>
  </w:style>
  <w:style w:type="table" w:styleId="aa">
    <w:name w:val="Table Grid"/>
    <w:basedOn w:val="a1"/>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pPr>
      <w:autoSpaceDE w:val="0"/>
      <w:autoSpaceDN w:val="0"/>
      <w:adjustRightInd w:val="0"/>
    </w:pPr>
    <w:rPr>
      <w:b/>
      <w:bCs/>
      <w:sz w:val="28"/>
      <w:szCs w:val="28"/>
    </w:rPr>
  </w:style>
  <w:style w:type="character" w:customStyle="1" w:styleId="add">
    <w:name w:val="add"/>
  </w:style>
  <w:style w:type="paragraph" w:customStyle="1" w:styleId="formattext">
    <w:name w:val="formattext"/>
    <w:basedOn w:val="a"/>
    <w:pPr>
      <w:spacing w:before="100" w:beforeAutospacing="1" w:after="100" w:afterAutospacing="1"/>
    </w:pPr>
  </w:style>
  <w:style w:type="character" w:customStyle="1" w:styleId="change">
    <w:name w:val="change"/>
  </w:style>
  <w:style w:type="paragraph" w:styleId="ab">
    <w:name w:val="No Spacing"/>
    <w:uiPriority w:val="1"/>
    <w:qFormat/>
    <w:rPr>
      <w:rFonts w:ascii="Calibri" w:eastAsia="Calibri" w:hAnsi="Calibri"/>
      <w:sz w:val="22"/>
      <w:szCs w:val="22"/>
      <w:lang w:eastAsia="en-US"/>
    </w:rPr>
  </w:style>
  <w:style w:type="paragraph" w:customStyle="1" w:styleId="headertext">
    <w:name w:val="headertext"/>
    <w:basedOn w:val="a"/>
    <w:pPr>
      <w:spacing w:before="100" w:beforeAutospacing="1" w:after="100" w:afterAutospacing="1"/>
    </w:pPr>
  </w:style>
  <w:style w:type="paragraph" w:customStyle="1" w:styleId="ConsPlusNormal">
    <w:name w:val="ConsPlusNormal"/>
    <w:link w:val="ConsPlusNormal0"/>
    <w:qFormat/>
    <w:pPr>
      <w:widowControl w:val="0"/>
      <w:autoSpaceDE w:val="0"/>
      <w:autoSpaceDN w:val="0"/>
    </w:pPr>
    <w:rPr>
      <w:sz w:val="24"/>
    </w:rPr>
  </w:style>
  <w:style w:type="character" w:customStyle="1" w:styleId="ConsPlusNormal0">
    <w:name w:val="ConsPlusNormal Знак"/>
    <w:link w:val="ConsPlusNormal"/>
    <w:locked/>
    <w:rPr>
      <w:sz w:val="24"/>
    </w:rPr>
  </w:style>
  <w:style w:type="character" w:customStyle="1" w:styleId="a4">
    <w:name w:val="Верхний колонтитул Знак"/>
    <w:link w:val="a3"/>
    <w:uiPriority w:val="99"/>
  </w:style>
  <w:style w:type="character" w:customStyle="1" w:styleId="a6">
    <w:name w:val="Нижний колонтитул Знак"/>
    <w:link w:val="a5"/>
    <w:uiPriority w:val="99"/>
  </w:style>
  <w:style w:type="character" w:styleId="ac">
    <w:name w:val="Hyperlink"/>
    <w:uiPriority w:val="99"/>
    <w:unhideWhenUsed/>
    <w:rPr>
      <w:color w:val="0000FF"/>
      <w:u w:val="single"/>
    </w:rPr>
  </w:style>
  <w:style w:type="character" w:customStyle="1" w:styleId="20">
    <w:name w:val="Заголовок 2 Знак"/>
    <w:link w:val="2"/>
    <w:uiPriority w:val="9"/>
    <w:rPr>
      <w:rFonts w:ascii="Calibri Light" w:hAnsi="Calibri Light"/>
      <w:color w:val="2E74B5"/>
      <w:sz w:val="26"/>
      <w:szCs w:val="26"/>
      <w:lang w:eastAsia="en-US"/>
    </w:rPr>
  </w:style>
  <w:style w:type="character" w:customStyle="1" w:styleId="30">
    <w:name w:val="Заголовок 3 Знак"/>
    <w:link w:val="3"/>
    <w:uiPriority w:val="9"/>
    <w:rPr>
      <w:rFonts w:ascii="Calibri Light" w:hAnsi="Calibri Light"/>
      <w:color w:val="1F4D78"/>
      <w:sz w:val="24"/>
      <w:szCs w:val="24"/>
      <w:lang w:eastAsia="en-US"/>
    </w:rPr>
  </w:style>
  <w:style w:type="character" w:customStyle="1" w:styleId="40">
    <w:name w:val="Заголовок 4 Знак"/>
    <w:link w:val="4"/>
    <w:uiPriority w:val="9"/>
    <w:rPr>
      <w:rFonts w:ascii="Calibri Light" w:hAnsi="Calibri Light"/>
      <w:i/>
      <w:iCs/>
      <w:color w:val="2E74B5"/>
      <w:sz w:val="22"/>
      <w:szCs w:val="22"/>
      <w:lang w:eastAsia="en-US"/>
    </w:rPr>
  </w:style>
  <w:style w:type="character" w:customStyle="1" w:styleId="10">
    <w:name w:val="Заголовок 1 Знак"/>
    <w:link w:val="1"/>
    <w:uiPriority w:val="9"/>
    <w:rPr>
      <w:b/>
      <w:bCs/>
      <w:spacing w:val="4"/>
      <w:sz w:val="28"/>
      <w:szCs w:val="24"/>
    </w:rPr>
  </w:style>
  <w:style w:type="character" w:customStyle="1" w:styleId="50">
    <w:name w:val="Заголовок 5 Знак"/>
    <w:link w:val="5"/>
    <w:uiPriority w:val="9"/>
    <w:rPr>
      <w:b/>
      <w:sz w:val="16"/>
    </w:rPr>
  </w:style>
  <w:style w:type="character" w:customStyle="1" w:styleId="80">
    <w:name w:val="Заголовок 8 Знак"/>
    <w:link w:val="8"/>
    <w:uiPriority w:val="9"/>
    <w:rPr>
      <w:b/>
      <w:spacing w:val="4"/>
      <w:sz w:val="24"/>
    </w:rPr>
  </w:style>
  <w:style w:type="paragraph" w:styleId="ad">
    <w:name w:val="Subtitle"/>
    <w:basedOn w:val="a"/>
    <w:next w:val="a"/>
    <w:link w:val="ae"/>
    <w:uiPriority w:val="11"/>
    <w:qFormat/>
    <w:pPr>
      <w:numPr>
        <w:ilvl w:val="1"/>
      </w:numPr>
      <w:spacing w:after="160" w:line="259" w:lineRule="auto"/>
    </w:pPr>
    <w:rPr>
      <w:rFonts w:ascii="Calibri" w:hAnsi="Calibri"/>
      <w:color w:val="5A5A5A"/>
      <w:spacing w:val="15"/>
      <w:sz w:val="22"/>
      <w:szCs w:val="22"/>
      <w:lang w:eastAsia="en-US"/>
    </w:rPr>
  </w:style>
  <w:style w:type="character" w:customStyle="1" w:styleId="ae">
    <w:name w:val="Подзаголовок Знак"/>
    <w:link w:val="ad"/>
    <w:uiPriority w:val="11"/>
    <w:rPr>
      <w:rFonts w:ascii="Calibri" w:hAnsi="Calibri"/>
      <w:color w:val="5A5A5A"/>
      <w:spacing w:val="15"/>
      <w:sz w:val="22"/>
      <w:szCs w:val="22"/>
      <w:lang w:eastAsia="en-US"/>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unhideWhenUsed/>
    <w:qFormat/>
    <w:rPr>
      <w:rFonts w:ascii="Calibri" w:eastAsia="Calibri" w:hAnsi="Calibri"/>
      <w:sz w:val="20"/>
      <w:szCs w:val="20"/>
      <w:lang w:eastAsia="en-US"/>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
    <w:uiPriority w:val="99"/>
    <w:rPr>
      <w:rFonts w:ascii="Calibri" w:eastAsia="Calibri" w:hAnsi="Calibri"/>
      <w:lang w:eastAsia="en-US"/>
    </w:rPr>
  </w:style>
  <w:style w:type="character" w:styleId="af1">
    <w:name w:val="footnote reference"/>
    <w:aliases w:val="Знак сноски 1,Знак сноски-FN,fr,Used by Word for Help footnote symbols"/>
    <w:link w:val="11"/>
    <w:uiPriority w:val="99"/>
    <w:unhideWhenUsed/>
    <w:qFormat/>
    <w:rPr>
      <w:vertAlign w:val="superscript"/>
    </w:rPr>
  </w:style>
  <w:style w:type="paragraph" w:customStyle="1" w:styleId="12">
    <w:name w:val="Название1"/>
    <w:basedOn w:val="a"/>
    <w:next w:val="a"/>
    <w:link w:val="af2"/>
    <w:uiPriority w:val="10"/>
    <w:qFormat/>
    <w:pPr>
      <w:contextualSpacing/>
    </w:pPr>
    <w:rPr>
      <w:rFonts w:ascii="Calibri Light" w:hAnsi="Calibri Light"/>
      <w:spacing w:val="-10"/>
      <w:kern w:val="28"/>
      <w:sz w:val="56"/>
      <w:szCs w:val="56"/>
      <w:lang w:eastAsia="en-US"/>
    </w:rPr>
  </w:style>
  <w:style w:type="character" w:customStyle="1" w:styleId="af2">
    <w:name w:val="Название Знак"/>
    <w:link w:val="12"/>
    <w:uiPriority w:val="10"/>
    <w:rPr>
      <w:rFonts w:ascii="Calibri Light" w:hAnsi="Calibri Light"/>
      <w:spacing w:val="-10"/>
      <w:kern w:val="28"/>
      <w:sz w:val="56"/>
      <w:szCs w:val="56"/>
      <w:lang w:eastAsia="en-US"/>
    </w:rPr>
  </w:style>
  <w:style w:type="paragraph" w:styleId="af3">
    <w:name w:val="List Paragraph"/>
    <w:basedOn w:val="a"/>
    <w:uiPriority w:val="34"/>
    <w:qFormat/>
    <w:pPr>
      <w:spacing w:after="160" w:line="259" w:lineRule="auto"/>
      <w:ind w:left="720"/>
      <w:contextualSpacing/>
    </w:pPr>
    <w:rPr>
      <w:rFonts w:ascii="Calibri" w:eastAsia="Calibri" w:hAnsi="Calibri"/>
      <w:sz w:val="22"/>
      <w:szCs w:val="22"/>
      <w:lang w:eastAsia="en-US"/>
    </w:rPr>
  </w:style>
  <w:style w:type="character" w:styleId="af4">
    <w:name w:val="Placeholder Text"/>
    <w:uiPriority w:val="99"/>
    <w:semiHidden/>
    <w:rPr>
      <w:color w:val="808080"/>
    </w:rPr>
  </w:style>
  <w:style w:type="character" w:styleId="af5">
    <w:name w:val="annotation reference"/>
    <w:uiPriority w:val="99"/>
    <w:unhideWhenUsed/>
    <w:rPr>
      <w:sz w:val="16"/>
      <w:szCs w:val="16"/>
    </w:rPr>
  </w:style>
  <w:style w:type="paragraph" w:styleId="af6">
    <w:name w:val="annotation text"/>
    <w:basedOn w:val="a"/>
    <w:link w:val="af7"/>
    <w:uiPriority w:val="99"/>
    <w:unhideWhenUsed/>
    <w:pPr>
      <w:spacing w:after="160"/>
    </w:pPr>
    <w:rPr>
      <w:rFonts w:ascii="Calibri" w:eastAsia="Calibri" w:hAnsi="Calibri"/>
      <w:sz w:val="20"/>
      <w:szCs w:val="20"/>
      <w:lang w:eastAsia="en-US"/>
    </w:rPr>
  </w:style>
  <w:style w:type="character" w:customStyle="1" w:styleId="af7">
    <w:name w:val="Текст примечания Знак"/>
    <w:link w:val="af6"/>
    <w:uiPriority w:val="99"/>
    <w:rPr>
      <w:rFonts w:ascii="Calibri" w:eastAsia="Calibri" w:hAnsi="Calibri"/>
      <w:lang w:eastAsia="en-US"/>
    </w:rPr>
  </w:style>
  <w:style w:type="character" w:styleId="af8">
    <w:name w:val="FollowedHyperlink"/>
    <w:uiPriority w:val="99"/>
    <w:unhideWhenUsed/>
    <w:rPr>
      <w:color w:val="800080"/>
      <w:u w:val="single"/>
    </w:rPr>
  </w:style>
  <w:style w:type="paragraph" w:styleId="HTML">
    <w:name w:val="HTML Preformatted"/>
    <w:basedOn w:val="a"/>
    <w:link w:val="HTML0"/>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Pr>
      <w:rFonts w:ascii="Courier New" w:hAnsi="Courier New" w:cs="Courier New"/>
    </w:rPr>
  </w:style>
  <w:style w:type="paragraph" w:customStyle="1" w:styleId="af9">
    <w:name w:val="Подраздел"/>
    <w:pPr>
      <w:widowControl w:val="0"/>
      <w:suppressAutoHyphens/>
      <w:spacing w:before="240" w:after="120" w:line="100" w:lineRule="atLeast"/>
      <w:jc w:val="center"/>
    </w:pPr>
    <w:rPr>
      <w:rFonts w:ascii="TimesDL" w:eastAsia="DejaVu Sans" w:hAnsi="TimesDL" w:cs="font181"/>
      <w:b/>
      <w:smallCaps/>
      <w:spacing w:val="-2"/>
      <w:kern w:val="1"/>
      <w:sz w:val="24"/>
      <w:lang w:eastAsia="ar-SA"/>
    </w:rPr>
  </w:style>
  <w:style w:type="paragraph" w:styleId="afa">
    <w:name w:val="endnote text"/>
    <w:basedOn w:val="a"/>
    <w:link w:val="afb"/>
    <w:rPr>
      <w:sz w:val="20"/>
      <w:szCs w:val="20"/>
    </w:rPr>
  </w:style>
  <w:style w:type="character" w:customStyle="1" w:styleId="afb">
    <w:name w:val="Текст концевой сноски Знак"/>
    <w:basedOn w:val="a0"/>
    <w:link w:val="afa"/>
  </w:style>
  <w:style w:type="character" w:styleId="afc">
    <w:name w:val="endnote reference"/>
    <w:rPr>
      <w:vertAlign w:val="superscript"/>
    </w:rPr>
  </w:style>
  <w:style w:type="paragraph" w:customStyle="1" w:styleId="11">
    <w:name w:val="Знак сноски1"/>
    <w:basedOn w:val="a"/>
    <w:link w:val="af1"/>
    <w:uiPriority w:val="99"/>
    <w:qFormat/>
    <w:pPr>
      <w:spacing w:after="200" w:line="276" w:lineRule="auto"/>
    </w:pPr>
    <w:rPr>
      <w:sz w:val="20"/>
      <w:szCs w:val="20"/>
      <w:vertAlign w:val="superscript"/>
    </w:rPr>
  </w:style>
  <w:style w:type="character" w:customStyle="1" w:styleId="afd">
    <w:name w:val="Основной текст_"/>
    <w:link w:val="13"/>
    <w:rPr>
      <w:sz w:val="28"/>
      <w:szCs w:val="28"/>
      <w:shd w:val="clear" w:color="auto" w:fill="FFFFFF"/>
    </w:rPr>
  </w:style>
  <w:style w:type="paragraph" w:customStyle="1" w:styleId="13">
    <w:name w:val="Основной текст1"/>
    <w:basedOn w:val="a"/>
    <w:link w:val="afd"/>
    <w:pPr>
      <w:widowControl w:val="0"/>
      <w:shd w:val="clear" w:color="auto" w:fill="FFFFFF"/>
      <w:spacing w:after="200"/>
    </w:pPr>
    <w:rPr>
      <w:sz w:val="28"/>
      <w:szCs w:val="28"/>
    </w:rPr>
  </w:style>
  <w:style w:type="character" w:customStyle="1" w:styleId="user-accountsubname">
    <w:name w:val="user-account__subname"/>
    <w:basedOn w:val="a0"/>
  </w:style>
  <w:style w:type="character" w:customStyle="1" w:styleId="UnresolvedMention">
    <w:name w:val="Unresolved Mention"/>
    <w:basedOn w:val="a0"/>
    <w:uiPriority w:val="99"/>
    <w:semiHidden/>
    <w:unhideWhenUsed/>
    <w:rPr>
      <w:color w:val="605E5C"/>
      <w:shd w:val="clear" w:color="auto" w:fill="E1DFDD"/>
    </w:rPr>
  </w:style>
  <w:style w:type="paragraph" w:customStyle="1" w:styleId="21">
    <w:name w:val="Без интервала2"/>
    <w:qFormat/>
    <w:rPr>
      <w:rFonts w:eastAsia="Calibri"/>
      <w:sz w:val="24"/>
      <w:szCs w:val="24"/>
    </w:rPr>
  </w:style>
  <w:style w:type="paragraph" w:customStyle="1" w:styleId="41">
    <w:name w:val="Обычный4"/>
    <w:link w:val="afe"/>
    <w:qFormat/>
    <w:pPr>
      <w:widowControl w:val="0"/>
      <w:snapToGrid w:val="0"/>
    </w:pPr>
    <w:rPr>
      <w:sz w:val="22"/>
      <w:szCs w:val="22"/>
    </w:rPr>
  </w:style>
  <w:style w:type="character" w:customStyle="1" w:styleId="afe">
    <w:name w:val="Обычный Знак"/>
    <w:link w:val="41"/>
    <w:locked/>
    <w:rPr>
      <w:sz w:val="22"/>
      <w:szCs w:val="22"/>
    </w:rPr>
  </w:style>
  <w:style w:type="table" w:customStyle="1" w:styleId="14">
    <w:name w:val="Сетка таблицы1"/>
    <w:basedOn w:val="a1"/>
    <w:next w:val="aa"/>
    <w:uiPriority w:val="39"/>
    <w:rPr>
      <w:rFonts w:asciiTheme="minorHAnsi"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pPr>
      <w:widowControl w:val="0"/>
      <w:autoSpaceDE w:val="0"/>
      <w:autoSpaceDN w:val="0"/>
      <w:adjustRightInd w:val="0"/>
      <w:jc w:val="center"/>
    </w:pPr>
    <w:rPr>
      <w:rFonts w:eastAsiaTheme="minorEastAsia"/>
    </w:rPr>
  </w:style>
  <w:style w:type="table" w:customStyle="1" w:styleId="22">
    <w:name w:val="Сетка таблицы2"/>
    <w:basedOn w:val="a1"/>
    <w:next w:val="aa"/>
    <w:uiPriority w:val="39"/>
    <w:rPr>
      <w:rFonts w:asciiTheme="minorHAnsi"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62124">
      <w:bodyDiv w:val="1"/>
      <w:marLeft w:val="0"/>
      <w:marRight w:val="0"/>
      <w:marTop w:val="0"/>
      <w:marBottom w:val="0"/>
      <w:divBdr>
        <w:top w:val="none" w:sz="0" w:space="0" w:color="auto"/>
        <w:left w:val="none" w:sz="0" w:space="0" w:color="auto"/>
        <w:bottom w:val="none" w:sz="0" w:space="0" w:color="auto"/>
        <w:right w:val="none" w:sz="0" w:space="0" w:color="auto"/>
      </w:divBdr>
      <w:divsChild>
        <w:div w:id="308436880">
          <w:marLeft w:val="0"/>
          <w:marRight w:val="0"/>
          <w:marTop w:val="0"/>
          <w:marBottom w:val="0"/>
          <w:divBdr>
            <w:top w:val="none" w:sz="0" w:space="0" w:color="auto"/>
            <w:left w:val="none" w:sz="0" w:space="0" w:color="auto"/>
            <w:bottom w:val="none" w:sz="0" w:space="0" w:color="auto"/>
            <w:right w:val="none" w:sz="0" w:space="0" w:color="auto"/>
          </w:divBdr>
          <w:divsChild>
            <w:div w:id="1875462390">
              <w:marLeft w:val="0"/>
              <w:marRight w:val="0"/>
              <w:marTop w:val="0"/>
              <w:marBottom w:val="0"/>
              <w:divBdr>
                <w:top w:val="none" w:sz="0" w:space="0" w:color="auto"/>
                <w:left w:val="none" w:sz="0" w:space="0" w:color="auto"/>
                <w:bottom w:val="none" w:sz="0" w:space="0" w:color="auto"/>
                <w:right w:val="none" w:sz="0" w:space="0" w:color="auto"/>
              </w:divBdr>
              <w:divsChild>
                <w:div w:id="131232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619280">
          <w:marLeft w:val="0"/>
          <w:marRight w:val="0"/>
          <w:marTop w:val="0"/>
          <w:marBottom w:val="0"/>
          <w:divBdr>
            <w:top w:val="none" w:sz="0" w:space="0" w:color="auto"/>
            <w:left w:val="none" w:sz="0" w:space="0" w:color="auto"/>
            <w:bottom w:val="none" w:sz="0" w:space="0" w:color="auto"/>
            <w:right w:val="none" w:sz="0" w:space="0" w:color="auto"/>
          </w:divBdr>
          <w:divsChild>
            <w:div w:id="614025909">
              <w:marLeft w:val="0"/>
              <w:marRight w:val="0"/>
              <w:marTop w:val="0"/>
              <w:marBottom w:val="0"/>
              <w:divBdr>
                <w:top w:val="none" w:sz="0" w:space="0" w:color="auto"/>
                <w:left w:val="none" w:sz="0" w:space="0" w:color="auto"/>
                <w:bottom w:val="none" w:sz="0" w:space="0" w:color="auto"/>
                <w:right w:val="none" w:sz="0" w:space="0" w:color="auto"/>
              </w:divBdr>
              <w:divsChild>
                <w:div w:id="138891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10511">
          <w:marLeft w:val="0"/>
          <w:marRight w:val="0"/>
          <w:marTop w:val="0"/>
          <w:marBottom w:val="0"/>
          <w:divBdr>
            <w:top w:val="none" w:sz="0" w:space="0" w:color="auto"/>
            <w:left w:val="none" w:sz="0" w:space="0" w:color="auto"/>
            <w:bottom w:val="none" w:sz="0" w:space="0" w:color="auto"/>
            <w:right w:val="none" w:sz="0" w:space="0" w:color="auto"/>
          </w:divBdr>
          <w:divsChild>
            <w:div w:id="1083337029">
              <w:marLeft w:val="0"/>
              <w:marRight w:val="0"/>
              <w:marTop w:val="0"/>
              <w:marBottom w:val="0"/>
              <w:divBdr>
                <w:top w:val="none" w:sz="0" w:space="0" w:color="auto"/>
                <w:left w:val="none" w:sz="0" w:space="0" w:color="auto"/>
                <w:bottom w:val="none" w:sz="0" w:space="0" w:color="auto"/>
                <w:right w:val="none" w:sz="0" w:space="0" w:color="auto"/>
              </w:divBdr>
              <w:divsChild>
                <w:div w:id="50921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196747">
          <w:marLeft w:val="0"/>
          <w:marRight w:val="0"/>
          <w:marTop w:val="0"/>
          <w:marBottom w:val="0"/>
          <w:divBdr>
            <w:top w:val="none" w:sz="0" w:space="0" w:color="auto"/>
            <w:left w:val="none" w:sz="0" w:space="0" w:color="auto"/>
            <w:bottom w:val="none" w:sz="0" w:space="0" w:color="auto"/>
            <w:right w:val="none" w:sz="0" w:space="0" w:color="auto"/>
          </w:divBdr>
          <w:divsChild>
            <w:div w:id="976641816">
              <w:marLeft w:val="0"/>
              <w:marRight w:val="0"/>
              <w:marTop w:val="0"/>
              <w:marBottom w:val="0"/>
              <w:divBdr>
                <w:top w:val="none" w:sz="0" w:space="0" w:color="auto"/>
                <w:left w:val="none" w:sz="0" w:space="0" w:color="auto"/>
                <w:bottom w:val="none" w:sz="0" w:space="0" w:color="auto"/>
                <w:right w:val="none" w:sz="0" w:space="0" w:color="auto"/>
              </w:divBdr>
              <w:divsChild>
                <w:div w:id="172274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35497">
          <w:marLeft w:val="0"/>
          <w:marRight w:val="0"/>
          <w:marTop w:val="0"/>
          <w:marBottom w:val="0"/>
          <w:divBdr>
            <w:top w:val="none" w:sz="0" w:space="0" w:color="auto"/>
            <w:left w:val="none" w:sz="0" w:space="0" w:color="auto"/>
            <w:bottom w:val="none" w:sz="0" w:space="0" w:color="auto"/>
            <w:right w:val="none" w:sz="0" w:space="0" w:color="auto"/>
          </w:divBdr>
          <w:divsChild>
            <w:div w:id="1329216328">
              <w:marLeft w:val="0"/>
              <w:marRight w:val="0"/>
              <w:marTop w:val="0"/>
              <w:marBottom w:val="0"/>
              <w:divBdr>
                <w:top w:val="none" w:sz="0" w:space="0" w:color="auto"/>
                <w:left w:val="none" w:sz="0" w:space="0" w:color="auto"/>
                <w:bottom w:val="none" w:sz="0" w:space="0" w:color="auto"/>
                <w:right w:val="none" w:sz="0" w:space="0" w:color="auto"/>
              </w:divBdr>
              <w:divsChild>
                <w:div w:id="103003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573640">
          <w:marLeft w:val="0"/>
          <w:marRight w:val="0"/>
          <w:marTop w:val="0"/>
          <w:marBottom w:val="0"/>
          <w:divBdr>
            <w:top w:val="none" w:sz="0" w:space="0" w:color="auto"/>
            <w:left w:val="none" w:sz="0" w:space="0" w:color="auto"/>
            <w:bottom w:val="none" w:sz="0" w:space="0" w:color="auto"/>
            <w:right w:val="none" w:sz="0" w:space="0" w:color="auto"/>
          </w:divBdr>
          <w:divsChild>
            <w:div w:id="892691826">
              <w:marLeft w:val="0"/>
              <w:marRight w:val="0"/>
              <w:marTop w:val="0"/>
              <w:marBottom w:val="0"/>
              <w:divBdr>
                <w:top w:val="none" w:sz="0" w:space="0" w:color="auto"/>
                <w:left w:val="none" w:sz="0" w:space="0" w:color="auto"/>
                <w:bottom w:val="none" w:sz="0" w:space="0" w:color="auto"/>
                <w:right w:val="none" w:sz="0" w:space="0" w:color="auto"/>
              </w:divBdr>
              <w:divsChild>
                <w:div w:id="92418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250965">
          <w:marLeft w:val="0"/>
          <w:marRight w:val="0"/>
          <w:marTop w:val="0"/>
          <w:marBottom w:val="0"/>
          <w:divBdr>
            <w:top w:val="none" w:sz="0" w:space="0" w:color="auto"/>
            <w:left w:val="none" w:sz="0" w:space="0" w:color="auto"/>
            <w:bottom w:val="none" w:sz="0" w:space="0" w:color="auto"/>
            <w:right w:val="none" w:sz="0" w:space="0" w:color="auto"/>
          </w:divBdr>
          <w:divsChild>
            <w:div w:id="862328973">
              <w:marLeft w:val="0"/>
              <w:marRight w:val="0"/>
              <w:marTop w:val="0"/>
              <w:marBottom w:val="0"/>
              <w:divBdr>
                <w:top w:val="none" w:sz="0" w:space="0" w:color="auto"/>
                <w:left w:val="none" w:sz="0" w:space="0" w:color="auto"/>
                <w:bottom w:val="none" w:sz="0" w:space="0" w:color="auto"/>
                <w:right w:val="none" w:sz="0" w:space="0" w:color="auto"/>
              </w:divBdr>
              <w:divsChild>
                <w:div w:id="111019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434270">
          <w:marLeft w:val="0"/>
          <w:marRight w:val="0"/>
          <w:marTop w:val="0"/>
          <w:marBottom w:val="0"/>
          <w:divBdr>
            <w:top w:val="none" w:sz="0" w:space="0" w:color="auto"/>
            <w:left w:val="none" w:sz="0" w:space="0" w:color="auto"/>
            <w:bottom w:val="none" w:sz="0" w:space="0" w:color="auto"/>
            <w:right w:val="none" w:sz="0" w:space="0" w:color="auto"/>
          </w:divBdr>
          <w:divsChild>
            <w:div w:id="574095526">
              <w:marLeft w:val="0"/>
              <w:marRight w:val="0"/>
              <w:marTop w:val="0"/>
              <w:marBottom w:val="0"/>
              <w:divBdr>
                <w:top w:val="none" w:sz="0" w:space="0" w:color="auto"/>
                <w:left w:val="none" w:sz="0" w:space="0" w:color="auto"/>
                <w:bottom w:val="none" w:sz="0" w:space="0" w:color="auto"/>
                <w:right w:val="none" w:sz="0" w:space="0" w:color="auto"/>
              </w:divBdr>
              <w:divsChild>
                <w:div w:id="99700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52821">
      <w:bodyDiv w:val="1"/>
      <w:marLeft w:val="0"/>
      <w:marRight w:val="0"/>
      <w:marTop w:val="0"/>
      <w:marBottom w:val="0"/>
      <w:divBdr>
        <w:top w:val="none" w:sz="0" w:space="0" w:color="auto"/>
        <w:left w:val="none" w:sz="0" w:space="0" w:color="auto"/>
        <w:bottom w:val="none" w:sz="0" w:space="0" w:color="auto"/>
        <w:right w:val="none" w:sz="0" w:space="0" w:color="auto"/>
      </w:divBdr>
      <w:divsChild>
        <w:div w:id="1465779435">
          <w:marLeft w:val="0"/>
          <w:marRight w:val="0"/>
          <w:marTop w:val="0"/>
          <w:marBottom w:val="0"/>
          <w:divBdr>
            <w:top w:val="none" w:sz="0" w:space="0" w:color="auto"/>
            <w:left w:val="none" w:sz="0" w:space="0" w:color="auto"/>
            <w:bottom w:val="none" w:sz="0" w:space="0" w:color="auto"/>
            <w:right w:val="none" w:sz="0" w:space="0" w:color="auto"/>
          </w:divBdr>
        </w:div>
      </w:divsChild>
    </w:div>
    <w:div w:id="350226431">
      <w:bodyDiv w:val="1"/>
      <w:marLeft w:val="0"/>
      <w:marRight w:val="0"/>
      <w:marTop w:val="0"/>
      <w:marBottom w:val="0"/>
      <w:divBdr>
        <w:top w:val="none" w:sz="0" w:space="0" w:color="auto"/>
        <w:left w:val="none" w:sz="0" w:space="0" w:color="auto"/>
        <w:bottom w:val="none" w:sz="0" w:space="0" w:color="auto"/>
        <w:right w:val="none" w:sz="0" w:space="0" w:color="auto"/>
      </w:divBdr>
    </w:div>
    <w:div w:id="377322935">
      <w:bodyDiv w:val="1"/>
      <w:marLeft w:val="0"/>
      <w:marRight w:val="0"/>
      <w:marTop w:val="0"/>
      <w:marBottom w:val="0"/>
      <w:divBdr>
        <w:top w:val="none" w:sz="0" w:space="0" w:color="auto"/>
        <w:left w:val="none" w:sz="0" w:space="0" w:color="auto"/>
        <w:bottom w:val="none" w:sz="0" w:space="0" w:color="auto"/>
        <w:right w:val="none" w:sz="0" w:space="0" w:color="auto"/>
      </w:divBdr>
      <w:divsChild>
        <w:div w:id="659118293">
          <w:marLeft w:val="0"/>
          <w:marRight w:val="0"/>
          <w:marTop w:val="0"/>
          <w:marBottom w:val="0"/>
          <w:divBdr>
            <w:top w:val="none" w:sz="0" w:space="0" w:color="auto"/>
            <w:left w:val="none" w:sz="0" w:space="0" w:color="auto"/>
            <w:bottom w:val="none" w:sz="0" w:space="0" w:color="auto"/>
            <w:right w:val="none" w:sz="0" w:space="0" w:color="auto"/>
          </w:divBdr>
        </w:div>
        <w:div w:id="896354520">
          <w:marLeft w:val="0"/>
          <w:marRight w:val="0"/>
          <w:marTop w:val="0"/>
          <w:marBottom w:val="0"/>
          <w:divBdr>
            <w:top w:val="none" w:sz="0" w:space="0" w:color="auto"/>
            <w:left w:val="none" w:sz="0" w:space="0" w:color="auto"/>
            <w:bottom w:val="none" w:sz="0" w:space="0" w:color="auto"/>
            <w:right w:val="none" w:sz="0" w:space="0" w:color="auto"/>
          </w:divBdr>
        </w:div>
      </w:divsChild>
    </w:div>
    <w:div w:id="1049181808">
      <w:bodyDiv w:val="1"/>
      <w:marLeft w:val="0"/>
      <w:marRight w:val="0"/>
      <w:marTop w:val="0"/>
      <w:marBottom w:val="0"/>
      <w:divBdr>
        <w:top w:val="none" w:sz="0" w:space="0" w:color="auto"/>
        <w:left w:val="none" w:sz="0" w:space="0" w:color="auto"/>
        <w:bottom w:val="none" w:sz="0" w:space="0" w:color="auto"/>
        <w:right w:val="none" w:sz="0" w:space="0" w:color="auto"/>
      </w:divBdr>
      <w:divsChild>
        <w:div w:id="925919705">
          <w:marLeft w:val="0"/>
          <w:marRight w:val="0"/>
          <w:marTop w:val="0"/>
          <w:marBottom w:val="0"/>
          <w:divBdr>
            <w:top w:val="none" w:sz="0" w:space="0" w:color="auto"/>
            <w:left w:val="none" w:sz="0" w:space="0" w:color="auto"/>
            <w:bottom w:val="none" w:sz="0" w:space="0" w:color="auto"/>
            <w:right w:val="none" w:sz="0" w:space="0" w:color="auto"/>
          </w:divBdr>
        </w:div>
      </w:divsChild>
    </w:div>
    <w:div w:id="1642995786">
      <w:bodyDiv w:val="1"/>
      <w:marLeft w:val="0"/>
      <w:marRight w:val="0"/>
      <w:marTop w:val="0"/>
      <w:marBottom w:val="0"/>
      <w:divBdr>
        <w:top w:val="none" w:sz="0" w:space="0" w:color="auto"/>
        <w:left w:val="none" w:sz="0" w:space="0" w:color="auto"/>
        <w:bottom w:val="none" w:sz="0" w:space="0" w:color="auto"/>
        <w:right w:val="none" w:sz="0" w:space="0" w:color="auto"/>
      </w:divBdr>
    </w:div>
    <w:div w:id="1915972340">
      <w:bodyDiv w:val="1"/>
      <w:marLeft w:val="0"/>
      <w:marRight w:val="0"/>
      <w:marTop w:val="0"/>
      <w:marBottom w:val="0"/>
      <w:divBdr>
        <w:top w:val="none" w:sz="0" w:space="0" w:color="auto"/>
        <w:left w:val="none" w:sz="0" w:space="0" w:color="auto"/>
        <w:bottom w:val="none" w:sz="0" w:space="0" w:color="auto"/>
        <w:right w:val="none" w:sz="0" w:space="0" w:color="auto"/>
      </w:divBdr>
    </w:div>
    <w:div w:id="2077821273">
      <w:bodyDiv w:val="1"/>
      <w:marLeft w:val="0"/>
      <w:marRight w:val="0"/>
      <w:marTop w:val="0"/>
      <w:marBottom w:val="0"/>
      <w:divBdr>
        <w:top w:val="none" w:sz="0" w:space="0" w:color="auto"/>
        <w:left w:val="none" w:sz="0" w:space="0" w:color="auto"/>
        <w:bottom w:val="none" w:sz="0" w:space="0" w:color="auto"/>
        <w:right w:val="none" w:sz="0" w:space="0" w:color="auto"/>
      </w:divBdr>
      <w:divsChild>
        <w:div w:id="20576540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hyperlink" Target="consultantplus://offline/ref=2877D3D3AA872E733B5E7DF4B135E30F4BA62155F695B97A3C12631FADB02578F7897666E0D3EE720B05A372651CED7806DA201A5E5E4509n2D2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50305A372651CED7806DA201A5E5E4509n2D2R" TargetMode="External"/><Relationship Id="rId17" Type="http://schemas.openxmlformats.org/officeDocument/2006/relationships/hyperlink" Target="https://docs.cntd.ru/document/573319206" TargetMode="External"/><Relationship Id="rId2" Type="http://schemas.openxmlformats.org/officeDocument/2006/relationships/numbering" Target="numbering.xml"/><Relationship Id="rId16" Type="http://schemas.openxmlformats.org/officeDocument/2006/relationships/hyperlink" Target="https://docs.cntd.ru/document/727708039"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A7F0E05A372651CED7806DA201A5E5E4509n2D2R" TargetMode="External"/><Relationship Id="rId5" Type="http://schemas.openxmlformats.org/officeDocument/2006/relationships/webSettings" Target="webSettings.xml"/><Relationship Id="rId15" Type="http://schemas.openxmlformats.org/officeDocument/2006/relationships/hyperlink" Target="https://docs.cntd.ru/document/727708039" TargetMode="External"/><Relationship Id="rId10" Type="http://schemas.openxmlformats.org/officeDocument/2006/relationships/hyperlink" Target="consultantplus://offline/ref=2877D3D3AA872E733B5E7DF4B135E30F4BA62155F695B97A3C12631FADB02578F7897666E0D3EE750B05A372651CED7806DA201A5E5E4509n2D2R"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305A372651CED7806DA201A5E5E4509n2D2R" TargetMode="External"/><Relationship Id="rId14" Type="http://schemas.openxmlformats.org/officeDocument/2006/relationships/hyperlink" Target="https://login.consultant.ru/link/?req=doc&amp;base=LAW&amp;n=410704&amp;date=17.01.2023"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902862-549E-4C82-A971-12440C10C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920</TotalTime>
  <Pages>15</Pages>
  <Words>6833</Words>
  <Characters>38954</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lpstr>
    </vt:vector>
  </TitlesOfParts>
  <Company>Законодательное Собрание СПб</Company>
  <LinksUpToDate>false</LinksUpToDate>
  <CharactersWithSpaces>45696</CharactersWithSpaces>
  <SharedDoc>false</SharedDoc>
  <HLinks>
    <vt:vector size="72" baseType="variant">
      <vt:variant>
        <vt:i4>6619189</vt:i4>
      </vt:variant>
      <vt:variant>
        <vt:i4>33</vt:i4>
      </vt:variant>
      <vt:variant>
        <vt:i4>0</vt:i4>
      </vt:variant>
      <vt:variant>
        <vt:i4>5</vt:i4>
      </vt:variant>
      <vt:variant>
        <vt:lpwstr/>
      </vt:variant>
      <vt:variant>
        <vt:lpwstr>Par773</vt:lpwstr>
      </vt:variant>
      <vt:variant>
        <vt:i4>3211314</vt:i4>
      </vt:variant>
      <vt:variant>
        <vt:i4>30</vt:i4>
      </vt:variant>
      <vt:variant>
        <vt:i4>0</vt:i4>
      </vt:variant>
      <vt:variant>
        <vt:i4>5</vt:i4>
      </vt:variant>
      <vt:variant>
        <vt:lpwstr>consultantplus://offline/ref=2877D3D3AA872E733B5E7DF4B135E30F4BA62155F695B97A3C12631FADB02578F7897666E0D3EE720B05A372651CED7806DA201A5E5E4509n2D2R</vt:lpwstr>
      </vt:variant>
      <vt:variant>
        <vt:lpwstr/>
      </vt:variant>
      <vt:variant>
        <vt:i4>3211364</vt:i4>
      </vt:variant>
      <vt:variant>
        <vt:i4>27</vt:i4>
      </vt:variant>
      <vt:variant>
        <vt:i4>0</vt:i4>
      </vt:variant>
      <vt:variant>
        <vt:i4>5</vt:i4>
      </vt:variant>
      <vt:variant>
        <vt:lpwstr>consultantplus://offline/ref=2877D3D3AA872E733B5E7DF4B135E30F4BA62155F695B97A3C12631FADB02578F7897666E0D3EE750305A372651CED7806DA201A5E5E4509n2D2R</vt:lpwstr>
      </vt:variant>
      <vt:variant>
        <vt:lpwstr/>
      </vt:variant>
      <vt:variant>
        <vt:i4>3211365</vt:i4>
      </vt:variant>
      <vt:variant>
        <vt:i4>24</vt:i4>
      </vt:variant>
      <vt:variant>
        <vt:i4>0</vt:i4>
      </vt:variant>
      <vt:variant>
        <vt:i4>5</vt:i4>
      </vt:variant>
      <vt:variant>
        <vt:lpwstr>consultantplus://offline/ref=2877D3D3AA872E733B5E7DF4B135E30F4BA62155F695B97A3C12631FADB02578F7897666E0D3EA7F0E05A372651CED7806DA201A5E5E4509n2D2R</vt:lpwstr>
      </vt:variant>
      <vt:variant>
        <vt:lpwstr/>
      </vt:variant>
      <vt:variant>
        <vt:i4>3211317</vt:i4>
      </vt:variant>
      <vt:variant>
        <vt:i4>21</vt:i4>
      </vt:variant>
      <vt:variant>
        <vt:i4>0</vt:i4>
      </vt:variant>
      <vt:variant>
        <vt:i4>5</vt:i4>
      </vt:variant>
      <vt:variant>
        <vt:lpwstr>consultantplus://offline/ref=2877D3D3AA872E733B5E7DF4B135E30F4BA62155F695B97A3C12631FADB02578F7897666E0D3EE750B05A372651CED7806DA201A5E5E4509n2D2R</vt:lpwstr>
      </vt:variant>
      <vt:variant>
        <vt:lpwstr/>
      </vt:variant>
      <vt:variant>
        <vt:i4>3211365</vt:i4>
      </vt:variant>
      <vt:variant>
        <vt:i4>18</vt:i4>
      </vt:variant>
      <vt:variant>
        <vt:i4>0</vt:i4>
      </vt:variant>
      <vt:variant>
        <vt:i4>5</vt:i4>
      </vt:variant>
      <vt:variant>
        <vt:lpwstr>consultantplus://offline/ref=2877D3D3AA872E733B5E7DF4B135E30F4BA62155F695B97A3C12631FADB02578F7897666E0D3EE740305A372651CED7806DA201A5E5E4509n2D2R</vt:lpwstr>
      </vt:variant>
      <vt:variant>
        <vt:lpwstr/>
      </vt:variant>
      <vt:variant>
        <vt:i4>3211315</vt:i4>
      </vt:variant>
      <vt:variant>
        <vt:i4>15</vt:i4>
      </vt:variant>
      <vt:variant>
        <vt:i4>0</vt:i4>
      </vt:variant>
      <vt:variant>
        <vt:i4>5</vt:i4>
      </vt:variant>
      <vt:variant>
        <vt:lpwstr>consultantplus://offline/ref=2877D3D3AA872E733B5E7DF4B135E30F4BA62155F695B97A3C12631FADB02578F7897666E0D3EE740E05A372651CED7806DA201A5E5E4509n2D2R</vt:lpwstr>
      </vt:variant>
      <vt:variant>
        <vt:lpwstr/>
      </vt:variant>
      <vt:variant>
        <vt:i4>4718672</vt:i4>
      </vt:variant>
      <vt:variant>
        <vt:i4>12</vt:i4>
      </vt:variant>
      <vt:variant>
        <vt:i4>0</vt:i4>
      </vt:variant>
      <vt:variant>
        <vt:i4>5</vt:i4>
      </vt:variant>
      <vt:variant>
        <vt:lpwstr>https://docs30.surp-spb.ru/cgi/online.cgi?req=doc&amp;base=LAW&amp;n=389509&amp;dst=101474&amp;field=134&amp;date=10.12.2021</vt:lpwstr>
      </vt:variant>
      <vt:variant>
        <vt:lpwstr/>
      </vt:variant>
      <vt:variant>
        <vt:i4>7536740</vt:i4>
      </vt:variant>
      <vt:variant>
        <vt:i4>9</vt:i4>
      </vt:variant>
      <vt:variant>
        <vt:i4>0</vt:i4>
      </vt:variant>
      <vt:variant>
        <vt:i4>5</vt:i4>
      </vt:variant>
      <vt:variant>
        <vt:lpwstr>https://docs30.surp-spb.ru/cgi/online.cgi?req=doc&amp;base=LAW&amp;n=389509&amp;dst=1328&amp;field=134&amp;date=10.12.2021</vt:lpwstr>
      </vt:variant>
      <vt:variant>
        <vt:lpwstr/>
      </vt:variant>
      <vt:variant>
        <vt:i4>5177427</vt:i4>
      </vt:variant>
      <vt:variant>
        <vt:i4>6</vt:i4>
      </vt:variant>
      <vt:variant>
        <vt:i4>0</vt:i4>
      </vt:variant>
      <vt:variant>
        <vt:i4>5</vt:i4>
      </vt:variant>
      <vt:variant>
        <vt:lpwstr>https://docs30.surp-spb.ru/cgi/online.cgi?req=doc&amp;base=LAW&amp;n=389509&amp;dst=101344&amp;field=134&amp;date=10.12.2021</vt:lpwstr>
      </vt:variant>
      <vt:variant>
        <vt:lpwstr/>
      </vt:variant>
      <vt:variant>
        <vt:i4>5177427</vt:i4>
      </vt:variant>
      <vt:variant>
        <vt:i4>3</vt:i4>
      </vt:variant>
      <vt:variant>
        <vt:i4>0</vt:i4>
      </vt:variant>
      <vt:variant>
        <vt:i4>5</vt:i4>
      </vt:variant>
      <vt:variant>
        <vt:lpwstr>https://docs30.surp-spb.ru/cgi/online.cgi?req=doc&amp;base=LAW&amp;n=389509&amp;dst=101344&amp;field=134&amp;date=10.12.2021</vt:lpwstr>
      </vt:variant>
      <vt:variant>
        <vt:lpwstr/>
      </vt:variant>
      <vt:variant>
        <vt:i4>73</vt:i4>
      </vt:variant>
      <vt:variant>
        <vt:i4>0</vt:i4>
      </vt:variant>
      <vt:variant>
        <vt:i4>0</vt:i4>
      </vt:variant>
      <vt:variant>
        <vt:i4>5</vt:i4>
      </vt:variant>
      <vt:variant>
        <vt:lpwstr/>
      </vt:variant>
      <vt:variant>
        <vt:lpwstr>p292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Пользователь Windows</cp:lastModifiedBy>
  <cp:revision>540</cp:revision>
  <cp:lastPrinted>2025-11-21T11:10:00Z</cp:lastPrinted>
  <dcterms:created xsi:type="dcterms:W3CDTF">2024-05-23T13:33:00Z</dcterms:created>
  <dcterms:modified xsi:type="dcterms:W3CDTF">2026-05-12T11:45:00Z</dcterms:modified>
</cp:coreProperties>
</file>