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firstLine="709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ДОГОВОР N </w:t>
      </w:r>
      <w:r>
        <w:rPr>
          <w:b/>
          <w:bCs/>
          <w:sz w:val="18"/>
          <w:szCs w:val="18"/>
        </w:rPr>
        <w:fldChar w:fldCharType="begin"/>
      </w:r>
      <w:r>
        <w:rPr>
          <w:b/>
          <w:bCs/>
          <w:sz w:val="18"/>
          <w:szCs w:val="18"/>
        </w:rPr>
        <w:instrText xml:space="preserve"> MERGEFIELD M__договора </w:instrText>
      </w:r>
      <w:r>
        <w:rPr>
          <w:b/>
          <w:bCs/>
          <w:sz w:val="18"/>
          <w:szCs w:val="18"/>
        </w:rPr>
        <w:fldChar w:fldCharType="separate"/>
      </w:r>
      <w:r>
        <w:rPr>
          <w:b/>
          <w:bCs/>
          <w:sz w:val="18"/>
          <w:szCs w:val="18"/>
        </w:rPr>
        <w:fldChar w:fldCharType="end"/>
      </w:r>
      <w:r>
        <w:rPr>
          <w:b/>
          <w:bCs/>
          <w:sz w:val="18"/>
          <w:szCs w:val="18"/>
        </w:rPr>
      </w:r>
      <w:r>
        <w:rPr>
          <w:b/>
          <w:bCs/>
          <w:sz w:val="18"/>
          <w:szCs w:val="18"/>
        </w:rPr>
      </w:r>
    </w:p>
    <w:p>
      <w:pPr>
        <w:pBdr/>
        <w:spacing/>
        <w:ind w:firstLine="709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об оказании образовательных услуг по дополнительным образовательным программам</w:t>
      </w:r>
      <w:r>
        <w:rPr>
          <w:b/>
          <w:bCs/>
          <w:sz w:val="18"/>
          <w:szCs w:val="18"/>
        </w:rPr>
      </w:r>
      <w:r>
        <w:rPr>
          <w:b/>
          <w:bCs/>
          <w:sz w:val="18"/>
          <w:szCs w:val="18"/>
        </w:rPr>
      </w:r>
    </w:p>
    <w:p>
      <w:pPr>
        <w:pBdr/>
        <w:spacing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г. Санкт-Петерб</w:t>
      </w:r>
      <w:r>
        <w:rPr>
          <w:sz w:val="18"/>
          <w:szCs w:val="18"/>
        </w:rPr>
        <w:t xml:space="preserve">ург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202</w:t>
      </w:r>
      <w:r>
        <w:rPr>
          <w:sz w:val="18"/>
          <w:szCs w:val="18"/>
        </w:rPr>
        <w:t xml:space="preserve">6 </w:t>
      </w:r>
      <w:r>
        <w:rPr>
          <w:sz w:val="18"/>
          <w:szCs w:val="18"/>
        </w:rPr>
        <w:t xml:space="preserve">год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 w:firstLine="709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Bdr/>
        <w:spacing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 xml:space="preserve"> MERGEFIELD Полное_название_организации </w:instrText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t xml:space="preserve">Государственное бюджетное дошкольное образовательное учреждение детский сад № 20 комбинированного вида Приморского района Санкт-Петербурга</w:t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, именуемом  в дальнейшем "Заказчик", </w:t>
      </w:r>
      <w:r>
        <w:rPr>
          <w:sz w:val="18"/>
          <w:szCs w:val="18"/>
        </w:rPr>
        <w:t xml:space="preserve">которую представляет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 xml:space="preserve"> MERGEFIELD Руководитель </w:instrText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t xml:space="preserve">заведующий</w:t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 xml:space="preserve"> MERGEFIELD Полное_ФИО </w:instrText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t xml:space="preserve">Скорбящева Юлия Владимировна</w:t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, действующ</w:t>
      </w:r>
      <w:r>
        <w:rPr>
          <w:sz w:val="18"/>
          <w:szCs w:val="18"/>
        </w:rPr>
        <w:t xml:space="preserve">и</w:t>
      </w:r>
      <w:r>
        <w:rPr>
          <w:sz w:val="18"/>
          <w:szCs w:val="18"/>
        </w:rPr>
        <w:t xml:space="preserve">й на основании Устава с одной стороны и </w:t>
      </w:r>
      <w:r>
        <w:rPr>
          <w:sz w:val="18"/>
          <w:szCs w:val="18"/>
        </w:rPr>
        <w:t xml:space="preserve">______________________________</w:t>
      </w:r>
      <w:r>
        <w:rPr>
          <w:bCs/>
          <w:sz w:val="18"/>
          <w:szCs w:val="18"/>
        </w:rPr>
        <w:t xml:space="preserve">,</w:t>
      </w:r>
      <w:r>
        <w:rPr>
          <w:bCs/>
          <w:sz w:val="18"/>
          <w:szCs w:val="18"/>
        </w:rPr>
        <w:t xml:space="preserve"> </w:t>
      </w:r>
      <w:r>
        <w:rPr>
          <w:sz w:val="18"/>
          <w:szCs w:val="18"/>
        </w:rPr>
        <w:t xml:space="preserve">именуемое в д</w:t>
      </w:r>
      <w:r>
        <w:rPr>
          <w:sz w:val="18"/>
          <w:szCs w:val="18"/>
        </w:rPr>
        <w:t xml:space="preserve">альнейшем «Исполнитель» в лице </w:t>
      </w:r>
      <w:r>
        <w:rPr>
          <w:sz w:val="18"/>
          <w:szCs w:val="18"/>
        </w:rPr>
        <w:t xml:space="preserve">ректора </w:t>
      </w:r>
      <w:r>
        <w:rPr>
          <w:sz w:val="18"/>
          <w:szCs w:val="18"/>
        </w:rPr>
        <w:t xml:space="preserve">Дубаренко Константина Андреевича</w:t>
      </w:r>
      <w:r>
        <w:rPr>
          <w:sz w:val="18"/>
          <w:szCs w:val="18"/>
        </w:rPr>
        <w:t xml:space="preserve">, действующего на осно</w:t>
      </w:r>
      <w:r>
        <w:rPr>
          <w:sz w:val="18"/>
          <w:szCs w:val="18"/>
        </w:rPr>
        <w:t xml:space="preserve">вании Устава</w:t>
      </w:r>
      <w:r>
        <w:rPr>
          <w:sz w:val="18"/>
          <w:szCs w:val="18"/>
        </w:rPr>
        <w:t xml:space="preserve">,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с другой стороны, </w:t>
      </w:r>
      <w:r>
        <w:rPr>
          <w:sz w:val="18"/>
          <w:szCs w:val="18"/>
        </w:rPr>
        <w:t xml:space="preserve">совместно именуемые «Стороны» </w:t>
      </w:r>
      <w:r>
        <w:rPr>
          <w:sz w:val="18"/>
          <w:szCs w:val="18"/>
        </w:rPr>
        <w:t xml:space="preserve">и по</w:t>
      </w:r>
      <w:r>
        <w:rPr>
          <w:sz w:val="18"/>
          <w:szCs w:val="18"/>
        </w:rPr>
        <w:t xml:space="preserve"> отдельности «Сторона», </w:t>
      </w:r>
      <w:r>
        <w:rPr>
          <w:sz w:val="18"/>
          <w:szCs w:val="18"/>
        </w:rPr>
        <w:t xml:space="preserve">заключили </w:t>
      </w:r>
      <w:r>
        <w:rPr>
          <w:sz w:val="18"/>
          <w:szCs w:val="18"/>
        </w:rPr>
        <w:t xml:space="preserve">гражданско-правовой д</w:t>
      </w:r>
      <w:r>
        <w:rPr>
          <w:sz w:val="18"/>
          <w:szCs w:val="18"/>
        </w:rPr>
        <w:t xml:space="preserve">оговор</w:t>
      </w:r>
      <w:r>
        <w:rPr>
          <w:sz w:val="18"/>
          <w:szCs w:val="18"/>
        </w:rPr>
        <w:t xml:space="preserve"> (далее –Договор)</w:t>
      </w:r>
      <w:r>
        <w:rPr>
          <w:sz w:val="18"/>
          <w:szCs w:val="18"/>
        </w:rPr>
        <w:t xml:space="preserve"> о нижеследующем: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numPr>
          <w:ilvl w:val="0"/>
          <w:numId w:val="2"/>
        </w:numPr>
        <w:pBdr/>
        <w:spacing/>
        <w:ind w:firstLine="709" w:left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ПРЕДМЕТ ДОГОВОРА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numPr>
          <w:ilvl w:val="1"/>
          <w:numId w:val="1"/>
        </w:numPr>
        <w:pBdr/>
        <w:tabs>
          <w:tab w:val="num" w:leader="none" w:pos="-1560"/>
          <w:tab w:val="clear" w:leader="none" w:pos="0"/>
        </w:tabs>
        <w:spacing/>
        <w:ind w:firstLine="0"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Исполнитель обязуется предоставить образовательную услугу, а Заказчик обязуется оплатить обучение </w:t>
      </w:r>
      <w:r>
        <w:rPr>
          <w:sz w:val="18"/>
          <w:szCs w:val="18"/>
        </w:rPr>
        <w:t xml:space="preserve">Слушателя </w:t>
      </w:r>
      <w:r>
        <w:rPr>
          <w:sz w:val="18"/>
          <w:szCs w:val="18"/>
        </w:rPr>
        <w:t xml:space="preserve">по дополнительной образовательной программе повышения квалификации</w:t>
      </w:r>
      <w:r>
        <w:rPr>
          <w:sz w:val="18"/>
          <w:szCs w:val="18"/>
        </w:rPr>
        <w:t xml:space="preserve">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92"/>
        <w:numPr>
          <w:ilvl w:val="1"/>
          <w:numId w:val="1"/>
        </w:numPr>
        <w:pBdr/>
        <w:tabs>
          <w:tab w:val="clear" w:leader="none" w:pos="0"/>
        </w:tabs>
        <w:spacing/>
        <w:ind w:firstLine="0"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Общий объём </w:t>
      </w:r>
      <w:r>
        <w:rPr>
          <w:sz w:val="18"/>
          <w:szCs w:val="18"/>
        </w:rPr>
        <w:t xml:space="preserve">дополнительных профессиональных </w:t>
      </w:r>
      <w:r>
        <w:rPr>
          <w:sz w:val="18"/>
          <w:szCs w:val="18"/>
        </w:rPr>
        <w:t xml:space="preserve">образовательн</w:t>
      </w:r>
      <w:r>
        <w:rPr>
          <w:sz w:val="18"/>
          <w:szCs w:val="18"/>
        </w:rPr>
        <w:t xml:space="preserve">ых</w:t>
      </w:r>
      <w:r>
        <w:rPr>
          <w:sz w:val="18"/>
          <w:szCs w:val="18"/>
        </w:rPr>
        <w:t xml:space="preserve"> программ повышения квалификации</w:t>
      </w:r>
      <w:r>
        <w:rPr>
          <w:sz w:val="18"/>
          <w:szCs w:val="18"/>
        </w:rPr>
        <w:t xml:space="preserve"> в соответствии с учебным планом составляет </w:t>
      </w:r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 xml:space="preserve"> MERGEFIELD Часы </w:instrText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t xml:space="preserve">24</w:t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академических час</w:t>
      </w:r>
      <w:r>
        <w:rPr>
          <w:sz w:val="18"/>
          <w:szCs w:val="18"/>
        </w:rPr>
        <w:t xml:space="preserve">ов</w:t>
      </w:r>
      <w:r>
        <w:rPr>
          <w:sz w:val="18"/>
          <w:szCs w:val="18"/>
        </w:rPr>
        <w:t xml:space="preserve">,</w:t>
      </w:r>
      <w:r>
        <w:rPr>
          <w:sz w:val="18"/>
          <w:szCs w:val="18"/>
        </w:rPr>
        <w:t xml:space="preserve"> форма обучения – </w:t>
      </w:r>
      <w:r>
        <w:rPr>
          <w:sz w:val="18"/>
          <w:szCs w:val="18"/>
        </w:rPr>
        <w:t xml:space="preserve">очная</w:t>
      </w:r>
      <w:r>
        <w:rPr>
          <w:sz w:val="18"/>
          <w:szCs w:val="18"/>
        </w:rPr>
        <w:t xml:space="preserve">,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с частичным отрывом от производства</w:t>
      </w:r>
      <w:r>
        <w:rPr>
          <w:sz w:val="18"/>
          <w:szCs w:val="18"/>
        </w:rPr>
        <w:t xml:space="preserve">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92"/>
        <w:pBdr/>
        <w:spacing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Сроки обучения: по согласованию с Исполнителем, </w:t>
      </w:r>
      <w:r>
        <w:rPr>
          <w:sz w:val="18"/>
          <w:szCs w:val="18"/>
        </w:rPr>
        <w:t xml:space="preserve">профессиональной образовательной программы</w:t>
      </w:r>
      <w:r>
        <w:rPr>
          <w:sz w:val="18"/>
          <w:szCs w:val="18"/>
        </w:rPr>
        <w:t xml:space="preserve">: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92"/>
        <w:pBdr>
          <w:bottom w:val="single" w:color="000000" w:sz="4" w:space="1"/>
        </w:pBdr>
        <w:spacing/>
        <w:ind w:left="0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Со дня подписания контракта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по 31.08.2026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1.3. После освоения </w:t>
      </w:r>
      <w:r>
        <w:rPr>
          <w:sz w:val="18"/>
          <w:szCs w:val="18"/>
        </w:rPr>
        <w:t xml:space="preserve">Слушателем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дополнительной </w:t>
      </w:r>
      <w:r>
        <w:rPr>
          <w:sz w:val="18"/>
          <w:szCs w:val="18"/>
        </w:rPr>
        <w:t xml:space="preserve">повышения квалификации </w:t>
      </w:r>
      <w:r>
        <w:rPr>
          <w:sz w:val="18"/>
          <w:szCs w:val="18"/>
        </w:rPr>
        <w:t xml:space="preserve">и успешного прохождения итоговой аттестации</w:t>
      </w:r>
      <w:r>
        <w:rPr>
          <w:sz w:val="18"/>
          <w:szCs w:val="18"/>
        </w:rPr>
        <w:t xml:space="preserve">,</w:t>
      </w:r>
      <w:r>
        <w:rPr>
          <w:sz w:val="18"/>
          <w:szCs w:val="18"/>
        </w:rPr>
        <w:t xml:space="preserve"> ему выдается удостоверение установленного образца.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tabs>
          <w:tab w:val="num" w:leader="none" w:pos="0"/>
        </w:tabs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1.4.</w:t>
      </w:r>
      <w:r>
        <w:rPr>
          <w:sz w:val="18"/>
          <w:szCs w:val="18"/>
        </w:rPr>
        <w:t xml:space="preserve"> Слушатели,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осваивающие </w:t>
      </w:r>
      <w:r>
        <w:rPr>
          <w:sz w:val="18"/>
          <w:szCs w:val="18"/>
        </w:rPr>
        <w:t xml:space="preserve">дополнительные профессиональные </w:t>
      </w:r>
      <w:r>
        <w:rPr>
          <w:sz w:val="18"/>
          <w:szCs w:val="18"/>
        </w:rPr>
        <w:t xml:space="preserve">образователь</w:t>
      </w:r>
      <w:r>
        <w:rPr>
          <w:sz w:val="18"/>
          <w:szCs w:val="18"/>
        </w:rPr>
        <w:t xml:space="preserve">н</w:t>
      </w:r>
      <w:r>
        <w:rPr>
          <w:sz w:val="18"/>
          <w:szCs w:val="18"/>
        </w:rPr>
        <w:t xml:space="preserve">ые</w:t>
      </w:r>
      <w:r>
        <w:rPr>
          <w:sz w:val="18"/>
          <w:szCs w:val="18"/>
        </w:rPr>
        <w:t xml:space="preserve"> программ</w:t>
      </w:r>
      <w:r>
        <w:rPr>
          <w:sz w:val="18"/>
          <w:szCs w:val="18"/>
        </w:rPr>
        <w:t xml:space="preserve">ы повышения квалификации</w:t>
      </w:r>
      <w:r>
        <w:rPr>
          <w:sz w:val="18"/>
          <w:szCs w:val="18"/>
        </w:rPr>
        <w:t xml:space="preserve">: 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Style w:val="895"/>
        <w:tblW w:w="10355" w:type="dxa"/>
        <w:tblBorders/>
        <w:tblLayout w:type="fixed"/>
        <w:tblpPr w:horzAnchor="margin" w:tblpXSpec="center" w:vertAnchor="text" w:tblpY="24" w:leftFromText="180" w:topFromText="0" w:rightFromText="180" w:bottomFromText="0"/>
        <w:tblLook w:val="04A0" w:firstRow="1" w:lastRow="0" w:firstColumn="1" w:lastColumn="0" w:noHBand="0" w:noVBand="1"/>
      </w:tblPr>
      <w:tblGrid>
        <w:gridCol w:w="6374"/>
        <w:gridCol w:w="1134"/>
        <w:gridCol w:w="625"/>
      </w:tblGrid>
      <w:tr>
        <w:trPr>
          <w:trHeight w:val="236"/>
        </w:trPr>
        <w:tc>
          <w:tcPr>
            <w:tcBorders/>
            <w:tcW w:w="6374" w:type="dxa"/>
            <w:textDirection w:val="lrTb"/>
            <w:noWrap w:val="false"/>
          </w:tcPr>
          <w:p w14:paraId="249939ED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Обучение по программе дополнительного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профессионального образования повышение квалификации: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«Безопасная эксплуатация электроустановок»</w:t>
            </w:r>
            <w:r/>
            <w:r/>
          </w:p>
          <w:p w14:paraId="308F1A87">
            <w:pPr>
              <w:pStyle w:val="902"/>
              <w:pBdr/>
              <w:spacing w:before="10"/>
              <w:ind w:left="0"/>
              <w:rPr/>
            </w:pPr>
            <w:r/>
            <w:r/>
            <w:r/>
          </w:p>
        </w:tc>
        <w:tc>
          <w:tcPr>
            <w:tcBorders/>
            <w:tcW w:w="1134" w:type="dxa"/>
            <w:textDirection w:val="lrTb"/>
            <w:noWrap w:val="false"/>
          </w:tcPr>
          <w:p w14:paraId="55C46ACA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Чел.</w:t>
            </w:r>
            <w:r/>
            <w:r/>
          </w:p>
        </w:tc>
        <w:tc>
          <w:tcPr>
            <w:tcBorders/>
            <w:tcW w:w="625" w:type="dxa"/>
            <w:textDirection w:val="lrTb"/>
            <w:noWrap w:val="false"/>
          </w:tcPr>
          <w:p w14:paraId="62D5C8B4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1</w:t>
            </w:r>
            <w:r/>
            <w:r/>
          </w:p>
        </w:tc>
      </w:tr>
      <w:tr>
        <w:trPr>
          <w:trHeight w:val="236"/>
        </w:trPr>
        <w:tc>
          <w:tcPr>
            <w:tcBorders/>
            <w:tcW w:w="6374" w:type="dxa"/>
            <w:vMerge w:val="restart"/>
            <w:textDirection w:val="lrTb"/>
            <w:noWrap w:val="false"/>
          </w:tcPr>
          <w:p w14:paraId="3CD64786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Обучение по программе дополнительного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профессионального образования повышение квалификации: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«Техническая эксплуатация тепловых энергоустановок»</w:t>
            </w:r>
            <w:r/>
            <w:r/>
          </w:p>
          <w:p w14:paraId="64FD788A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 w14:paraId="6B1716B0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Чел.</w:t>
            </w:r>
            <w:r/>
            <w:r/>
          </w:p>
        </w:tc>
        <w:tc>
          <w:tcPr>
            <w:tcBorders/>
            <w:tcW w:w="625" w:type="dxa"/>
            <w:vMerge w:val="restart"/>
            <w:textDirection w:val="lrTb"/>
            <w:noWrap w:val="false"/>
          </w:tcPr>
          <w:p w14:paraId="06A68B2E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1</w:t>
            </w:r>
            <w:r/>
            <w:r/>
          </w:p>
        </w:tc>
      </w:tr>
    </w:tbl>
    <w:p>
      <w:pPr>
        <w:pBdr/>
        <w:tabs>
          <w:tab w:val="num" w:leader="none" w:pos="0"/>
        </w:tabs>
        <w:spacing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numPr>
          <w:ilvl w:val="0"/>
          <w:numId w:val="3"/>
        </w:numPr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ПРАВА И ОБЯЗАННОСТИ СТОРОН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2.1. Исполнитель вправе: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промежуточной аттестации </w:t>
      </w:r>
      <w:r>
        <w:rPr>
          <w:sz w:val="18"/>
          <w:szCs w:val="18"/>
        </w:rPr>
        <w:t xml:space="preserve">Слушателей</w:t>
      </w:r>
      <w:r>
        <w:rPr>
          <w:sz w:val="18"/>
          <w:szCs w:val="18"/>
        </w:rPr>
        <w:t xml:space="preserve">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2.1.2. Применять к </w:t>
      </w:r>
      <w:r>
        <w:rPr>
          <w:sz w:val="18"/>
          <w:szCs w:val="18"/>
        </w:rPr>
        <w:t xml:space="preserve">Слушателям</w:t>
      </w:r>
      <w:r>
        <w:rPr>
          <w:sz w:val="18"/>
          <w:szCs w:val="18"/>
        </w:rPr>
        <w:t xml:space="preserve"> меры поощрения и меры дисциплинарного взыскания в соответствии с законодательством Российской Федерации, Уставом Исполнителя, настоящим Договором и локальными нормативными актами Исполнителя.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10" w:tooltip="consultantplus://offline/ref=51B380266AEFFEEEC4A7D26496067E69F23078CFBF3661D883FB0FE43F0CBFEBEBBEEF3CB482043DBEB5L" w:history="1">
        <w:r>
          <w:rPr>
            <w:rStyle w:val="889"/>
            <w:sz w:val="18"/>
            <w:szCs w:val="18"/>
          </w:rPr>
          <w:t xml:space="preserve">разделом I</w:t>
        </w:r>
      </w:hyperlink>
      <w:r>
        <w:rPr>
          <w:sz w:val="18"/>
          <w:szCs w:val="18"/>
        </w:rPr>
        <w:t xml:space="preserve"> настоящего Договора.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2.3. </w:t>
      </w:r>
      <w:r>
        <w:rPr>
          <w:sz w:val="18"/>
          <w:szCs w:val="18"/>
        </w:rPr>
        <w:t xml:space="preserve">Слушателям</w:t>
      </w:r>
      <w:r>
        <w:rPr>
          <w:sz w:val="18"/>
          <w:szCs w:val="18"/>
        </w:rPr>
        <w:t xml:space="preserve"> предоставляются академические права в соответствии с </w:t>
      </w:r>
      <w:hyperlink r:id="rId11" w:tooltip="consultantplus://offline/ref=05C43995B25766DBC31F7B155C3CAE55BE043CE0193828BBF24048204D81655AD7E8E7D6A8ADB378BBYEL" w:history="1">
        <w:r>
          <w:rPr>
            <w:rStyle w:val="889"/>
            <w:sz w:val="18"/>
            <w:szCs w:val="18"/>
          </w:rPr>
          <w:t xml:space="preserve">частью 1 статьи 34</w:t>
        </w:r>
      </w:hyperlink>
      <w:r>
        <w:rPr>
          <w:sz w:val="18"/>
          <w:szCs w:val="18"/>
        </w:rPr>
        <w:t xml:space="preserve"> Федерального закона от 29 декабря 2012 г. N 273-ФЗ "Об образовании в Российской Федерации".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Обучающиеся также вправе: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12" w:tooltip="consultantplus://offline/ref=05C43995B25766DBC31F7B155C3CAE55BE043DE01F3928BBF24048204D81655AD7E8E7D6A8ADB77EBBYDL" w:history="1">
        <w:r>
          <w:rPr>
            <w:rStyle w:val="889"/>
            <w:sz w:val="18"/>
            <w:szCs w:val="18"/>
          </w:rPr>
          <w:t xml:space="preserve">разделом I</w:t>
        </w:r>
      </w:hyperlink>
      <w:r>
        <w:rPr>
          <w:sz w:val="18"/>
          <w:szCs w:val="18"/>
        </w:rPr>
        <w:t xml:space="preserve"> настоящего Договора;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2.3.3.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2.3.4. Получать полную и достоверную информацию об оценке своих знаний, умений, навыков и компетенций, а также о критериях этой оценки.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2.4. Исполнитель обязан: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2.4.1. Зачислить   </w:t>
      </w:r>
      <w:r>
        <w:rPr>
          <w:sz w:val="18"/>
          <w:szCs w:val="18"/>
        </w:rPr>
        <w:t xml:space="preserve">Слушателей</w:t>
      </w:r>
      <w:r>
        <w:rPr>
          <w:sz w:val="18"/>
          <w:szCs w:val="18"/>
        </w:rPr>
        <w:t xml:space="preserve">,    выполнивших    установленные законодательством   Российской   Федерации,   Уставом и локальными  нормативными  актами  Исполнителя  условия  приема.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2.4.2.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13" w:tooltip="consultantplus://offline/ref=A86EA3D440F4B915F948ADDD0F5574EF4798EEB9DDEEF2D4D398CDA7FDO4a5L" w:history="1">
        <w:r>
          <w:rPr>
            <w:rStyle w:val="889"/>
            <w:sz w:val="18"/>
            <w:szCs w:val="18"/>
          </w:rPr>
          <w:t xml:space="preserve">Законом</w:t>
        </w:r>
      </w:hyperlink>
      <w:r>
        <w:rPr>
          <w:sz w:val="18"/>
          <w:szCs w:val="18"/>
        </w:rPr>
        <w:t xml:space="preserve"> Российской Федерации от 7 февраля 1992 г. N 2300-1 "О защите прав потребителей"  и Федеральным </w:t>
      </w:r>
      <w:hyperlink r:id="rId14" w:tooltip="consultantplus://offline/ref=A86EA3D440F4B915F948ADDD0F5574EF4799EEB5D8EFF2D4D398CDA7FDO4a5L" w:history="1">
        <w:r>
          <w:rPr>
            <w:rStyle w:val="889"/>
            <w:sz w:val="18"/>
            <w:szCs w:val="18"/>
          </w:rPr>
          <w:t xml:space="preserve">законом</w:t>
        </w:r>
      </w:hyperlink>
      <w:r>
        <w:rPr>
          <w:sz w:val="18"/>
          <w:szCs w:val="18"/>
        </w:rPr>
        <w:t xml:space="preserve"> от 29 декабря 2012 г. N 273-ФЗ "Об образовании в Российской Федерации";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2.4.3. Организовать и обеспечить надлежащее предоставление образовательных услуг, предусмотренных </w:t>
      </w:r>
      <w:hyperlink r:id="rId15" w:tooltip="consultantplus://offline/ref=A86EA3D440F4B915F948ADDD0F5574EF4799EFB5DEEEF2D4D398CDA7FD45EE003C575FADA7D5F14FOFa2L" w:history="1">
        <w:r>
          <w:rPr>
            <w:rStyle w:val="889"/>
            <w:sz w:val="18"/>
            <w:szCs w:val="18"/>
          </w:rPr>
          <w:t xml:space="preserve">разделом I</w:t>
        </w:r>
      </w:hyperlink>
      <w:r>
        <w:rPr>
          <w:sz w:val="18"/>
          <w:szCs w:val="18"/>
        </w:rPr>
        <w:t xml:space="preserve"> настоящего Договора. Образовательные услуги оказываются в соответствии с индивидуальным учебным планом и расписанием занятий Исполнителя;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2.4.4. Обеспечить </w:t>
      </w:r>
      <w:r>
        <w:rPr>
          <w:sz w:val="18"/>
          <w:szCs w:val="18"/>
        </w:rPr>
        <w:t xml:space="preserve">Слушателям</w:t>
      </w:r>
      <w:r>
        <w:rPr>
          <w:sz w:val="18"/>
          <w:szCs w:val="18"/>
        </w:rPr>
        <w:t xml:space="preserve"> предусмотренные выбранной образовательной программой условия ее освоения;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2.4.5. Принимать от Заказчика плату за образовательные услуги;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2.4.6. Обеспечить </w:t>
      </w:r>
      <w:r>
        <w:rPr>
          <w:sz w:val="18"/>
          <w:szCs w:val="18"/>
        </w:rPr>
        <w:t xml:space="preserve">Слушателям</w:t>
      </w:r>
      <w:r>
        <w:rPr>
          <w:sz w:val="18"/>
          <w:szCs w:val="18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2.5. Заказчик обязан своевременно вносить плату за предоставляемые </w:t>
      </w:r>
      <w:r>
        <w:rPr>
          <w:sz w:val="18"/>
          <w:szCs w:val="18"/>
        </w:rPr>
        <w:t xml:space="preserve">Слушателям</w:t>
      </w:r>
      <w:r>
        <w:rPr>
          <w:sz w:val="18"/>
          <w:szCs w:val="18"/>
        </w:rPr>
        <w:t xml:space="preserve"> образовательные услуги, указанные в </w:t>
      </w:r>
      <w:hyperlink r:id="rId16" w:tooltip="consultantplus://offline/ref=A86EA3D440F4B915F948ADDD0F5574EF4799EFB5DEEEF2D4D398CDA7FD45EE003C575FADA7D5F14FOFa2L" w:history="1">
        <w:r>
          <w:rPr>
            <w:rStyle w:val="889"/>
            <w:sz w:val="18"/>
            <w:szCs w:val="18"/>
          </w:rPr>
          <w:t xml:space="preserve">разделе </w:t>
        </w:r>
      </w:hyperlink>
      <w:r>
        <w:rPr>
          <w:sz w:val="18"/>
          <w:szCs w:val="18"/>
        </w:rPr>
        <w:t xml:space="preserve">1 настоящего Договора, в размере и порядке, определенными настоящим Договором.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3.СТОИМОСТЬ ОБРАЗОВАТЕЛЬНЫХ УСЛУГ, СРОКИ И ПОРЯДОК ИХ ОПЛАТЫ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3.1. Полная стоимость образовательных услуг за весь период обучения </w:t>
      </w:r>
      <w:r>
        <w:rPr>
          <w:sz w:val="18"/>
          <w:szCs w:val="18"/>
        </w:rPr>
        <w:t xml:space="preserve">Слушателя</w:t>
      </w:r>
      <w:r>
        <w:rPr>
          <w:sz w:val="18"/>
          <w:szCs w:val="18"/>
        </w:rPr>
        <w:t xml:space="preserve"> составляет ____________________</w:t>
      </w:r>
      <w:r>
        <w:rPr>
          <w:sz w:val="18"/>
          <w:szCs w:val="18"/>
        </w:rPr>
        <w:t xml:space="preserve">(НДС не облагается пп.14 п.2 ст.149 НК РФ). </w:t>
      </w:r>
      <w:r>
        <w:rPr>
          <w:sz w:val="18"/>
          <w:szCs w:val="18"/>
        </w:rPr>
        <w:t xml:space="preserve">Цена договора является твёрдой и определяется на весь срок исполнения договора.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3.2. Оплата производится Заказчиком в размере 100% установленной стоимости обучения в безналичном порядке на счет, указанный в разделе 8 настоящего Договора на основании счета, выставленного Исполнителем.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widowControl w:val="false"/>
        <w:pBdr/>
        <w:spacing/>
        <w:ind/>
        <w:jc w:val="both"/>
        <w:rPr>
          <w:rFonts w:eastAsia="Arial"/>
          <w:sz w:val="18"/>
          <w:szCs w:val="18"/>
        </w:rPr>
      </w:pPr>
      <w:r>
        <w:rPr>
          <w:rFonts w:eastAsia="Arial"/>
          <w:sz w:val="18"/>
          <w:szCs w:val="18"/>
        </w:rPr>
        <w:t xml:space="preserve">3.3. Оплата за оказанные Услуги производится Заказчиком в безналичной форме путем перечисления денежных средств в рублях на расчетный счет Исполнителя, указанный в </w:t>
      </w:r>
      <w:r>
        <w:rPr>
          <w:rFonts w:eastAsia="Arial"/>
          <w:sz w:val="18"/>
          <w:szCs w:val="18"/>
        </w:rPr>
        <w:t xml:space="preserve">Договоре</w:t>
      </w:r>
      <w:r>
        <w:rPr>
          <w:rFonts w:eastAsia="Arial"/>
          <w:sz w:val="18"/>
          <w:szCs w:val="18"/>
        </w:rPr>
        <w:t xml:space="preserve">, в течение 10</w:t>
      </w:r>
      <w:r>
        <w:rPr>
          <w:rFonts w:eastAsia="Arial"/>
          <w:sz w:val="18"/>
          <w:szCs w:val="18"/>
        </w:rPr>
        <w:t xml:space="preserve"> (</w:t>
      </w:r>
      <w:r>
        <w:rPr>
          <w:rFonts w:eastAsia="Arial"/>
          <w:sz w:val="18"/>
          <w:szCs w:val="18"/>
        </w:rPr>
        <w:t xml:space="preserve">десяти</w:t>
      </w:r>
      <w:r>
        <w:rPr>
          <w:rFonts w:eastAsia="Arial"/>
          <w:sz w:val="18"/>
          <w:szCs w:val="18"/>
        </w:rPr>
        <w:t xml:space="preserve">)</w:t>
      </w:r>
      <w:r>
        <w:rPr>
          <w:rFonts w:eastAsia="Arial"/>
          <w:sz w:val="18"/>
          <w:szCs w:val="18"/>
        </w:rPr>
        <w:t xml:space="preserve"> рабочих</w:t>
      </w:r>
      <w:r>
        <w:rPr>
          <w:rFonts w:eastAsia="Arial"/>
          <w:sz w:val="18"/>
          <w:szCs w:val="18"/>
        </w:rPr>
        <w:t xml:space="preserve"> </w:t>
      </w:r>
      <w:r>
        <w:rPr>
          <w:rFonts w:eastAsia="Arial"/>
          <w:sz w:val="18"/>
          <w:szCs w:val="18"/>
        </w:rPr>
        <w:t xml:space="preserve">дней с</w:t>
      </w:r>
      <w:r>
        <w:rPr>
          <w:rFonts w:eastAsia="Arial"/>
          <w:sz w:val="18"/>
          <w:szCs w:val="18"/>
        </w:rPr>
        <w:t xml:space="preserve"> даты </w:t>
      </w:r>
      <w:r>
        <w:rPr>
          <w:rFonts w:eastAsia="Arial"/>
          <w:sz w:val="18"/>
          <w:szCs w:val="18"/>
        </w:rPr>
        <w:t xml:space="preserve">подписания </w:t>
      </w:r>
      <w:r>
        <w:rPr>
          <w:rFonts w:eastAsia="Arial"/>
          <w:sz w:val="18"/>
          <w:szCs w:val="18"/>
        </w:rPr>
        <w:t xml:space="preserve">Заказчиком</w:t>
      </w:r>
      <w:r>
        <w:rPr>
          <w:rFonts w:eastAsia="Arial"/>
          <w:sz w:val="18"/>
          <w:szCs w:val="18"/>
        </w:rPr>
        <w:t xml:space="preserve"> акта (-ов) сдачи-приемки оказанных услуг на основании предоставленного Исполнителем Заказчику счета. Днем исполнения обязательств Заказчиком по оплате считается дата списания денежных средств с</w:t>
      </w:r>
      <w:r>
        <w:rPr>
          <w:rFonts w:eastAsia="Arial"/>
          <w:sz w:val="18"/>
          <w:szCs w:val="18"/>
        </w:rPr>
        <w:t xml:space="preserve">о</w:t>
      </w:r>
      <w:r>
        <w:rPr>
          <w:rFonts w:eastAsia="Arial"/>
          <w:sz w:val="18"/>
          <w:szCs w:val="18"/>
        </w:rPr>
        <w:t xml:space="preserve"> счета Заказчика. </w:t>
      </w:r>
      <w:r>
        <w:rPr>
          <w:rFonts w:eastAsia="Arial"/>
          <w:sz w:val="18"/>
          <w:szCs w:val="18"/>
        </w:rPr>
      </w:r>
      <w:r>
        <w:rPr>
          <w:rFonts w:eastAsia="Arial"/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3.4. По окончании образовательной программы Исполнитель предоставляет Заказчику акт сдачи-приемки услуг по настоящему договору (далее – акт). Заказчик в течение 5 дней со дня получения акта направляет Исполнителю подписанный акт. В случае не </w:t>
      </w:r>
      <w:r>
        <w:rPr>
          <w:sz w:val="18"/>
          <w:szCs w:val="18"/>
        </w:rPr>
        <w:t xml:space="preserve">подписания Заказчиком направленного ему акта без письменного объяснения причин Исполнителю, акт считается подписанным, а услуги - оказанными в полном объеме надлежащего качества. На основании пп.1 п.3 ст. 169 НК РФ счета-фактуры не выставляются.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3.5.Стороны пришли к соглашению о неприменении ст.317.1 ГК РФ</w:t>
      </w:r>
      <w:r>
        <w:rPr>
          <w:color w:val="ff0000"/>
          <w:sz w:val="18"/>
          <w:szCs w:val="18"/>
        </w:rPr>
        <w:t xml:space="preserve"> </w:t>
      </w:r>
      <w:r>
        <w:rPr>
          <w:sz w:val="18"/>
          <w:szCs w:val="18"/>
        </w:rPr>
        <w:t xml:space="preserve">о выплате процентов по денежным обязательствам.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92"/>
        <w:numPr>
          <w:ilvl w:val="0"/>
          <w:numId w:val="5"/>
        </w:numPr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ПОРЯДОК ИЗМЕНЕНИЯ И РАСТОРЖЕНИЯ ДОГОВОРА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4.2. Настоящий Договор может быть расторгнут по соглашению Сторон.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4.3. Настоящий Договор может быть расторгнут по инициативе Исполнителя в одностороннем порядке в случаях, предусмотренных </w:t>
      </w:r>
      <w:hyperlink r:id="rId17" w:tooltip="consultantplus://offline/ref=47E05D611C30C4D16B35AD8E9C9D8904930770C03792F7D208E173C02674C09A93A24F697C661AA237n2L" w:history="1">
        <w:r>
          <w:rPr>
            <w:rStyle w:val="889"/>
            <w:color w:val="auto"/>
            <w:sz w:val="18"/>
            <w:szCs w:val="18"/>
            <w:u w:val="none"/>
          </w:rPr>
          <w:t xml:space="preserve">пунктом</w:t>
        </w:r>
      </w:hyperlink>
      <w:r>
        <w:rPr>
          <w:rStyle w:val="889"/>
          <w:color w:val="auto"/>
          <w:sz w:val="18"/>
          <w:szCs w:val="18"/>
          <w:u w:val="none"/>
        </w:rPr>
        <w:t xml:space="preserve"> 19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Правил оказания платных образ</w:t>
      </w:r>
      <w:r>
        <w:rPr>
          <w:sz w:val="18"/>
          <w:szCs w:val="18"/>
        </w:rPr>
        <w:t xml:space="preserve">овательных услуг, утвержденных П</w:t>
      </w:r>
      <w:r>
        <w:rPr>
          <w:sz w:val="18"/>
          <w:szCs w:val="18"/>
        </w:rPr>
        <w:t xml:space="preserve">остановлением Правительства Российской Федерации от 15 </w:t>
      </w:r>
      <w:r>
        <w:rPr>
          <w:sz w:val="18"/>
          <w:szCs w:val="18"/>
        </w:rPr>
        <w:t xml:space="preserve">сентября</w:t>
      </w:r>
      <w:r>
        <w:rPr>
          <w:sz w:val="18"/>
          <w:szCs w:val="18"/>
        </w:rPr>
        <w:t xml:space="preserve"> 20</w:t>
      </w:r>
      <w:r>
        <w:rPr>
          <w:sz w:val="18"/>
          <w:szCs w:val="18"/>
        </w:rPr>
        <w:t xml:space="preserve">20</w:t>
      </w:r>
      <w:r>
        <w:rPr>
          <w:sz w:val="18"/>
          <w:szCs w:val="18"/>
        </w:rPr>
        <w:t xml:space="preserve"> г. </w:t>
      </w:r>
      <w:r>
        <w:rPr>
          <w:sz w:val="18"/>
          <w:szCs w:val="18"/>
        </w:rPr>
        <w:t xml:space="preserve">№1441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4.4. Исполнитель вправе отказаться от исполнения обязательств по Договору при условии полного возмещения Заказчику убытков.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4.5. Заказчик вправе отказаться от исполнения настоящ</w:t>
      </w:r>
      <w:r>
        <w:rPr>
          <w:sz w:val="18"/>
          <w:szCs w:val="18"/>
        </w:rPr>
        <w:t xml:space="preserve">его Договора при условии оплаты Исполнителю фактически понесенных им расходов. Обучающиеся, не достигший на момент заключения Договора возраста восемнадцати лет, вправе отказаться от исполнения настоящего Договора с согласия своего законного представителя.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numPr>
          <w:ilvl w:val="0"/>
          <w:numId w:val="5"/>
        </w:numPr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ОТВЕТСТВЕННОСТЬ ИСПОЛНИТЕЛЯ, ЗАКАЗЧИКА И </w:t>
      </w:r>
      <w:r>
        <w:rPr>
          <w:b/>
          <w:sz w:val="18"/>
          <w:szCs w:val="18"/>
        </w:rPr>
        <w:t xml:space="preserve">СЛУШАТЕЛЯ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Style w:val="892"/>
        <w:numPr>
          <w:ilvl w:val="1"/>
          <w:numId w:val="5"/>
        </w:num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92"/>
        <w:pBdr/>
        <w:spacing/>
        <w:ind w:left="780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numPr>
          <w:ilvl w:val="0"/>
          <w:numId w:val="5"/>
        </w:numPr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СРОК ДЕЙСТВИЯ ДОГОВОРА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6.1. Настоящий Договор вступает в силу со дня его заключения Сторонами и действует до полного исполнения Сторонами обязательств.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numPr>
          <w:ilvl w:val="0"/>
          <w:numId w:val="5"/>
        </w:numPr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ЗАКЛЮЧИТЕЛЬНЫЕ ПОЛОЖЕНИЯ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7.2. Под периодом предоставления образовательной услуги (периодом обучения) понимается промежуток времени с даты издания </w:t>
      </w:r>
      <w:r>
        <w:rPr>
          <w:sz w:val="18"/>
          <w:szCs w:val="18"/>
        </w:rPr>
        <w:t xml:space="preserve">приказа о зачислении </w:t>
      </w:r>
      <w:r>
        <w:rPr>
          <w:sz w:val="18"/>
          <w:szCs w:val="18"/>
        </w:rPr>
        <w:t xml:space="preserve">Слушателя</w:t>
      </w:r>
      <w:r>
        <w:rPr>
          <w:sz w:val="18"/>
          <w:szCs w:val="18"/>
        </w:rPr>
        <w:t xml:space="preserve">  в образовательную организацию до даты издания приказа об окончании обу</w:t>
      </w:r>
      <w:r>
        <w:rPr>
          <w:sz w:val="18"/>
          <w:szCs w:val="18"/>
        </w:rPr>
        <w:t xml:space="preserve">чения или отчислении </w:t>
      </w:r>
      <w:r>
        <w:rPr>
          <w:sz w:val="18"/>
          <w:szCs w:val="18"/>
        </w:rPr>
        <w:t xml:space="preserve">Слушателя</w:t>
      </w:r>
      <w:r>
        <w:rPr>
          <w:sz w:val="18"/>
          <w:szCs w:val="18"/>
        </w:rPr>
        <w:t xml:space="preserve"> из образовательной организации.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7.3. В случае необходимости возврата оплаченных Заказчиком денежных средств (за вычетом факт</w:t>
      </w:r>
      <w:r>
        <w:rPr>
          <w:sz w:val="18"/>
          <w:szCs w:val="18"/>
        </w:rPr>
        <w:t xml:space="preserve">ически понесенных расходов) Заказчик предоставляет Исполнителю письменное заявление с указанием способа возврата денежных средств, реквизитов, приложением копий документов, подтверждающих оплату с обязательным предъявлением оригиналов платежных документов.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/>
      </w:pPr>
      <w:r>
        <w:rPr>
          <w:sz w:val="18"/>
          <w:szCs w:val="18"/>
        </w:rPr>
        <w:t xml:space="preserve">7.4. В случ</w:t>
      </w:r>
      <w:r>
        <w:rPr>
          <w:sz w:val="18"/>
          <w:szCs w:val="18"/>
        </w:rPr>
        <w:t xml:space="preserve">ае, когда Заказчик и </w:t>
      </w:r>
      <w:r>
        <w:rPr>
          <w:sz w:val="18"/>
          <w:szCs w:val="18"/>
        </w:rPr>
        <w:t xml:space="preserve">Слушатель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являются одним лицом, их права и обязанности по настоящему договору совпадают.</w:t>
      </w:r>
      <w:r>
        <w:t xml:space="preserve"> </w:t>
      </w:r>
      <w:r/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7.5. Договор составлен в соответствии с частью 10 статьи 54 Федерального закона от 29 декабря 2012 года </w:t>
      </w:r>
      <w:r>
        <w:rPr>
          <w:sz w:val="18"/>
          <w:szCs w:val="18"/>
        </w:rPr>
        <w:t xml:space="preserve">№</w:t>
      </w:r>
      <w:r>
        <w:rPr>
          <w:sz w:val="18"/>
          <w:szCs w:val="18"/>
        </w:rPr>
        <w:t xml:space="preserve">273-ФЗ "Об образовании в Российской Федерации"</w:t>
      </w:r>
      <w:r>
        <w:rPr>
          <w:sz w:val="18"/>
          <w:szCs w:val="18"/>
        </w:rPr>
        <w:t xml:space="preserve">,</w:t>
      </w:r>
      <w:r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Правил оказания платных образ</w:t>
      </w:r>
      <w:r>
        <w:rPr>
          <w:sz w:val="18"/>
          <w:szCs w:val="18"/>
        </w:rPr>
        <w:t xml:space="preserve">овательных услуг, утвержденных П</w:t>
      </w:r>
      <w:r>
        <w:rPr>
          <w:sz w:val="18"/>
          <w:szCs w:val="18"/>
        </w:rPr>
        <w:t xml:space="preserve">остановлением Правительства Российской Федерации от 15 </w:t>
      </w:r>
      <w:r>
        <w:rPr>
          <w:sz w:val="18"/>
          <w:szCs w:val="18"/>
        </w:rPr>
        <w:t xml:space="preserve">сентября</w:t>
      </w:r>
      <w:r>
        <w:rPr>
          <w:sz w:val="18"/>
          <w:szCs w:val="18"/>
        </w:rPr>
        <w:t xml:space="preserve"> 20</w:t>
      </w:r>
      <w:r>
        <w:rPr>
          <w:sz w:val="18"/>
          <w:szCs w:val="18"/>
        </w:rPr>
        <w:t xml:space="preserve">20</w:t>
      </w:r>
      <w:r>
        <w:rPr>
          <w:sz w:val="18"/>
          <w:szCs w:val="18"/>
        </w:rPr>
        <w:t xml:space="preserve"> г. </w:t>
      </w:r>
      <w:r>
        <w:rPr>
          <w:sz w:val="18"/>
          <w:szCs w:val="18"/>
        </w:rPr>
        <w:t xml:space="preserve">№1441.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7.6</w:t>
      </w:r>
      <w:r>
        <w:rPr>
          <w:sz w:val="18"/>
          <w:szCs w:val="18"/>
        </w:rPr>
        <w:t xml:space="preserve">. Настоящий Договор составлен в  двух экземпля</w:t>
      </w:r>
      <w:r>
        <w:rPr>
          <w:sz w:val="18"/>
          <w:szCs w:val="18"/>
        </w:rPr>
        <w:t xml:space="preserve">рах, по одному для каждой из сторон. Все экземпляры имеют одинаковую юридическую силу.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7.7</w:t>
      </w:r>
      <w:r>
        <w:rPr>
          <w:sz w:val="18"/>
          <w:szCs w:val="18"/>
        </w:rPr>
        <w:t xml:space="preserve">. Правоотношения сторон, неурегулированные настоящим Договором, регулируются законодательством РФ.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02"/>
        <w:numPr>
          <w:ilvl w:val="0"/>
          <w:numId w:val="5"/>
        </w:numPr>
        <w:pBdr/>
        <w:tabs>
          <w:tab w:val="left" w:leader="none" w:pos="3540"/>
          <w:tab w:val="left" w:leader="none" w:pos="3541"/>
        </w:tabs>
        <w:spacing/>
        <w:ind/>
        <w:jc w:val="center"/>
        <w:rPr/>
      </w:pPr>
      <w:r>
        <w:rPr>
          <w:b/>
        </w:rPr>
        <w:t xml:space="preserve">РАСЧЁТ СТОИМОСТИ УСЛУГ</w:t>
      </w:r>
      <w:r/>
    </w:p>
    <w:tbl>
      <w:tblPr>
        <w:tblStyle w:val="895"/>
        <w:tblW w:w="10355" w:type="dxa"/>
        <w:tblBorders/>
        <w:tblLayout w:type="fixed"/>
        <w:tblpPr w:horzAnchor="margin" w:tblpXSpec="center" w:vertAnchor="text" w:tblpY="24" w:leftFromText="180" w:topFromText="0" w:rightFromText="180" w:bottomFromText="0"/>
        <w:tblLook w:val="04A0" w:firstRow="1" w:lastRow="0" w:firstColumn="1" w:lastColumn="0" w:noHBand="0" w:noVBand="1"/>
      </w:tblPr>
      <w:tblGrid>
        <w:gridCol w:w="6374"/>
        <w:gridCol w:w="1134"/>
        <w:gridCol w:w="625"/>
        <w:gridCol w:w="984"/>
        <w:gridCol w:w="1238"/>
      </w:tblGrid>
      <w:tr>
        <w:trPr>
          <w:trHeight w:val="561"/>
        </w:trPr>
        <w:tc>
          <w:tcPr>
            <w:tcBorders/>
            <w:tcW w:w="6374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услуги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02"/>
              <w:pBdr/>
              <w:spacing w:before="10"/>
              <w:ind w:left="0"/>
              <w:rPr>
                <w:b/>
              </w:rPr>
            </w:pPr>
            <w:r>
              <w:t xml:space="preserve">Дополнительные профессиональные программы повышения квалификации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Единица изме</w:t>
            </w:r>
            <w:r>
              <w:t xml:space="preserve">р</w:t>
            </w:r>
            <w:r>
              <w:t xml:space="preserve">ения</w:t>
            </w:r>
            <w:r/>
          </w:p>
        </w:tc>
        <w:tc>
          <w:tcPr>
            <w:tcBorders/>
            <w:tcW w:w="625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Кол-во</w:t>
            </w:r>
            <w:r/>
          </w:p>
        </w:tc>
        <w:tc>
          <w:tcPr>
            <w:tcBorders/>
            <w:tcW w:w="984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Цена за ед., руб</w:t>
            </w:r>
            <w:r/>
          </w:p>
        </w:tc>
        <w:tc>
          <w:tcPr>
            <w:tcBorders/>
            <w:tcW w:w="1238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Итого руб.,</w:t>
            </w:r>
            <w:r/>
          </w:p>
        </w:tc>
      </w:tr>
      <w:tr>
        <w:trPr>
          <w:trHeight w:val="236"/>
        </w:trPr>
        <w:tc>
          <w:tcPr>
            <w:tcBorders/>
            <w:tcW w:w="6374" w:type="dxa"/>
            <w:textDirection w:val="lrTb"/>
            <w:noWrap w:val="false"/>
          </w:tcPr>
          <w:p w14:paraId="4A3D7B6E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Обучение по программе дополнительного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профессионального образования повышение квалификации: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«Безопасная эксплуатация электроустановок»</w:t>
            </w:r>
            <w:r/>
            <w:r/>
          </w:p>
          <w:p w14:paraId="21CF92AA">
            <w:pPr>
              <w:pStyle w:val="902"/>
              <w:pBdr/>
              <w:spacing w:before="10"/>
              <w:ind w:left="0"/>
              <w:rPr/>
            </w:pPr>
            <w:r/>
            <w:r/>
            <w:r/>
          </w:p>
        </w:tc>
        <w:tc>
          <w:tcPr>
            <w:tcBorders/>
            <w:tcW w:w="1134" w:type="dxa"/>
            <w:textDirection w:val="lrTb"/>
            <w:noWrap w:val="false"/>
          </w:tcPr>
          <w:p w14:paraId="2F7BD537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Чел.</w:t>
            </w:r>
            <w:r/>
            <w:r/>
          </w:p>
        </w:tc>
        <w:tc>
          <w:tcPr>
            <w:tcBorders/>
            <w:tcW w:w="625" w:type="dxa"/>
            <w:textDirection w:val="lrTb"/>
            <w:noWrap w:val="false"/>
          </w:tcPr>
          <w:p w14:paraId="21E27423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1</w:t>
            </w:r>
            <w:r/>
            <w:r/>
          </w:p>
        </w:tc>
        <w:tc>
          <w:tcPr>
            <w:tcBorders/>
            <w:tcW w:w="984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  <w:tc>
          <w:tcPr>
            <w:tcBorders/>
            <w:tcW w:w="1238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</w:tr>
      <w:tr>
        <w:trPr>
          <w:trHeight w:val="236"/>
        </w:trPr>
        <w:tc>
          <w:tcPr>
            <w:tcBorders/>
            <w:tcW w:w="6374" w:type="dxa"/>
            <w:vMerge w:val="restart"/>
            <w:textDirection w:val="lrTb"/>
            <w:noWrap w:val="false"/>
          </w:tcPr>
          <w:p w14:paraId="2998773F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Обучение по программе дополнительного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профессионального образования повышение квалификации: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«Техническая эксплуатация тепловых энергоустановок»</w:t>
            </w:r>
            <w:r/>
            <w:r/>
          </w:p>
          <w:p w14:paraId="5147A2DE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 w14:paraId="70064806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Чел.</w:t>
            </w:r>
            <w:r/>
            <w:r/>
          </w:p>
        </w:tc>
        <w:tc>
          <w:tcPr>
            <w:tcBorders/>
            <w:tcW w:w="625" w:type="dxa"/>
            <w:vMerge w:val="restart"/>
            <w:textDirection w:val="lrTb"/>
            <w:noWrap w:val="false"/>
          </w:tcPr>
          <w:p w14:paraId="21ECE614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1</w:t>
            </w:r>
            <w:r/>
            <w:r/>
          </w:p>
        </w:tc>
        <w:tc>
          <w:tcPr>
            <w:tcBorders/>
            <w:tcW w:w="984" w:type="dxa"/>
            <w:vMerge w:val="restart"/>
            <w:textDirection w:val="lrTb"/>
            <w:noWrap w:val="false"/>
          </w:tcPr>
          <w:p w14:paraId="6E46ED6E"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  <w:tc>
          <w:tcPr>
            <w:tcBorders/>
            <w:tcW w:w="1238" w:type="dxa"/>
            <w:vMerge w:val="restart"/>
            <w:textDirection w:val="lrTb"/>
            <w:noWrap w:val="false"/>
          </w:tcPr>
          <w:p w14:paraId="43964A9C"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</w:tr>
      <w:tr>
        <w:trPr>
          <w:trHeight w:val="236"/>
        </w:trPr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374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rPr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4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25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84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auto" w:sz="4" w:space="0"/>
            </w:tcBorders>
            <w:tcW w:w="1238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Bdr/>
        <w:spacing/>
        <w:ind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numPr>
          <w:ilvl w:val="0"/>
          <w:numId w:val="5"/>
        </w:numPr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МЕСТОНАХОЖДЕНИЕ, РЕКВИЗИТЫ И ПОДПИСИ СТОРОН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p>
      <w:pPr>
        <w:pBdr/>
        <w:spacing/>
        <w:ind w:left="360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Ind w:w="-318" w:type="dxa"/>
        <w:tblW w:w="11204" w:type="dxa"/>
        <w:tblBorders/>
        <w:tblLayout w:type="fixed"/>
        <w:tblLook w:val="0000" w:firstRow="0" w:lastRow="0" w:firstColumn="0" w:lastColumn="0" w:noHBand="0" w:noVBand="0"/>
      </w:tblPr>
      <w:tblGrid>
        <w:gridCol w:w="568"/>
        <w:gridCol w:w="5103"/>
        <w:gridCol w:w="611"/>
        <w:gridCol w:w="4922"/>
      </w:tblGrid>
      <w:tr>
        <w:trPr>
          <w:gridBefore w:val="1"/>
        </w:trPr>
        <w:tc>
          <w:tcPr>
            <w:tcBorders/>
            <w:tcW w:w="5103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Директор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 w:line="276" w:lineRule="auto"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 w:line="200" w:lineRule="atLeast"/>
              <w:ind w:right="-3" w:hanging="15" w:left="-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  <w:p>
            <w:pPr>
              <w:pBdr/>
              <w:spacing w:line="200" w:lineRule="atLeast"/>
              <w:ind w:right="-3" w:hanging="15" w:left="-3"/>
              <w:jc w:val="right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bCs/>
                <w:sz w:val="18"/>
                <w:szCs w:val="18"/>
              </w:rPr>
              <w:t xml:space="preserve">____________________ 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gridSpan w:val="2"/>
            <w:tcBorders/>
            <w:tcW w:w="5533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MERGEFIELD Краткое_название_организации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 xml:space="preserve">ГБДОУ детский сад № 20 Приморского района Санкт-Петербурга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 w:right="3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ИНН</w:t>
            </w:r>
            <w:r>
              <w:rPr>
                <w:sz w:val="18"/>
                <w:szCs w:val="18"/>
              </w:rPr>
              <w:t xml:space="preserve">/КПП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MERGEFIELD ИНН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 xml:space="preserve">7814046825/781401001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 w:right="3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MERGEFIELD Реквизиты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 xml:space="preserve">ОГРН 1027807590249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 w:right="3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t xml:space="preserve">ОКЦ № 1 СЗГУ Банка России//УФК по г.Санкт-Петербургу, г Санкт-Петербург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 w:right="3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БИК 014030106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 w:right="3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Л/с 0641076 в Комитете финансов Санкт-Петербурга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 w:right="3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Р/с 03224643400000007200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 w:right="32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К/с 40102810945370000005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MERGEFIELD Адрес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 xml:space="preserve">197183, Санкт-Петербург, ул.Дибуновская, д.10, лит.А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 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  <w:lang w:val="en-US"/>
              </w:rPr>
              <w:instrText xml:space="preserve">MERGEFIELD</w:instrText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</w:rPr>
              <w:instrText xml:space="preserve">Телефон</w:instrText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 xml:space="preserve">(812) 246-37-60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E</w:t>
            </w:r>
            <w:r>
              <w:rPr>
                <w:sz w:val="18"/>
                <w:szCs w:val="18"/>
              </w:rPr>
              <w:t xml:space="preserve">-</w:t>
            </w:r>
            <w:r>
              <w:rPr>
                <w:sz w:val="18"/>
                <w:szCs w:val="18"/>
                <w:lang w:val="en-US"/>
              </w:rPr>
              <w:t xml:space="preserve">mail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  <w:lang w:val="en-US"/>
              </w:rPr>
              <w:instrText xml:space="preserve">MERGEFIELD</w:instrText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  <w:lang w:val="en-US"/>
              </w:rPr>
              <w:instrText xml:space="preserve">Email</w:instrText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  <w:lang w:val="en-US"/>
              </w:rPr>
              <w:t xml:space="preserve">primdou</w:t>
            </w:r>
            <w:r>
              <w:rPr>
                <w:sz w:val="18"/>
                <w:szCs w:val="18"/>
              </w:rPr>
              <w:t xml:space="preserve">-20@</w:t>
            </w:r>
            <w:r>
              <w:rPr>
                <w:sz w:val="18"/>
                <w:szCs w:val="18"/>
                <w:lang w:val="en-US"/>
              </w:rPr>
              <w:t xml:space="preserve">mail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  <w:lang w:val="en-US"/>
              </w:rPr>
              <w:t xml:space="preserve">ru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  <w:lang w:val="en-US"/>
              </w:rPr>
              <w:instrText xml:space="preserve">MERGEFIELD</w:instrText>
            </w:r>
            <w:r>
              <w:rPr>
                <w:sz w:val="18"/>
                <w:szCs w:val="18"/>
              </w:rPr>
              <w:instrText xml:space="preserve"> Руководитель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 xml:space="preserve">заведующий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</w:instrText>
            </w:r>
            <w:r>
              <w:rPr>
                <w:sz w:val="18"/>
                <w:szCs w:val="18"/>
                <w:lang w:val="en-US"/>
              </w:rPr>
              <w:instrText xml:space="preserve">MERGEFIELD</w:instrText>
            </w:r>
            <w:r>
              <w:rPr>
                <w:sz w:val="18"/>
                <w:szCs w:val="18"/>
              </w:rPr>
              <w:instrText xml:space="preserve"> Краткое_название_организации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 xml:space="preserve">ГБДОУ детский сад № 20 Приморского района Санкт-Петербурга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 w:line="360" w:lineRule="auto"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 w:line="360" w:lineRule="auto"/>
              <w:ind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 w:line="360" w:lineRule="auto"/>
              <w:ind w:right="32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fldChar w:fldCharType="begin"/>
            </w:r>
            <w:r>
              <w:rPr>
                <w:sz w:val="18"/>
                <w:szCs w:val="18"/>
              </w:rPr>
              <w:instrText xml:space="preserve"> MERGEFIELD ФИО_инициалы </w:instrText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t xml:space="preserve">Ю.В. Скорбящева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Bdr/>
              <w:spacing/>
              <w:ind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rPr>
          <w:trHeight w:val="3460"/>
        </w:trPr>
        <w:tc>
          <w:tcPr>
            <w:gridSpan w:val="3"/>
            <w:tcBorders/>
            <w:tcW w:w="6282" w:type="dxa"/>
            <w:textDirection w:val="lrTb"/>
            <w:noWrap w:val="false"/>
          </w:tcPr>
          <w:p>
            <w:pPr>
              <w:pBdr/>
              <w:spacing w:line="360" w:lineRule="auto"/>
              <w:ind w:firstLine="1" w:left="-181"/>
              <w:rPr/>
            </w:pPr>
            <w:r/>
            <w:r/>
          </w:p>
          <w:p>
            <w:pPr>
              <w:pBdr/>
              <w:tabs>
                <w:tab w:val="left" w:leader="none" w:pos="4111"/>
              </w:tabs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tabs>
                <w:tab w:val="left" w:leader="none" w:pos="4111"/>
              </w:tabs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/>
            <w:tcW w:w="4922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MERGEFIELD Краткое_название_организации </w:instrText>
            </w:r>
            <w:r>
              <w:rPr>
                <w:b/>
                <w:sz w:val="22"/>
                <w:szCs w:val="22"/>
              </w:rPr>
              <w:fldChar w:fldCharType="separate"/>
            </w:r>
            <w:r>
              <w:rPr>
                <w:b/>
                <w:sz w:val="22"/>
                <w:szCs w:val="22"/>
              </w:rPr>
              <w:t xml:space="preserve">ГБДОУ детский сад № 20 Приморского района Санкт-Петербурга</w:t>
            </w:r>
            <w:r>
              <w:rPr>
                <w:b/>
                <w:sz w:val="22"/>
                <w:szCs w:val="22"/>
              </w:rPr>
              <w:fldChar w:fldCharType="end"/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ИНН/КПП </w:t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MERGEFIELD ИНН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 xml:space="preserve">7814046825/781401001</w:t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 w:right="3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MERGEFIELD Реквизиты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 xml:space="preserve">ОГРН 1027807590249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 w:right="3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t xml:space="preserve">ОКЦ № 1 СЗГУ Банка России//УФК по г.Санкт-Петербургу, г Санкт-Петербург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 w:right="3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БИК 014030106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 w:right="3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Л/с 0641076 в Комитете финансов Санкт-Петербурга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 w:right="3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Р/с 03224643400000007200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 w:right="3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К/с 40102810945370000005</w:t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 w:right="4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</w:t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MERGEFIELD Адрес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 xml:space="preserve">197183, Санкт-Петербург, ул.Дибуновская, д.10, лит.А</w:t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 </w:t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</w:instrText>
            </w:r>
            <w:r>
              <w:rPr>
                <w:sz w:val="22"/>
                <w:szCs w:val="22"/>
                <w:lang w:val="en-US"/>
              </w:rPr>
              <w:instrText xml:space="preserve">MERGEFIELD</w:instrText>
            </w:r>
            <w:r>
              <w:rPr>
                <w:sz w:val="22"/>
                <w:szCs w:val="22"/>
              </w:rPr>
              <w:instrText xml:space="preserve"> Телефон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 xml:space="preserve">(812) 246-37-60</w:t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E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  <w:lang w:val="en-US"/>
              </w:rPr>
              <w:t xml:space="preserve"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</w:instrText>
            </w:r>
            <w:r>
              <w:rPr>
                <w:sz w:val="22"/>
                <w:szCs w:val="22"/>
                <w:lang w:val="en-US"/>
              </w:rPr>
              <w:instrText xml:space="preserve">MERGEFIELD</w:instrText>
            </w:r>
            <w:r>
              <w:rPr>
                <w:sz w:val="22"/>
                <w:szCs w:val="22"/>
              </w:rPr>
              <w:instrText xml:space="preserve"> </w:instrText>
            </w:r>
            <w:r>
              <w:rPr>
                <w:sz w:val="22"/>
                <w:szCs w:val="22"/>
                <w:lang w:val="en-US"/>
              </w:rPr>
              <w:instrText xml:space="preserve">Email</w:instrText>
            </w:r>
            <w:r>
              <w:rPr>
                <w:sz w:val="22"/>
                <w:szCs w:val="22"/>
              </w:rPr>
              <w:instrText xml:space="preserve">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  <w:lang w:val="en-US"/>
              </w:rPr>
              <w:t xml:space="preserve">primdou</w:t>
            </w:r>
            <w:r>
              <w:rPr>
                <w:sz w:val="22"/>
                <w:szCs w:val="22"/>
              </w:rPr>
              <w:t xml:space="preserve">-20@</w:t>
            </w:r>
            <w:r>
              <w:rPr>
                <w:sz w:val="22"/>
                <w:szCs w:val="22"/>
                <w:lang w:val="en-US"/>
              </w:rPr>
              <w:t xml:space="preserve">mail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  <w:lang w:val="en-US"/>
              </w:rPr>
              <w:t xml:space="preserve">ru</w:t>
            </w:r>
            <w:r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Bdr/>
        <w:spacing/>
        <w:ind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Style w:val="895"/>
        <w:tblW w:w="10644" w:type="dxa"/>
        <w:tblBorders/>
        <w:tblpPr w:horzAnchor="margin" w:tblpXSpec="center" w:vertAnchor="text" w:tblpY="24" w:leftFromText="180" w:topFromText="0" w:rightFromText="180" w:bottomFromText="0"/>
        <w:tblLook w:val="04A0" w:firstRow="1" w:lastRow="0" w:firstColumn="1" w:lastColumn="0" w:noHBand="0" w:noVBand="1"/>
      </w:tblPr>
      <w:tblGrid>
        <w:gridCol w:w="6483"/>
        <w:gridCol w:w="1023"/>
        <w:gridCol w:w="576"/>
        <w:gridCol w:w="1406"/>
        <w:gridCol w:w="1156"/>
      </w:tblGrid>
      <w:tr>
        <w:trPr>
          <w:trHeight w:val="216"/>
        </w:trPr>
        <w:tc>
          <w:tcPr>
            <w:tcBorders/>
            <w:tcW w:w="6483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услуги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1023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rPr/>
            </w:pPr>
            <w:r>
              <w:t xml:space="preserve">Единица изме</w:t>
            </w:r>
            <w:r>
              <w:t xml:space="preserve">р</w:t>
            </w:r>
            <w:r>
              <w:t xml:space="preserve">ения</w:t>
            </w:r>
            <w:r/>
          </w:p>
        </w:tc>
        <w:tc>
          <w:tcPr>
            <w:tcBorders/>
            <w:tcW w:w="576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rPr/>
            </w:pPr>
            <w:r>
              <w:t xml:space="preserve">Кол-во</w:t>
            </w:r>
            <w:r/>
          </w:p>
        </w:tc>
        <w:tc>
          <w:tcPr>
            <w:tcBorders/>
            <w:tcW w:w="1406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rPr/>
            </w:pPr>
            <w:r>
              <w:t xml:space="preserve">Цена за ед., руб</w:t>
            </w:r>
            <w:r/>
          </w:p>
        </w:tc>
        <w:tc>
          <w:tcPr>
            <w:tcBorders/>
            <w:tcW w:w="1156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rPr/>
            </w:pPr>
            <w:r>
              <w:t xml:space="preserve">Итого руб.,</w:t>
            </w:r>
            <w:r/>
          </w:p>
        </w:tc>
      </w:tr>
      <w:tr>
        <w:trPr>
          <w:trHeight w:val="236"/>
        </w:trPr>
        <w:tc>
          <w:tcPr>
            <w:tcBorders/>
            <w:tcW w:w="6483" w:type="dxa"/>
            <w:textDirection w:val="lrTb"/>
            <w:noWrap w:val="false"/>
          </w:tcPr>
          <w:p w14:paraId="42E17EDE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Обучение по программе дополнительного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профессионального образования повышение квалификации: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«Безопасная эксплуатация электроустановок»</w:t>
            </w:r>
            <w:r/>
            <w:r/>
          </w:p>
          <w:p>
            <w:pPr>
              <w:pStyle w:val="902"/>
              <w:pBdr/>
              <w:spacing w:before="10"/>
              <w:ind w:left="0"/>
              <w:rPr/>
            </w:pPr>
            <w:r/>
            <w:r/>
          </w:p>
        </w:tc>
        <w:tc>
          <w:tcPr>
            <w:tcBorders/>
            <w:tcW w:w="1023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Чел.</w:t>
            </w:r>
            <w:r/>
          </w:p>
        </w:tc>
        <w:tc>
          <w:tcPr>
            <w:tcBorders/>
            <w:tcW w:w="576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1</w:t>
            </w:r>
            <w:r/>
          </w:p>
        </w:tc>
        <w:tc>
          <w:tcPr>
            <w:tcBorders/>
            <w:tcW w:w="1406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  <w:tc>
          <w:tcPr>
            <w:tcBorders/>
            <w:tcW w:w="1156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</w:tr>
      <w:tr>
        <w:trPr>
          <w:trHeight w:val="236"/>
        </w:trPr>
        <w:tc>
          <w:tcPr>
            <w:tcBorders/>
            <w:tcW w:w="6483" w:type="dxa"/>
            <w:vMerge w:val="restart"/>
            <w:textDirection w:val="lrTb"/>
            <w:noWrap w:val="false"/>
          </w:tcPr>
          <w:p w14:paraId="6AF9E426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Обучение по программе дополнительного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профессионального образования повышение квалификации: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«Техническая эксплуатация тепловых энергоустановок»</w:t>
            </w:r>
            <w:r/>
            <w:r/>
          </w:p>
          <w:p w14:paraId="03C0474D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tcBorders/>
            <w:tcW w:w="1023" w:type="dxa"/>
            <w:vMerge w:val="restart"/>
            <w:textDirection w:val="lrTb"/>
            <w:noWrap w:val="false"/>
          </w:tcPr>
          <w:p w14:paraId="5814D4CF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Чел.</w:t>
            </w:r>
            <w:r/>
            <w:r/>
          </w:p>
        </w:tc>
        <w:tc>
          <w:tcPr>
            <w:tcBorders/>
            <w:tcW w:w="576" w:type="dxa"/>
            <w:vMerge w:val="restart"/>
            <w:textDirection w:val="lrTb"/>
            <w:noWrap w:val="false"/>
          </w:tcPr>
          <w:p w14:paraId="20AF9A68">
            <w:pPr>
              <w:pStyle w:val="902"/>
              <w:pBdr/>
              <w:spacing w:before="10"/>
              <w:ind w:left="0"/>
              <w:jc w:val="center"/>
              <w:rPr/>
            </w:pPr>
            <w:r>
              <w:t xml:space="preserve">1</w:t>
            </w:r>
            <w:r/>
            <w:r/>
          </w:p>
        </w:tc>
        <w:tc>
          <w:tcPr>
            <w:tcBorders/>
            <w:tcW w:w="1406" w:type="dxa"/>
            <w:vMerge w:val="restart"/>
            <w:textDirection w:val="lrTb"/>
            <w:noWrap w:val="false"/>
          </w:tcPr>
          <w:p w14:paraId="43DAAD98"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  <w:tc>
          <w:tcPr>
            <w:tcBorders/>
            <w:tcW w:w="1156" w:type="dxa"/>
            <w:vMerge w:val="restart"/>
            <w:textDirection w:val="lrTb"/>
            <w:noWrap w:val="false"/>
          </w:tcPr>
          <w:p w14:paraId="07E7A9CE"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</w:tr>
      <w:tr>
        <w:trPr>
          <w:trHeight w:val="236"/>
        </w:trPr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483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rPr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23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76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6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auto" w:sz="4" w:space="0"/>
            </w:tcBorders>
            <w:tcW w:w="1156" w:type="dxa"/>
            <w:textDirection w:val="lrTb"/>
            <w:noWrap w:val="false"/>
          </w:tcPr>
          <w:p>
            <w:pPr>
              <w:pStyle w:val="902"/>
              <w:pBdr/>
              <w:spacing w:before="10"/>
              <w:ind w:left="0"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pBdr/>
        <w:spacing/>
        <w:ind/>
        <w:jc w:val="center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</w:r>
      <w:r>
        <w:rPr>
          <w:b/>
          <w:sz w:val="22"/>
          <w:szCs w:val="22"/>
          <w:lang w:val="en-US"/>
        </w:rPr>
      </w:r>
      <w:r>
        <w:rPr>
          <w:b/>
          <w:sz w:val="22"/>
          <w:szCs w:val="22"/>
          <w:lang w:val="en-US"/>
        </w:rPr>
      </w:r>
    </w:p>
    <w:p>
      <w:pPr>
        <w:pBdr/>
        <w:spacing/>
        <w:ind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sectPr>
      <w:footnotePr/>
      <w:endnotePr/>
      <w:type w:val="nextPage"/>
      <w:pgSz w:h="16838" w:orient="portrait" w:w="11906"/>
      <w:pgMar w:top="567" w:right="707" w:bottom="709" w:left="851" w:header="295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360" w:left="36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20" w:left="7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720" w:left="72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108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080" w:left="108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080" w:left="10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0"/>
        </w:tabs>
        <w:spacing/>
        <w:ind w:hanging="360" w:left="720"/>
      </w:pPr>
      <w:rPr/>
      <w:start w:val="2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0"/>
        </w:tabs>
        <w:spacing/>
        <w:ind w:hanging="720" w:left="108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0"/>
        </w:tabs>
        <w:spacing/>
        <w:ind w:hanging="720" w:left="108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0"/>
        </w:tabs>
        <w:spacing/>
        <w:ind w:hanging="72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0"/>
        </w:tabs>
        <w:spacing/>
        <w:ind w:hanging="1080" w:left="144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0"/>
        </w:tabs>
        <w:spacing/>
        <w:ind w:hanging="1080" w:left="14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0"/>
        </w:tabs>
        <w:spacing/>
        <w:ind w:hanging="1440" w:left="180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0"/>
        </w:tabs>
        <w:spacing/>
        <w:ind w:hanging="1440" w:left="180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2"/>
      <w:suff w:val="tab"/>
    </w:lvl>
    <w:lvl w:ilvl="1">
      <w:isLgl w:val="false"/>
      <w:lvlJc w:val="left"/>
      <w:lvlText w:val="%1.%2."/>
      <w:numFmt w:val="decimal"/>
      <w:pPr>
        <w:pBdr/>
        <w:tabs>
          <w:tab w:val="num" w:leader="none" w:pos="7165"/>
        </w:tabs>
        <w:spacing/>
        <w:ind w:hanging="360" w:left="7165"/>
      </w:pPr>
      <w:rPr>
        <w:b w:val="0"/>
      </w:rPr>
      <w:start w:val="2"/>
      <w:suff w:val="tab"/>
    </w:lvl>
    <w:lvl w:ilvl="2">
      <w:isLgl w:val="false"/>
      <w:lvlJc w:val="left"/>
      <w:lvlText w:val="%1.%2.%3."/>
      <w:numFmt w:val="decimal"/>
      <w:pPr>
        <w:pBdr/>
        <w:tabs>
          <w:tab w:val="num" w:leader="none" w:pos="720"/>
        </w:tabs>
        <w:spacing/>
        <w:ind w:hanging="720" w:left="720"/>
      </w:pPr>
      <w:rPr>
        <w:b w:val="0"/>
      </w:rPr>
      <w:start w:val="1"/>
      <w:suff w:val="tab"/>
    </w:lvl>
    <w:lvl w:ilvl="3">
      <w:isLgl w:val="false"/>
      <w:lvlJc w:val="left"/>
      <w:lvlText w:val="%1.%2.%3.%4."/>
      <w:numFmt w:val="decimal"/>
      <w:pPr>
        <w:pBdr/>
        <w:tabs>
          <w:tab w:val="num" w:leader="none" w:pos="720"/>
        </w:tabs>
        <w:spacing/>
        <w:ind w:hanging="720" w:left="720"/>
      </w:pPr>
      <w:rPr>
        <w:b w:val="0"/>
      </w:rPr>
      <w:start w:val="1"/>
      <w:suff w:val="tab"/>
    </w:lvl>
    <w:lvl w:ilvl="4">
      <w:isLgl w:val="false"/>
      <w:lvlJc w:val="left"/>
      <w:lvlText w:val="%1.%2.%3.%4.%5."/>
      <w:numFmt w:val="decimal"/>
      <w:pPr>
        <w:pBdr/>
        <w:tabs>
          <w:tab w:val="num" w:leader="none" w:pos="1080"/>
        </w:tabs>
        <w:spacing/>
        <w:ind w:hanging="1080" w:left="1080"/>
      </w:pPr>
      <w:rPr>
        <w:b w:val="0"/>
      </w:rPr>
      <w:start w:val="1"/>
      <w:suff w:val="tab"/>
    </w:lvl>
    <w:lvl w:ilvl="5">
      <w:isLgl w:val="false"/>
      <w:lvlJc w:val="left"/>
      <w:lvlText w:val="%1.%2.%3.%4.%5.%6."/>
      <w:numFmt w:val="decimal"/>
      <w:pPr>
        <w:pBdr/>
        <w:tabs>
          <w:tab w:val="num" w:leader="none" w:pos="1080"/>
        </w:tabs>
        <w:spacing/>
        <w:ind w:hanging="1080" w:left="1080"/>
      </w:pPr>
      <w:rPr>
        <w:b w:val="0"/>
      </w:rPr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tabs>
          <w:tab w:val="num" w:leader="none" w:pos="1080"/>
        </w:tabs>
        <w:spacing/>
        <w:ind w:hanging="1080" w:left="1080"/>
      </w:pPr>
      <w:rPr>
        <w:b w:val="0"/>
      </w:rPr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tabs>
          <w:tab w:val="num" w:leader="none" w:pos="1440"/>
        </w:tabs>
        <w:spacing/>
        <w:ind w:hanging="1440" w:left="1440"/>
      </w:pPr>
      <w:rPr>
        <w:b w:val="0"/>
      </w:rPr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tabs>
          <w:tab w:val="num" w:leader="none" w:pos="1440"/>
        </w:tabs>
        <w:spacing/>
        <w:ind w:hanging="1440" w:left="1440"/>
      </w:pPr>
      <w:rPr>
        <w:b w:val="0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4"/>
      <w:suff w:val="tab"/>
    </w:lvl>
    <w:lvl w:ilvl="1">
      <w:isLgl w:val="true"/>
      <w:lvlJc w:val="left"/>
      <w:lvlText w:val="%1.%2."/>
      <w:numFmt w:val="decimal"/>
      <w:pPr>
        <w:pBdr/>
        <w:spacing/>
        <w:ind w:hanging="420" w:left="780"/>
      </w:pPr>
      <w:rPr>
        <w:rFonts w:hint="default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720" w:left="1080"/>
      </w:pPr>
      <w:rPr>
        <w:rFonts w:hint="default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080" w:left="1440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1440" w:left="1800"/>
      </w:pPr>
      <w:rPr>
        <w:rFonts w:hint="default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4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ru-RU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6">
    <w:name w:val="Intense Emphasis"/>
    <w:basedOn w:val="88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88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88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886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886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88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88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88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886"/>
    <w:uiPriority w:val="99"/>
    <w:semiHidden/>
    <w:pPr>
      <w:pBdr/>
      <w:spacing/>
      <w:ind/>
    </w:pPr>
    <w:rPr>
      <w:color w:val="666666"/>
    </w:rPr>
  </w:style>
  <w:style w:type="paragraph" w:styleId="713">
    <w:name w:val="Heading 1"/>
    <w:basedOn w:val="885"/>
    <w:next w:val="885"/>
    <w:link w:val="7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14">
    <w:name w:val="Heading 1 Char"/>
    <w:basedOn w:val="886"/>
    <w:link w:val="7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5">
    <w:name w:val="Heading 2"/>
    <w:basedOn w:val="885"/>
    <w:next w:val="885"/>
    <w:link w:val="7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6">
    <w:name w:val="Heading 2 Char"/>
    <w:basedOn w:val="886"/>
    <w:link w:val="7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7">
    <w:name w:val="Heading 3"/>
    <w:basedOn w:val="885"/>
    <w:next w:val="885"/>
    <w:link w:val="7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8">
    <w:name w:val="Heading 3 Char"/>
    <w:basedOn w:val="886"/>
    <w:link w:val="7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9">
    <w:name w:val="Heading 4"/>
    <w:basedOn w:val="885"/>
    <w:next w:val="885"/>
    <w:link w:val="7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0">
    <w:name w:val="Heading 4 Char"/>
    <w:basedOn w:val="886"/>
    <w:link w:val="7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21">
    <w:name w:val="Heading 5"/>
    <w:basedOn w:val="885"/>
    <w:next w:val="885"/>
    <w:link w:val="7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2">
    <w:name w:val="Heading 5 Char"/>
    <w:basedOn w:val="886"/>
    <w:link w:val="7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23">
    <w:name w:val="Heading 6"/>
    <w:basedOn w:val="885"/>
    <w:next w:val="885"/>
    <w:link w:val="7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4">
    <w:name w:val="Heading 6 Char"/>
    <w:basedOn w:val="886"/>
    <w:link w:val="7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5">
    <w:name w:val="Heading 7"/>
    <w:basedOn w:val="885"/>
    <w:next w:val="885"/>
    <w:link w:val="7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6">
    <w:name w:val="Heading 7 Char"/>
    <w:basedOn w:val="886"/>
    <w:link w:val="7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885"/>
    <w:next w:val="885"/>
    <w:link w:val="7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8">
    <w:name w:val="Heading 8 Char"/>
    <w:basedOn w:val="886"/>
    <w:link w:val="7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9">
    <w:name w:val="Heading 9"/>
    <w:basedOn w:val="885"/>
    <w:next w:val="885"/>
    <w:link w:val="7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0">
    <w:name w:val="Heading 9 Char"/>
    <w:basedOn w:val="886"/>
    <w:link w:val="7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31">
    <w:name w:val="Title"/>
    <w:basedOn w:val="885"/>
    <w:next w:val="885"/>
    <w:link w:val="73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32">
    <w:name w:val="Title Char"/>
    <w:basedOn w:val="886"/>
    <w:link w:val="731"/>
    <w:uiPriority w:val="10"/>
    <w:pPr>
      <w:pBdr/>
      <w:spacing/>
      <w:ind/>
    </w:pPr>
    <w:rPr>
      <w:sz w:val="48"/>
      <w:szCs w:val="48"/>
    </w:rPr>
  </w:style>
  <w:style w:type="paragraph" w:styleId="733">
    <w:name w:val="Subtitle"/>
    <w:basedOn w:val="885"/>
    <w:next w:val="885"/>
    <w:link w:val="73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34">
    <w:name w:val="Subtitle Char"/>
    <w:basedOn w:val="886"/>
    <w:link w:val="733"/>
    <w:uiPriority w:val="11"/>
    <w:pPr>
      <w:pBdr/>
      <w:spacing/>
      <w:ind/>
    </w:pPr>
    <w:rPr>
      <w:sz w:val="24"/>
      <w:szCs w:val="24"/>
    </w:rPr>
  </w:style>
  <w:style w:type="paragraph" w:styleId="735">
    <w:name w:val="Quote"/>
    <w:basedOn w:val="885"/>
    <w:next w:val="885"/>
    <w:link w:val="736"/>
    <w:uiPriority w:val="29"/>
    <w:qFormat/>
    <w:pPr>
      <w:pBdr/>
      <w:spacing/>
      <w:ind w:right="720" w:left="720"/>
    </w:pPr>
    <w:rPr>
      <w:i/>
    </w:rPr>
  </w:style>
  <w:style w:type="character" w:styleId="736">
    <w:name w:val="Quote Char"/>
    <w:link w:val="735"/>
    <w:uiPriority w:val="29"/>
    <w:pPr>
      <w:pBdr/>
      <w:spacing/>
      <w:ind/>
    </w:pPr>
    <w:rPr>
      <w:i/>
    </w:rPr>
  </w:style>
  <w:style w:type="paragraph" w:styleId="737">
    <w:name w:val="Intense Quote"/>
    <w:basedOn w:val="885"/>
    <w:next w:val="885"/>
    <w:link w:val="73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8">
    <w:name w:val="Intense Quote Char"/>
    <w:link w:val="737"/>
    <w:uiPriority w:val="30"/>
    <w:pPr>
      <w:pBdr/>
      <w:spacing/>
      <w:ind/>
    </w:pPr>
    <w:rPr>
      <w:i/>
    </w:rPr>
  </w:style>
  <w:style w:type="character" w:styleId="739">
    <w:name w:val="Header Char"/>
    <w:basedOn w:val="886"/>
    <w:link w:val="890"/>
    <w:uiPriority w:val="99"/>
    <w:pPr>
      <w:pBdr/>
      <w:spacing/>
      <w:ind/>
    </w:pPr>
  </w:style>
  <w:style w:type="character" w:styleId="740">
    <w:name w:val="Footer Char"/>
    <w:basedOn w:val="886"/>
    <w:link w:val="898"/>
    <w:uiPriority w:val="99"/>
    <w:pPr>
      <w:pBdr/>
      <w:spacing/>
      <w:ind/>
    </w:pPr>
  </w:style>
  <w:style w:type="paragraph" w:styleId="741">
    <w:name w:val="Caption"/>
    <w:basedOn w:val="885"/>
    <w:next w:val="885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898"/>
    <w:uiPriority w:val="99"/>
    <w:pPr>
      <w:pBdr/>
      <w:spacing/>
      <w:ind/>
    </w:pPr>
  </w:style>
  <w:style w:type="table" w:styleId="743">
    <w:name w:val="Table Grid Light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1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2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Plain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Plain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1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2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3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4 - Accent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4 - Accent 5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 - Accent 6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5 Dark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4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4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5 Dark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&amp; 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&amp; 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9">
    <w:name w:val="Footnote Text Char"/>
    <w:link w:val="868"/>
    <w:uiPriority w:val="99"/>
    <w:pPr>
      <w:pBdr/>
      <w:spacing/>
      <w:ind/>
    </w:pPr>
    <w:rPr>
      <w:sz w:val="18"/>
    </w:rPr>
  </w:style>
  <w:style w:type="character" w:styleId="870">
    <w:name w:val="footnote reference"/>
    <w:basedOn w:val="886"/>
    <w:uiPriority w:val="99"/>
    <w:unhideWhenUsed/>
    <w:pPr>
      <w:pBdr/>
      <w:spacing/>
      <w:ind/>
    </w:pPr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72">
    <w:name w:val="Endnote Text Char"/>
    <w:link w:val="871"/>
    <w:uiPriority w:val="99"/>
    <w:pPr>
      <w:pBdr/>
      <w:spacing/>
      <w:ind/>
    </w:pPr>
    <w:rPr>
      <w:sz w:val="20"/>
    </w:rPr>
  </w:style>
  <w:style w:type="character" w:styleId="873">
    <w:name w:val="endnote reference"/>
    <w:basedOn w:val="886"/>
    <w:uiPriority w:val="99"/>
    <w:semiHidden/>
    <w:unhideWhenUsed/>
    <w:pPr>
      <w:pBdr/>
      <w:spacing/>
      <w:ind/>
    </w:pPr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pBdr/>
      <w:spacing w:after="57"/>
      <w:ind w:right="0" w:firstLine="0" w:left="0"/>
    </w:pPr>
  </w:style>
  <w:style w:type="paragraph" w:styleId="875">
    <w:name w:val="toc 2"/>
    <w:basedOn w:val="885"/>
    <w:next w:val="885"/>
    <w:uiPriority w:val="39"/>
    <w:unhideWhenUsed/>
    <w:pPr>
      <w:pBdr/>
      <w:spacing w:after="57"/>
      <w:ind w:right="0" w:firstLine="0" w:left="283"/>
    </w:pPr>
  </w:style>
  <w:style w:type="paragraph" w:styleId="876">
    <w:name w:val="toc 3"/>
    <w:basedOn w:val="885"/>
    <w:next w:val="885"/>
    <w:uiPriority w:val="39"/>
    <w:unhideWhenUsed/>
    <w:pPr>
      <w:pBdr/>
      <w:spacing w:after="57"/>
      <w:ind w:right="0" w:firstLine="0" w:left="567"/>
    </w:pPr>
  </w:style>
  <w:style w:type="paragraph" w:styleId="877">
    <w:name w:val="toc 4"/>
    <w:basedOn w:val="885"/>
    <w:next w:val="885"/>
    <w:uiPriority w:val="39"/>
    <w:unhideWhenUsed/>
    <w:pPr>
      <w:pBdr/>
      <w:spacing w:after="57"/>
      <w:ind w:right="0" w:firstLine="0" w:left="850"/>
    </w:pPr>
  </w:style>
  <w:style w:type="paragraph" w:styleId="878">
    <w:name w:val="toc 5"/>
    <w:basedOn w:val="885"/>
    <w:next w:val="885"/>
    <w:uiPriority w:val="39"/>
    <w:unhideWhenUsed/>
    <w:pPr>
      <w:pBdr/>
      <w:spacing w:after="57"/>
      <w:ind w:right="0" w:firstLine="0" w:left="1134"/>
    </w:pPr>
  </w:style>
  <w:style w:type="paragraph" w:styleId="879">
    <w:name w:val="toc 6"/>
    <w:basedOn w:val="885"/>
    <w:next w:val="885"/>
    <w:uiPriority w:val="39"/>
    <w:unhideWhenUsed/>
    <w:pPr>
      <w:pBdr/>
      <w:spacing w:after="57"/>
      <w:ind w:right="0" w:firstLine="0" w:left="1417"/>
    </w:pPr>
  </w:style>
  <w:style w:type="paragraph" w:styleId="880">
    <w:name w:val="toc 7"/>
    <w:basedOn w:val="885"/>
    <w:next w:val="885"/>
    <w:uiPriority w:val="39"/>
    <w:unhideWhenUsed/>
    <w:pPr>
      <w:pBdr/>
      <w:spacing w:after="57"/>
      <w:ind w:right="0" w:firstLine="0" w:left="1701"/>
    </w:pPr>
  </w:style>
  <w:style w:type="paragraph" w:styleId="881">
    <w:name w:val="toc 8"/>
    <w:basedOn w:val="885"/>
    <w:next w:val="885"/>
    <w:uiPriority w:val="39"/>
    <w:unhideWhenUsed/>
    <w:pPr>
      <w:pBdr/>
      <w:spacing w:after="57"/>
      <w:ind w:right="0" w:firstLine="0" w:left="1984"/>
    </w:pPr>
  </w:style>
  <w:style w:type="paragraph" w:styleId="882">
    <w:name w:val="toc 9"/>
    <w:basedOn w:val="885"/>
    <w:next w:val="885"/>
    <w:uiPriority w:val="39"/>
    <w:unhideWhenUsed/>
    <w:pPr>
      <w:pBdr/>
      <w:spacing w:after="57"/>
      <w:ind w:right="0" w:firstLine="0" w:left="2268"/>
    </w:pPr>
  </w:style>
  <w:style w:type="paragraph" w:styleId="883">
    <w:name w:val="TOC Heading"/>
    <w:uiPriority w:val="39"/>
    <w:unhideWhenUsed/>
    <w:pPr>
      <w:pBdr/>
      <w:spacing/>
      <w:ind/>
    </w:pPr>
  </w:style>
  <w:style w:type="paragraph" w:styleId="884">
    <w:name w:val="table of figures"/>
    <w:basedOn w:val="885"/>
    <w:next w:val="885"/>
    <w:uiPriority w:val="99"/>
    <w:unhideWhenUsed/>
    <w:pPr>
      <w:pBdr/>
      <w:spacing w:after="0" w:afterAutospacing="0"/>
      <w:ind/>
    </w:pPr>
  </w:style>
  <w:style w:type="paragraph" w:styleId="885" w:default="1">
    <w:name w:val="Normal"/>
    <w:qFormat/>
    <w:pPr>
      <w:pBdr/>
      <w:spacing/>
      <w:ind/>
    </w:pPr>
    <w:rPr>
      <w:rFonts w:eastAsia="Times New Roman"/>
      <w:lang w:eastAsia="ar-SA"/>
    </w:rPr>
  </w:style>
  <w:style w:type="character" w:styleId="886" w:default="1">
    <w:name w:val="Default Paragraph Font"/>
    <w:uiPriority w:val="1"/>
    <w:semiHidden/>
    <w:unhideWhenUsed/>
    <w:pPr>
      <w:pBdr/>
      <w:spacing/>
      <w:ind/>
    </w:pPr>
  </w:style>
  <w:style w:type="table" w:styleId="88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8" w:default="1">
    <w:name w:val="No List"/>
    <w:uiPriority w:val="99"/>
    <w:semiHidden/>
    <w:unhideWhenUsed/>
    <w:pPr>
      <w:pBdr/>
      <w:spacing/>
      <w:ind/>
    </w:pPr>
  </w:style>
  <w:style w:type="character" w:styleId="889">
    <w:name w:val="Hyperlink"/>
    <w:pPr>
      <w:pBdr/>
      <w:spacing/>
      <w:ind/>
    </w:pPr>
    <w:rPr>
      <w:color w:val="000080"/>
      <w:u w:val="single"/>
    </w:rPr>
  </w:style>
  <w:style w:type="paragraph" w:styleId="890">
    <w:name w:val="Header"/>
    <w:basedOn w:val="885"/>
    <w:link w:val="891"/>
    <w:pPr>
      <w:pBdr/>
      <w:tabs>
        <w:tab w:val="center" w:leader="none" w:pos="4153"/>
        <w:tab w:val="right" w:leader="none" w:pos="8306"/>
      </w:tabs>
      <w:spacing/>
      <w:ind/>
    </w:pPr>
  </w:style>
  <w:style w:type="character" w:styleId="891" w:customStyle="1">
    <w:name w:val="Верхний колонтитул Знак"/>
    <w:link w:val="890"/>
    <w:pPr>
      <w:pBdr/>
      <w:spacing/>
      <w:ind/>
    </w:pPr>
    <w:rPr>
      <w:rFonts w:eastAsia="Times New Roman"/>
      <w:color w:val="auto"/>
      <w:spacing w:val="0"/>
      <w:sz w:val="20"/>
      <w:szCs w:val="20"/>
      <w:lang w:eastAsia="ar-SA"/>
    </w:rPr>
  </w:style>
  <w:style w:type="paragraph" w:styleId="892">
    <w:name w:val="List Paragraph"/>
    <w:basedOn w:val="885"/>
    <w:uiPriority w:val="34"/>
    <w:qFormat/>
    <w:pPr>
      <w:pBdr/>
      <w:spacing/>
      <w:ind w:left="720"/>
      <w:contextualSpacing w:val="true"/>
    </w:pPr>
  </w:style>
  <w:style w:type="paragraph" w:styleId="893">
    <w:name w:val="Balloon Text"/>
    <w:basedOn w:val="885"/>
    <w:link w:val="894"/>
    <w:uiPriority w:val="99"/>
    <w:semiHidden/>
    <w:unhideWhenUsed/>
    <w:pPr>
      <w:pBdr/>
      <w:spacing/>
      <w:ind/>
    </w:pPr>
    <w:rPr>
      <w:rFonts w:ascii="Tahoma" w:hAnsi="Tahoma"/>
      <w:sz w:val="16"/>
      <w:szCs w:val="16"/>
    </w:rPr>
  </w:style>
  <w:style w:type="character" w:styleId="894" w:customStyle="1">
    <w:name w:val="Текст выноски Знак"/>
    <w:link w:val="893"/>
    <w:uiPriority w:val="99"/>
    <w:semiHidden/>
    <w:pPr>
      <w:pBdr/>
      <w:spacing/>
      <w:ind/>
    </w:pPr>
    <w:rPr>
      <w:rFonts w:ascii="Tahoma" w:hAnsi="Tahoma" w:eastAsia="Times New Roman" w:cs="Tahoma"/>
      <w:color w:val="auto"/>
      <w:spacing w:val="0"/>
      <w:sz w:val="16"/>
      <w:szCs w:val="16"/>
      <w:lang w:eastAsia="ar-SA"/>
    </w:rPr>
  </w:style>
  <w:style w:type="table" w:styleId="895">
    <w:name w:val="Table Grid"/>
    <w:basedOn w:val="887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6">
    <w:name w:val="No Spacing"/>
    <w:uiPriority w:val="1"/>
    <w:qFormat/>
    <w:pPr>
      <w:pBdr/>
      <w:spacing/>
      <w:ind/>
    </w:pPr>
    <w:rPr>
      <w:rFonts w:ascii="Calibri" w:hAnsi="Calibri"/>
      <w:sz w:val="22"/>
      <w:szCs w:val="22"/>
      <w:lang w:eastAsia="en-US"/>
    </w:rPr>
  </w:style>
  <w:style w:type="paragraph" w:styleId="897">
    <w:name w:val="Revision"/>
    <w:hidden/>
    <w:uiPriority w:val="99"/>
    <w:semiHidden/>
    <w:pPr>
      <w:pBdr/>
      <w:spacing/>
      <w:ind/>
    </w:pPr>
    <w:rPr>
      <w:rFonts w:eastAsia="Times New Roman"/>
      <w:lang w:eastAsia="ar-SA"/>
    </w:rPr>
  </w:style>
  <w:style w:type="paragraph" w:styleId="898">
    <w:name w:val="Footer"/>
    <w:basedOn w:val="885"/>
    <w:link w:val="899"/>
    <w:uiPriority w:val="99"/>
    <w:semiHidden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character" w:styleId="899" w:customStyle="1">
    <w:name w:val="Нижний колонтитул Знак"/>
    <w:link w:val="898"/>
    <w:uiPriority w:val="99"/>
    <w:semiHidden/>
    <w:pPr>
      <w:pBdr/>
      <w:spacing/>
      <w:ind/>
    </w:pPr>
    <w:rPr>
      <w:rFonts w:eastAsia="Times New Roman"/>
      <w:lang w:eastAsia="ar-SA"/>
    </w:rPr>
  </w:style>
  <w:style w:type="character" w:styleId="900" w:customStyle="1">
    <w:name w:val="js-phone-number"/>
    <w:pPr>
      <w:pBdr/>
      <w:spacing/>
      <w:ind/>
    </w:pPr>
  </w:style>
  <w:style w:type="paragraph" w:styleId="901" w:customStyle="1">
    <w:name w:val="headertext"/>
    <w:basedOn w:val="885"/>
    <w:pPr>
      <w:pBdr/>
      <w:spacing w:after="100" w:afterAutospacing="1" w:before="100" w:beforeAutospacing="1"/>
      <w:ind/>
    </w:pPr>
    <w:rPr>
      <w:sz w:val="24"/>
      <w:szCs w:val="24"/>
      <w:lang w:eastAsia="ru-RU"/>
    </w:rPr>
  </w:style>
  <w:style w:type="paragraph" w:styleId="902">
    <w:name w:val="Body Text"/>
    <w:basedOn w:val="885"/>
    <w:link w:val="903"/>
    <w:uiPriority w:val="1"/>
    <w:qFormat/>
    <w:pPr>
      <w:widowControl w:val="false"/>
      <w:pBdr/>
      <w:spacing/>
      <w:ind w:left="652"/>
    </w:pPr>
    <w:rPr>
      <w:sz w:val="18"/>
      <w:szCs w:val="18"/>
      <w:lang w:eastAsia="en-US"/>
    </w:rPr>
  </w:style>
  <w:style w:type="character" w:styleId="903" w:customStyle="1">
    <w:name w:val="Основной текст Знак"/>
    <w:basedOn w:val="886"/>
    <w:link w:val="902"/>
    <w:uiPriority w:val="1"/>
    <w:pPr>
      <w:pBdr/>
      <w:spacing/>
      <w:ind/>
    </w:pPr>
    <w:rPr>
      <w:rFonts w:eastAsia="Times New Roman"/>
      <w:sz w:val="18"/>
      <w:szCs w:val="18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consultantplus://offline/ref=51B380266AEFFEEEC4A7D26496067E69F23078CFBF3661D883FB0FE43F0CBFEBEBBEEF3CB482043DBEB5L" TargetMode="External"/><Relationship Id="rId11" Type="http://schemas.openxmlformats.org/officeDocument/2006/relationships/hyperlink" Target="consultantplus://offline/ref=05C43995B25766DBC31F7B155C3CAE55BE043CE0193828BBF24048204D81655AD7E8E7D6A8ADB378BBYEL" TargetMode="External"/><Relationship Id="rId12" Type="http://schemas.openxmlformats.org/officeDocument/2006/relationships/hyperlink" Target="consultantplus://offline/ref=05C43995B25766DBC31F7B155C3CAE55BE043DE01F3928BBF24048204D81655AD7E8E7D6A8ADB77EBBYDL" TargetMode="External"/><Relationship Id="rId13" Type="http://schemas.openxmlformats.org/officeDocument/2006/relationships/hyperlink" Target="consultantplus://offline/ref=A86EA3D440F4B915F948ADDD0F5574EF4798EEB9DDEEF2D4D398CDA7FDO4a5L" TargetMode="External"/><Relationship Id="rId14" Type="http://schemas.openxmlformats.org/officeDocument/2006/relationships/hyperlink" Target="consultantplus://offline/ref=A86EA3D440F4B915F948ADDD0F5574EF4799EEB5D8EFF2D4D398CDA7FDO4a5L" TargetMode="External"/><Relationship Id="rId15" Type="http://schemas.openxmlformats.org/officeDocument/2006/relationships/hyperlink" Target="consultantplus://offline/ref=A86EA3D440F4B915F948ADDD0F5574EF4799EFB5DEEEF2D4D398CDA7FD45EE003C575FADA7D5F14FOFa2L" TargetMode="External"/><Relationship Id="rId16" Type="http://schemas.openxmlformats.org/officeDocument/2006/relationships/hyperlink" Target="consultantplus://offline/ref=A86EA3D440F4B915F948ADDD0F5574EF4799EFB5DEEEF2D4D398CDA7FD45EE003C575FADA7D5F14FOFa2L" TargetMode="External"/><Relationship Id="rId17" Type="http://schemas.openxmlformats.org/officeDocument/2006/relationships/hyperlink" Target="consultantplus://offline/ref=47E05D611C30C4D16B35AD8E9C9D8904930770C03792F7D208E173C02674C09A93A24F697C661AA237n2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C80066F4-C4EA-4471-A2F0-6E0395AF1FD5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COMP12345</dc:creator>
  <cp:revision>14</cp:revision>
  <dcterms:created xsi:type="dcterms:W3CDTF">2025-03-19T10:28:00Z</dcterms:created>
  <dcterms:modified xsi:type="dcterms:W3CDTF">2026-05-08T03:24:57Z</dcterms:modified>
</cp:coreProperties>
</file>