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93"/>
        <w:pBdr/>
        <w:spacing w:after="0" w:before="0"/>
        <w:ind/>
        <w:rPr>
          <w:sz w:val="20"/>
          <w:szCs w:val="20"/>
        </w:rPr>
      </w:pPr>
      <w:r/>
      <w:bookmarkStart w:id="0" w:name="_GoBack"/>
      <w:r>
        <w:rPr>
          <w:sz w:val="20"/>
          <w:szCs w:val="20"/>
        </w:rPr>
        <w:t xml:space="preserve">СУБЛИЦЕНЗИОННЫЙ ДОГОВОР №</w:t>
      </w:r>
      <w:r>
        <w:rPr>
          <w:sz w:val="20"/>
          <w:szCs w:val="20"/>
        </w:rPr>
        <w:t xml:space="preserve">________</w:t>
      </w:r>
      <w:r>
        <w:rPr>
          <w:sz w:val="20"/>
          <w:szCs w:val="20"/>
        </w:rPr>
      </w:r>
    </w:p>
    <w:p>
      <w:pPr>
        <w:pStyle w:val="693"/>
        <w:pBdr/>
        <w:spacing w:after="0" w:before="0"/>
        <w:ind/>
        <w:rPr>
          <w:sz w:val="20"/>
          <w:szCs w:val="20"/>
        </w:rPr>
      </w:pPr>
      <w:r>
        <w:rPr>
          <w:sz w:val="20"/>
          <w:szCs w:val="20"/>
        </w:rPr>
        <w:t xml:space="preserve">о предоставлении неисключительных пользовательских прав </w:t>
      </w:r>
      <w:r>
        <w:rPr>
          <w:sz w:val="20"/>
          <w:szCs w:val="20"/>
        </w:rPr>
      </w:r>
    </w:p>
    <w:p>
      <w:pPr>
        <w:pStyle w:val="693"/>
        <w:pBdr/>
        <w:spacing w:after="0" w:before="0"/>
        <w:ind/>
        <w:rPr>
          <w:sz w:val="20"/>
          <w:szCs w:val="20"/>
        </w:rPr>
      </w:pPr>
      <w:r>
        <w:rPr>
          <w:sz w:val="20"/>
          <w:szCs w:val="20"/>
        </w:rPr>
        <w:t xml:space="preserve">на использование программ для ЭВМ</w:t>
      </w:r>
      <w:r>
        <w:rPr>
          <w:sz w:val="20"/>
          <w:szCs w:val="20"/>
        </w:rPr>
      </w:r>
    </w:p>
    <w:p>
      <w:pPr>
        <w:pStyle w:val="702"/>
        <w:pBdr/>
        <w:tabs>
          <w:tab w:val="right" w:leader="none" w:pos="9355"/>
        </w:tabs>
        <w:spacing w:after="28" w:before="28"/>
        <w:ind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ИКЗ </w:t>
      </w:r>
      <w:r>
        <w:rPr>
          <w:rFonts w:ascii="Tahoma" w:hAnsi="Tahoma" w:eastAsia="Tahoma" w:cs="Tahoma"/>
          <w:color w:val="000000"/>
          <w:sz w:val="18"/>
          <w:highlight w:val="none"/>
        </w:rPr>
        <w:t xml:space="preserve"> </w:t>
      </w:r>
      <w:r>
        <w:rPr>
          <w:rFonts w:ascii="Tahoma" w:hAnsi="Tahoma" w:eastAsia="Tahoma" w:cs="Tahoma"/>
          <w:color w:val="000000"/>
          <w:sz w:val="18"/>
          <w:highlight w:val="none"/>
        </w:rPr>
        <w:t xml:space="preserve">262781203743078390100100010000000244</w:t>
      </w:r>
      <w:r>
        <w:rPr>
          <w:sz w:val="20"/>
          <w:szCs w:val="20"/>
        </w:rPr>
        <w:tab/>
      </w:r>
      <w:r>
        <w:rPr>
          <w:sz w:val="20"/>
          <w:szCs w:val="20"/>
        </w:rPr>
        <w:t xml:space="preserve">_________</w:t>
      </w:r>
      <w:r>
        <w:rPr>
          <w:sz w:val="20"/>
          <w:szCs w:val="20"/>
        </w:rPr>
        <w:t xml:space="preserve"> 2026 г.</w:t>
      </w:r>
      <w:r>
        <w:rPr>
          <w:sz w:val="20"/>
          <w:szCs w:val="20"/>
        </w:rPr>
      </w:r>
    </w:p>
    <w:p>
      <w:pPr>
        <w:pBdr/>
        <w:spacing/>
        <w:ind w:firstLine="567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_______________________________</w:t>
      </w:r>
      <w:r>
        <w:rPr>
          <w:b/>
          <w:bCs/>
          <w:sz w:val="20"/>
          <w:szCs w:val="20"/>
        </w:rPr>
        <w:t xml:space="preserve">,</w:t>
      </w:r>
      <w:r>
        <w:rPr>
          <w:sz w:val="20"/>
          <w:szCs w:val="20"/>
        </w:rPr>
        <w:t xml:space="preserve"> в лице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______________________</w:t>
      </w:r>
      <w:r>
        <w:rPr>
          <w:sz w:val="20"/>
          <w:szCs w:val="20"/>
        </w:rPr>
        <w:t xml:space="preserve">, действующего на основании </w:t>
      </w:r>
      <w:r>
        <w:rPr>
          <w:bCs/>
          <w:sz w:val="20"/>
          <w:szCs w:val="20"/>
        </w:rPr>
        <w:t xml:space="preserve">________________</w:t>
      </w:r>
      <w:r>
        <w:rPr>
          <w:sz w:val="20"/>
          <w:szCs w:val="20"/>
        </w:rPr>
        <w:t xml:space="preserve">, именуем</w:t>
      </w:r>
      <w:r>
        <w:rPr>
          <w:sz w:val="20"/>
          <w:szCs w:val="20"/>
        </w:rPr>
        <w:t xml:space="preserve">ое</w:t>
      </w:r>
      <w:r>
        <w:rPr>
          <w:sz w:val="20"/>
          <w:szCs w:val="20"/>
        </w:rPr>
        <w:t xml:space="preserve"> в дальнейшем «</w:t>
      </w:r>
      <w:r>
        <w:rPr>
          <w:b/>
          <w:bCs/>
          <w:sz w:val="20"/>
          <w:szCs w:val="20"/>
        </w:rPr>
        <w:t xml:space="preserve">Лицензиат</w:t>
      </w:r>
      <w:r>
        <w:rPr>
          <w:sz w:val="20"/>
          <w:szCs w:val="20"/>
        </w:rPr>
        <w:t xml:space="preserve">», с одной стороны</w:t>
      </w:r>
      <w:r>
        <w:rPr>
          <w:sz w:val="20"/>
          <w:szCs w:val="20"/>
        </w:rPr>
      </w:r>
    </w:p>
    <w:p>
      <w:pPr>
        <w:pBdr/>
        <w:spacing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 </w:t>
      </w:r>
      <w:r>
        <w:rPr>
          <w:b/>
          <w:bCs/>
          <w:sz w:val="20"/>
          <w:szCs w:val="20"/>
        </w:rPr>
        <w:t xml:space="preserve">САНКТ-ПЕТЕРБУРГСКОЕ ГОСУДАРСТВЕННОЕ БЮДЖЕТНОЕ ПРОФЕССИОНАЛЬНОЕ ОБРАЗОВАТЕЛЬНОЕ УЧРЕЖДЕНИЕ "САНКТ-ПЕТЕРБУРГСКОЕ МУЗЫКАЛЬНОЕ УЧИЛИЩЕ ИМЕНИ Н.А. РИМСКОГО-КОРСАКОВА"</w:t>
      </w:r>
      <w:r>
        <w:rPr>
          <w:sz w:val="20"/>
          <w:szCs w:val="20"/>
        </w:rPr>
        <w:t xml:space="preserve">, в лице директора Архипова Кирилла Александровича, действующего на основании Устава, именуемое в дальнейшем «</w:t>
      </w:r>
      <w:r>
        <w:rPr>
          <w:b/>
          <w:bCs/>
          <w:sz w:val="20"/>
          <w:szCs w:val="20"/>
        </w:rPr>
        <w:t xml:space="preserve">Сублицензиат</w:t>
      </w:r>
      <w:r>
        <w:rPr>
          <w:sz w:val="20"/>
          <w:szCs w:val="20"/>
        </w:rPr>
        <w:t xml:space="preserve">», с другой стороны,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вместе именуемые «Стороны», а индивидуально – «Сторона»,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заключили настоящий сублицензионный договор (далее по тексту – «Договор») о нижеследующем.</w:t>
      </w:r>
      <w:r>
        <w:rPr>
          <w:sz w:val="20"/>
          <w:szCs w:val="20"/>
        </w:rPr>
      </w:r>
    </w:p>
    <w:p>
      <w:pPr>
        <w:pStyle w:val="693"/>
        <w:pBdr/>
        <w:spacing w:before="120"/>
        <w:ind/>
        <w:rPr>
          <w:sz w:val="20"/>
          <w:szCs w:val="20"/>
        </w:rPr>
      </w:pPr>
      <w:r>
        <w:rPr>
          <w:sz w:val="20"/>
          <w:szCs w:val="20"/>
        </w:rPr>
        <w:t xml:space="preserve">Определения и термины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Настоящий </w:t>
      </w:r>
      <w:r>
        <w:rPr>
          <w:i/>
          <w:iCs/>
          <w:sz w:val="20"/>
          <w:szCs w:val="20"/>
        </w:rPr>
        <w:t xml:space="preserve">сублицензионный договор</w:t>
      </w:r>
      <w:r>
        <w:rPr>
          <w:sz w:val="20"/>
          <w:szCs w:val="20"/>
        </w:rPr>
        <w:t xml:space="preserve"> (Договор) составлен в соответствии с Гражданским кодексом Российской Федерации (ГК РФ), частью четвертой.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Программы для электронных вычислительных машин</w:t>
      </w:r>
      <w:r>
        <w:rPr>
          <w:sz w:val="20"/>
          <w:szCs w:val="20"/>
        </w:rPr>
        <w:t xml:space="preserve"> (программы для ЭВМ) – результаты интеллектуальной деятельности, охраняемые в соответствии со ст. 1261 ГК РФ.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Лицензиар</w:t>
      </w:r>
      <w:r>
        <w:rPr>
          <w:sz w:val="20"/>
          <w:szCs w:val="20"/>
        </w:rPr>
        <w:t xml:space="preserve"> – обладатель исключительных прав на программы для ЭВМ – Батищев Павел Сергеевич.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Лицензиат</w:t>
      </w:r>
      <w:r>
        <w:rPr>
          <w:sz w:val="20"/>
          <w:szCs w:val="20"/>
        </w:rPr>
        <w:t xml:space="preserve"> – лицо, имеющее право (с согласия Лицензиара) предоставлять (продавать) неисключительные права на программы для ЭВМ – </w:t>
      </w:r>
      <w:r>
        <w:rPr>
          <w:sz w:val="20"/>
          <w:szCs w:val="20"/>
        </w:rPr>
        <w:t xml:space="preserve">________________________________________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Лицензионный договор</w:t>
      </w:r>
      <w:r>
        <w:rPr>
          <w:sz w:val="20"/>
          <w:szCs w:val="20"/>
        </w:rPr>
        <w:t xml:space="preserve"> – договор, заключенный между Лицензиаром и Лицензиатом на предоставление неисключительных прав Лицензиату (ст. 1235, ст. 1236 пункт 1 подпункт 1 ГК РФ).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Сублицензиат</w:t>
      </w:r>
      <w:r>
        <w:rPr>
          <w:sz w:val="20"/>
          <w:szCs w:val="20"/>
        </w:rPr>
        <w:t xml:space="preserve"> – конечный пользователь программ для ЭВМ.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Сублицензионный договор</w:t>
      </w:r>
      <w:r>
        <w:rPr>
          <w:sz w:val="20"/>
          <w:szCs w:val="20"/>
        </w:rPr>
        <w:t xml:space="preserve"> – договор, заключаемый между Лицензиатом и Сублицензиатом о предоставлении прав на использование программ для ЭВМ Сублицензиату (простая неисключительная лицензия) в соответствии со ст. 1238 ГК РФ.</w:t>
      </w:r>
      <w:r>
        <w:rPr>
          <w:sz w:val="20"/>
          <w:szCs w:val="20"/>
        </w:rPr>
      </w:r>
    </w:p>
    <w:p>
      <w:pPr>
        <w:pStyle w:val="693"/>
        <w:pBdr/>
        <w:spacing w:before="120"/>
        <w:ind/>
        <w:rPr>
          <w:sz w:val="20"/>
          <w:szCs w:val="20"/>
        </w:rPr>
      </w:pPr>
      <w:r>
        <w:rPr>
          <w:sz w:val="20"/>
          <w:szCs w:val="20"/>
        </w:rPr>
        <w:t xml:space="preserve">1. Предмет договора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 настоящему Договору </w:t>
      </w:r>
      <w:r>
        <w:rPr>
          <w:b/>
          <w:bCs/>
          <w:sz w:val="20"/>
          <w:szCs w:val="20"/>
        </w:rPr>
        <w:t xml:space="preserve">Лицензиат</w:t>
      </w:r>
      <w:r>
        <w:rPr>
          <w:sz w:val="20"/>
          <w:szCs w:val="20"/>
        </w:rPr>
        <w:t xml:space="preserve">, действуя в рамках полномочий и объема прав,</w:t>
      </w:r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предоставляет Сублицензиату неисключительные пользовательские права (простая неисключительная лицензия) на использование программ для ЭВМ</w:t>
      </w:r>
      <w:r>
        <w:rPr>
          <w:sz w:val="20"/>
          <w:szCs w:val="20"/>
        </w:rPr>
        <w:t xml:space="preserve"> (далее «Программы»)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 xml:space="preserve">с</w:t>
      </w:r>
      <w:r>
        <w:rPr>
          <w:sz w:val="20"/>
          <w:szCs w:val="20"/>
        </w:rPr>
        <w:t xml:space="preserve">огласно Спецификации, являющейся неотъемлемой частью настоящего договора (Приложение №1 к Договору), а Сублицензиат получает указанные права и уплачивает Лицензиату вознаграждение в размере, в сроки, в порядке и на условиях, указанных в настоящем Договоре.</w:t>
      </w:r>
      <w:r>
        <w:rPr>
          <w:sz w:val="20"/>
          <w:szCs w:val="20"/>
        </w:rPr>
      </w:r>
    </w:p>
    <w:p>
      <w:pPr>
        <w:pStyle w:val="693"/>
        <w:pBdr/>
        <w:spacing w:before="120"/>
        <w:ind/>
        <w:rPr>
          <w:sz w:val="20"/>
          <w:szCs w:val="20"/>
        </w:rPr>
      </w:pPr>
      <w:r>
        <w:rPr>
          <w:sz w:val="20"/>
          <w:szCs w:val="20"/>
        </w:rPr>
        <w:t xml:space="preserve">2. Вознаграждение, срок и порядок оплаты</w:t>
      </w:r>
      <w:r>
        <w:rPr>
          <w:sz w:val="20"/>
          <w:szCs w:val="20"/>
        </w:rPr>
      </w:r>
    </w:p>
    <w:p>
      <w:pPr>
        <w:pBdr/>
        <w:shd w:val="clear" w:color="auto" w:fill="ffffff"/>
        <w:tabs>
          <w:tab w:val="left" w:leader="none" w:pos="-4320"/>
        </w:tabs>
        <w:spacing/>
        <w:ind w:right="28"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2.1. Сублицензиат за предоставляемые ему неисключительные права по настоящему Договору обязуется оплатить Лицензиату вознаграждение в сумме </w:t>
      </w:r>
      <w:r>
        <w:rPr>
          <w:b/>
          <w:bCs/>
          <w:sz w:val="20"/>
          <w:szCs w:val="20"/>
        </w:rPr>
        <w:t xml:space="preserve">________________________________</w:t>
      </w:r>
      <w:r>
        <w:rPr>
          <w:sz w:val="20"/>
          <w:szCs w:val="20"/>
        </w:rPr>
        <w:t xml:space="preserve">. НДС не облагается согласно пункту </w:t>
      </w:r>
      <w:r>
        <w:rPr>
          <w:sz w:val="20"/>
          <w:szCs w:val="20"/>
        </w:rPr>
        <w:t xml:space="preserve">2</w:t>
      </w:r>
      <w:r>
        <w:rPr>
          <w:sz w:val="20"/>
          <w:szCs w:val="20"/>
        </w:rPr>
        <w:t xml:space="preserve"> статьи 346.11 Налогового кодекса Российской Федерации (упрощенная система налогообложения).</w:t>
      </w:r>
      <w:r>
        <w:rPr>
          <w:sz w:val="20"/>
          <w:szCs w:val="20"/>
        </w:rPr>
      </w:r>
    </w:p>
    <w:p>
      <w:pPr>
        <w:pBdr/>
        <w:shd w:val="clear" w:color="auto" w:fill="ffffff"/>
        <w:tabs>
          <w:tab w:val="left" w:leader="none" w:pos="-4320"/>
        </w:tabs>
        <w:spacing/>
        <w:ind w:right="28"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2.2. Сумма вознаграждения является твердой</w:t>
      </w:r>
      <w:r>
        <w:rPr>
          <w:sz w:val="20"/>
          <w:szCs w:val="20"/>
        </w:rPr>
        <w:t xml:space="preserve">,</w:t>
      </w:r>
      <w:r>
        <w:rPr>
          <w:sz w:val="20"/>
          <w:szCs w:val="20"/>
        </w:rPr>
        <w:t xml:space="preserve"> не подлежит изменению и определяется на весь срок исполнения Договора.</w:t>
      </w:r>
      <w:r>
        <w:rPr>
          <w:sz w:val="20"/>
          <w:szCs w:val="20"/>
        </w:rPr>
      </w:r>
    </w:p>
    <w:p>
      <w:pPr>
        <w:pBdr/>
        <w:shd w:val="clear" w:color="auto" w:fill="ffffff"/>
        <w:tabs>
          <w:tab w:val="left" w:leader="none" w:pos="-4320"/>
        </w:tabs>
        <w:spacing/>
        <w:ind w:right="28"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2.3. Сублицензиат обязуется перечислить Лицензиату вознаграждение в форме авансового платежа в размере 100% (ста процентов) суммы Договора, указанной в пункте 2.1 настоящего Договора на расчетный счет Лицензиата</w:t>
      </w:r>
      <w:r>
        <w:rPr>
          <w:sz w:val="20"/>
          <w:szCs w:val="20"/>
        </w:rPr>
        <w:t xml:space="preserve"> на основании счета, выставленного Лицензиатом. Оплата данного счета означает согласие Сублицензиата с наименованием, количеством, стоимостью и объемом передаваемых прав на использование программы.</w:t>
      </w:r>
      <w:r>
        <w:rPr>
          <w:sz w:val="20"/>
          <w:szCs w:val="20"/>
        </w:rPr>
      </w:r>
    </w:p>
    <w:p>
      <w:pPr>
        <w:pBdr/>
        <w:shd w:val="clear" w:color="auto" w:fill="ffffff"/>
        <w:tabs>
          <w:tab w:val="left" w:leader="none" w:pos="-4320"/>
        </w:tabs>
        <w:spacing/>
        <w:ind w:right="28"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2.4. В случае</w:t>
      </w:r>
      <w:r>
        <w:rPr>
          <w:sz w:val="20"/>
          <w:szCs w:val="20"/>
        </w:rPr>
        <w:t xml:space="preserve">,</w:t>
      </w:r>
      <w:r>
        <w:rPr>
          <w:sz w:val="20"/>
          <w:szCs w:val="20"/>
        </w:rPr>
        <w:t xml:space="preserve"> если в пункте 2.3 установлен авансовый платеж в размере менее 100 (ста) % (процентов) от суммы Договора, указанной в пункте 2.1 настоящего Договора, то остальная часть суммы должна быть оплачена в срок не более </w:t>
      </w:r>
      <w:r>
        <w:rPr>
          <w:sz w:val="20"/>
          <w:szCs w:val="20"/>
        </w:rPr>
        <w:t xml:space="preserve">10 (десяти) рабочих</w:t>
      </w:r>
      <w:r>
        <w:rPr>
          <w:sz w:val="20"/>
          <w:szCs w:val="20"/>
        </w:rPr>
        <w:t xml:space="preserve"> дней с момента передачи прав.</w:t>
      </w:r>
      <w:r>
        <w:rPr>
          <w:sz w:val="20"/>
          <w:szCs w:val="20"/>
        </w:rPr>
      </w:r>
    </w:p>
    <w:p>
      <w:pPr>
        <w:pBdr/>
        <w:shd w:val="clear" w:color="auto" w:fill="ffffff"/>
        <w:tabs>
          <w:tab w:val="left" w:leader="none" w:pos="-4320"/>
        </w:tabs>
        <w:spacing/>
        <w:ind w:right="28"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2.5. Обязательство Сублицензиата по оплате считается выполненным в день поступления денежных средств на расчетный счет Лицензиата.</w:t>
      </w:r>
      <w:r>
        <w:rPr>
          <w:sz w:val="20"/>
          <w:szCs w:val="20"/>
        </w:rPr>
      </w:r>
    </w:p>
    <w:p>
      <w:pPr>
        <w:pStyle w:val="693"/>
        <w:pBdr/>
        <w:spacing w:before="120"/>
        <w:ind/>
        <w:rPr>
          <w:sz w:val="20"/>
          <w:szCs w:val="20"/>
        </w:rPr>
      </w:pPr>
      <w:r>
        <w:rPr>
          <w:sz w:val="20"/>
          <w:szCs w:val="20"/>
        </w:rPr>
        <w:t xml:space="preserve">3. Права и обязанности сторон</w:t>
      </w:r>
      <w:r>
        <w:rPr>
          <w:sz w:val="20"/>
          <w:szCs w:val="20"/>
        </w:rPr>
      </w:r>
    </w:p>
    <w:p>
      <w:pPr>
        <w:pStyle w:val="702"/>
        <w:pBdr/>
        <w:spacing w:after="0" w:before="120" w:beforeAutospacing="0"/>
        <w:ind w:firstLine="567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3.1. Лицензиат обязуется:</w:t>
      </w:r>
      <w:r>
        <w:rPr>
          <w:b/>
          <w:bCs/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3.1.1. Предоставить Сублицензиату неисключительные пользовательские права на использование Программ в порядке и на условиях настоящего Договора.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3.1.2. Осуществлять техническую поддержку Сублицензиата по вопросам работы Программ в течение 1 (одного) года с момента </w:t>
      </w:r>
      <w:r>
        <w:rPr>
          <w:sz w:val="20"/>
          <w:szCs w:val="20"/>
        </w:rPr>
        <w:t xml:space="preserve">передачи прав</w:t>
      </w:r>
      <w:r>
        <w:rPr>
          <w:sz w:val="20"/>
          <w:szCs w:val="20"/>
        </w:rPr>
        <w:t xml:space="preserve"> в порядке и на условиях настоящего Договора.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3.1.3. Информировать Сублицензиата о новых версиях (обновлениях) Программ и предоставлять новые версии Программ в течение 1 (одного) года с момента </w:t>
      </w:r>
      <w:r>
        <w:rPr>
          <w:sz w:val="20"/>
          <w:szCs w:val="20"/>
        </w:rPr>
        <w:t xml:space="preserve">передачи прав </w:t>
      </w:r>
      <w:r>
        <w:rPr>
          <w:sz w:val="20"/>
          <w:szCs w:val="20"/>
        </w:rPr>
        <w:t xml:space="preserve">в порядке и на условиях настоящего Договора.</w:t>
      </w:r>
      <w:r>
        <w:rPr>
          <w:sz w:val="20"/>
          <w:szCs w:val="20"/>
        </w:rPr>
      </w:r>
    </w:p>
    <w:p>
      <w:pPr>
        <w:pStyle w:val="702"/>
        <w:pBdr/>
        <w:spacing w:after="0" w:before="120" w:beforeAutospacing="0"/>
        <w:ind w:firstLine="567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3.2. Сублицензиат обязуется:</w:t>
      </w:r>
      <w:r>
        <w:rPr>
          <w:b/>
          <w:bCs/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3.2.1. Выплатить Лицензиату вознаграждение за предоставление неисключительных пользовательских прав на использование Программ в порядке и сроки, установленные настоящим Договором.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3.2.2. Использовать Прогр</w:t>
      </w:r>
      <w:r>
        <w:rPr>
          <w:sz w:val="20"/>
          <w:szCs w:val="20"/>
        </w:rPr>
        <w:t xml:space="preserve">аммы под наименованиями, установленными Лицензиаром и указанными в Спецификации к настоящему Договору. Сублицензиат не вправе изменять наименования Программ, изменять и/или удалять информацию об авторских правах Лицензиара согласно ст.1265 и ст.1300 ГК РФ.</w:t>
      </w:r>
      <w:r>
        <w:rPr>
          <w:sz w:val="20"/>
          <w:szCs w:val="20"/>
        </w:rPr>
      </w:r>
    </w:p>
    <w:p>
      <w:pPr>
        <w:pBdr/>
        <w:spacing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3.2.3. Не осуществлять и/или не разрешать осуществлять в отношении Программ следующие действия: перевод, модификацию и изменение, иную переработку.</w:t>
      </w:r>
      <w:r>
        <w:rPr>
          <w:sz w:val="20"/>
          <w:szCs w:val="20"/>
        </w:rPr>
      </w:r>
    </w:p>
    <w:p>
      <w:pPr>
        <w:pBdr/>
        <w:spacing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3.2.4. Не выполнять действий, наносящих ущерб Лицензиару и/или Лицензиату, таких как декомпиляция и иные действия с объ</w:t>
      </w:r>
      <w:r>
        <w:rPr>
          <w:sz w:val="20"/>
          <w:szCs w:val="20"/>
        </w:rPr>
        <w:t xml:space="preserve">ектным кодом Программ, имеющие целью нарушение системы защиты Программ от несанкционированного использования и/или получение информации о реализации алгоритмов, используемых в Программах, либо с целью создания других программ для ЭВМ, схожих с Программами.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3.2.5. Не предоставлять (не передавать) полностью или частично третьим лицам полученные по на</w:t>
      </w:r>
      <w:r>
        <w:rPr>
          <w:sz w:val="20"/>
          <w:szCs w:val="20"/>
        </w:rPr>
        <w:t xml:space="preserve">стоящему Договору права, в том числе не разрешается продавать, тиражировать, копировать Программы, предоставлять доступ третьим лицам, передавать во временное пользование, распространять Программы в коммерческих целях (за плату), отчуждать иным образом, в </w:t>
      </w:r>
      <w:r>
        <w:rPr>
          <w:sz w:val="20"/>
          <w:szCs w:val="20"/>
        </w:rPr>
        <w:t xml:space="preserve">т.ч</w:t>
      </w:r>
      <w:r>
        <w:rPr>
          <w:sz w:val="20"/>
          <w:szCs w:val="20"/>
        </w:rPr>
        <w:t xml:space="preserve">. безвозмездно.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2"/>
        <w:pBdr/>
        <w:spacing w:after="0" w:before="120" w:beforeAutospacing="0"/>
        <w:ind w:firstLine="567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3.3. Лицензиат имеет право:</w:t>
      </w:r>
      <w:r>
        <w:rPr>
          <w:b/>
          <w:bCs/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3.3.1. Вносить в Программы улучшения, изменения, устранять выявленные недостатки Программ, выпускать новые версии Программ (обновления).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3.3.2. Отказаться от требований Сублицензиата по добавлению, изменению возможностей и технических особенностей Программ, ввиду того что Программы разработаны для широкого круга пользователей, а также в соответствии с пунктом 5.4 Договора.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3.3.3. В случае нарушения Сублицензиатом условий (способов) испол</w:t>
      </w:r>
      <w:r>
        <w:rPr>
          <w:sz w:val="20"/>
          <w:szCs w:val="20"/>
        </w:rPr>
        <w:t xml:space="preserve">ьзования Программ, лишить Сублицензиата прав на использование Программ без возврата полученных денежных средств. Нарушение норм об охране авторских прав может также повлечь гражданско-правовую и уголовную ответственность в соответствии с законодательством.</w:t>
      </w:r>
      <w:r>
        <w:rPr>
          <w:sz w:val="20"/>
          <w:szCs w:val="20"/>
        </w:rPr>
      </w:r>
    </w:p>
    <w:p>
      <w:pPr>
        <w:pStyle w:val="702"/>
        <w:pBdr/>
        <w:spacing w:after="0" w:before="120" w:beforeAutospacing="0"/>
        <w:ind w:firstLine="567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3.4. Сублицензиат имеет право:</w:t>
      </w:r>
      <w:r>
        <w:rPr>
          <w:b/>
          <w:bCs/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3.4.1. Произвести установку Программ на персональные компьютеры, количество которых не превышает количество приобретенных лицензий (неисключительных прав),</w:t>
      </w:r>
      <w:r>
        <w:rPr>
          <w:sz w:val="20"/>
          <w:szCs w:val="20"/>
        </w:rPr>
        <w:t xml:space="preserve"> указанных в Спецификации к настоящему Договору. В случае приобретения сетевой версии Программы количество персональных компьютеров для установки одной Программы, если иное не оговорено в Спецификации к настоящему Договору, не должно превышать 10 (десяти).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3.4.2. Изготовить копию Программы при условии, что эта копия предназначена только для архивных целей и для замены приобретенного экземпляра, когда он утерян, уничтожен или стал непригоден к использованию.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3.4.3. Использовать Программы способами, которые указаны в документации, прилагающейся к Программам, а также разрешены и не запрещены настоящим Договором и действующим законодательством Российской Федерации.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3.4.4. Получать услуги технической поддержки (техподдержки) в течение 1 (одного) года с момента </w:t>
      </w:r>
      <w:r>
        <w:rPr>
          <w:sz w:val="20"/>
          <w:szCs w:val="20"/>
        </w:rPr>
        <w:t xml:space="preserve">передачи прав </w:t>
      </w:r>
      <w:r>
        <w:rPr>
          <w:sz w:val="20"/>
          <w:szCs w:val="20"/>
        </w:rPr>
        <w:t xml:space="preserve">Программ по настоящему Договору, предоставляемые Лицензиаром дистанционно посредством электронной почты, телефонной связи или другими способами, предусмотренным правилами Лицензиара. Услуги операторов телефонной связи оплачивает Сублицензиат.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3.4.5. Отказаться от исполнения Договора, если Лицензиат в нарушение условий Договора в письменной форме отказывается передать ему неисключительные права на Программы по Договору.</w:t>
      </w:r>
      <w:r>
        <w:rPr>
          <w:sz w:val="20"/>
          <w:szCs w:val="20"/>
        </w:rPr>
      </w:r>
    </w:p>
    <w:p>
      <w:pPr>
        <w:pStyle w:val="693"/>
        <w:pBdr/>
        <w:spacing w:before="120"/>
        <w:ind/>
        <w:rPr>
          <w:sz w:val="20"/>
          <w:szCs w:val="20"/>
        </w:rPr>
      </w:pPr>
      <w:r>
        <w:rPr>
          <w:sz w:val="20"/>
          <w:szCs w:val="20"/>
        </w:rPr>
        <w:t xml:space="preserve">4. Порядок передачи неисключительных прав на Программы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4.1. </w:t>
      </w:r>
      <w:r>
        <w:rPr>
          <w:sz w:val="20"/>
          <w:szCs w:val="20"/>
        </w:rPr>
        <w:t xml:space="preserve">Л</w:t>
      </w:r>
      <w:r>
        <w:rPr>
          <w:sz w:val="20"/>
          <w:szCs w:val="20"/>
        </w:rPr>
        <w:t xml:space="preserve">ицензиат на сайте Лицензиа</w:t>
      </w:r>
      <w:r>
        <w:rPr>
          <w:sz w:val="20"/>
          <w:szCs w:val="20"/>
        </w:rPr>
        <w:t xml:space="preserve">р</w:t>
      </w:r>
      <w:r>
        <w:rPr>
          <w:sz w:val="20"/>
          <w:szCs w:val="20"/>
        </w:rPr>
        <w:t xml:space="preserve">а по адресу </w:t>
      </w:r>
      <w:hyperlink r:id="rId11" w:tooltip="https://pbprog.ru/" w:history="1">
        <w:r>
          <w:rPr>
            <w:rStyle w:val="701"/>
            <w:color w:val="660099"/>
            <w:sz w:val="20"/>
            <w:szCs w:val="20"/>
            <w:shd w:val="clear" w:color="auto" w:fill="ffffff"/>
          </w:rPr>
          <w:t xml:space="preserve">__________________</w:t>
        </w:r>
      </w:hyperlink>
      <w:r>
        <w:rPr>
          <w:sz w:val="20"/>
          <w:szCs w:val="20"/>
        </w:rPr>
        <w:t xml:space="preserve"> в течение </w:t>
      </w:r>
      <w:r>
        <w:rPr>
          <w:sz w:val="20"/>
          <w:szCs w:val="20"/>
        </w:rPr>
        <w:t xml:space="preserve">3 (</w:t>
      </w:r>
      <w:r>
        <w:rPr>
          <w:sz w:val="20"/>
          <w:szCs w:val="20"/>
        </w:rPr>
        <w:t xml:space="preserve">трех</w:t>
      </w:r>
      <w:r>
        <w:rPr>
          <w:sz w:val="20"/>
          <w:szCs w:val="20"/>
        </w:rPr>
        <w:t xml:space="preserve">)</w:t>
      </w:r>
      <w:r>
        <w:rPr>
          <w:sz w:val="20"/>
          <w:szCs w:val="20"/>
        </w:rPr>
        <w:t xml:space="preserve"> рабочих дней после получения оплаты (либо частичной оплаты, если это установлено настоящим Договором) предоставляет Сублицензиату возможность скачивания электронных файлов Программ. Для исполнения данного пункта </w:t>
      </w:r>
      <w:r>
        <w:rPr>
          <w:sz w:val="20"/>
          <w:szCs w:val="20"/>
        </w:rPr>
        <w:t xml:space="preserve">Договора Сублицензиат должен зарегистрироваться на указанном сайте и сообщить Лицензиату свой логин, в противном случае исполнение этого обязательства может быть отложено и выполнено в тот рабочий день, когда логин Сублицензиата станет известен Лицензиату.</w:t>
      </w:r>
      <w:r>
        <w:rPr>
          <w:sz w:val="20"/>
          <w:szCs w:val="20"/>
        </w:rPr>
        <w:t xml:space="preserve"> В случаях, когда у Сублицензиата не истёк срок действия предыдущей лицензии, срок действия новой начинается со дня, следующего за днём окончания срока действия предыдущей.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4.2. Программы снабжены технической системой защиты от несанкционированного использования. Для использования Программ Сублицензиат после установки Программ на персональный компьютер </w:t>
      </w:r>
      <w:r>
        <w:rPr>
          <w:sz w:val="20"/>
          <w:szCs w:val="20"/>
        </w:rPr>
        <w:t xml:space="preserve">самостоятельно получает коды активации (коды ответа) Программ на сайте Лицензиара, указанном в пункте 4.1</w:t>
      </w:r>
      <w:r>
        <w:rPr>
          <w:sz w:val="20"/>
          <w:szCs w:val="20"/>
        </w:rPr>
        <w:t xml:space="preserve">.</w:t>
      </w:r>
      <w:r>
        <w:rPr>
          <w:sz w:val="20"/>
          <w:szCs w:val="20"/>
        </w:rPr>
        <w:t xml:space="preserve">, используя свой</w:t>
      </w:r>
      <w:r>
        <w:rPr>
          <w:sz w:val="20"/>
          <w:szCs w:val="20"/>
        </w:rPr>
        <w:t xml:space="preserve"> логин для доступа к сайту. При невозможности получения кодов указанным способом Сублицензиат может получить данные коды по электронной почте, по телефону или другим используемым Лицензиаром каналам связи. Коды выдаются в течение 1 (одного) года с момента </w:t>
      </w:r>
      <w:r>
        <w:rPr>
          <w:sz w:val="20"/>
          <w:szCs w:val="20"/>
        </w:rPr>
        <w:t xml:space="preserve">передачи прав</w:t>
      </w:r>
      <w:r>
        <w:rPr>
          <w:sz w:val="20"/>
          <w:szCs w:val="20"/>
        </w:rPr>
        <w:t xml:space="preserve">.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4.3. Сублицензиат самостоятельно получает выпускаемые Лицензиаром новые версии Программ (обновления) путем скачивания электронных файлов Программ в телекоммуникационной сети Интернет с сайта по адресу </w:t>
      </w:r>
      <w:hyperlink r:id="rId12" w:tooltip="https://pbprog.ru/" w:history="1">
        <w:r>
          <w:rPr>
            <w:rStyle w:val="701"/>
            <w:color w:val="660099"/>
            <w:sz w:val="20"/>
            <w:szCs w:val="20"/>
            <w:shd w:val="clear" w:color="auto" w:fill="ffffff"/>
          </w:rPr>
          <w:t xml:space="preserve">__________________</w:t>
        </w:r>
      </w:hyperlink>
      <w:r>
        <w:rPr>
          <w:sz w:val="20"/>
          <w:szCs w:val="20"/>
        </w:rPr>
        <w:t xml:space="preserve"> в течение 1 (одного) года с момента </w:t>
      </w:r>
      <w:r>
        <w:rPr>
          <w:sz w:val="20"/>
          <w:szCs w:val="20"/>
        </w:rPr>
        <w:t xml:space="preserve">передачи прав</w:t>
      </w:r>
      <w:r>
        <w:rPr>
          <w:sz w:val="20"/>
          <w:szCs w:val="20"/>
        </w:rPr>
        <w:t xml:space="preserve">. Доставка обновлений Программ на вещественных носителях не производится.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4.4. Обязанности Лицензиата по предоставлению неисключительных пользовательских прав на Программы Сублицензиату считаются исполненными надлежащим образом </w:t>
      </w:r>
      <w:r>
        <w:rPr>
          <w:sz w:val="20"/>
          <w:szCs w:val="20"/>
        </w:rPr>
        <w:t xml:space="preserve">в соответствии с условиями Договора в полном объеме с момента предоставления Сублицензиату доступа для скачивания</w:t>
      </w:r>
      <w:r>
        <w:rPr>
          <w:sz w:val="20"/>
          <w:szCs w:val="20"/>
        </w:rPr>
        <w:t xml:space="preserve"> электронных файлов Программ по сети Интернет на сайте </w:t>
      </w:r>
      <w:hyperlink r:id="rId13" w:tooltip="https://pbprog.ru/" w:history="1">
        <w:r>
          <w:rPr>
            <w:rStyle w:val="701"/>
            <w:color w:val="660099"/>
            <w:sz w:val="20"/>
            <w:szCs w:val="20"/>
            <w:shd w:val="clear" w:color="auto" w:fill="ffffff"/>
          </w:rPr>
          <w:t xml:space="preserve">__________________</w:t>
        </w:r>
      </w:hyperlink>
      <w:r>
        <w:rPr>
          <w:sz w:val="20"/>
          <w:szCs w:val="20"/>
        </w:rPr>
        <w:t xml:space="preserve">.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4.5. В доказательство осуществления предоставления прав на Программы по Договору Стороны обязаны подписать «Акт сдачи-приемки неисключительных пользовательских прав на использование программ для ЭВМ».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4.6. Приемка осуществляется согласно Приказу Минфина РФ от 15.04.2021 №61н (в ред. от 28.06.2022 №100н) с 01.01.2024 г. будет формироваться Акт приемки товаров, работ, услуг унифицированной формы электронных документов бухгалтерского учета.</w:t>
      </w:r>
      <w:r>
        <w:rPr>
          <w:sz w:val="20"/>
          <w:szCs w:val="20"/>
        </w:rPr>
      </w:r>
    </w:p>
    <w:p>
      <w:pPr>
        <w:pStyle w:val="693"/>
        <w:pBdr/>
        <w:spacing w:before="120"/>
        <w:ind/>
        <w:rPr>
          <w:sz w:val="20"/>
          <w:szCs w:val="20"/>
        </w:rPr>
      </w:pPr>
      <w:r>
        <w:rPr>
          <w:sz w:val="20"/>
          <w:szCs w:val="20"/>
        </w:rPr>
        <w:t xml:space="preserve">5. Ответственность по Договору</w:t>
      </w:r>
      <w:r>
        <w:rPr>
          <w:sz w:val="20"/>
          <w:szCs w:val="20"/>
        </w:rPr>
      </w:r>
    </w:p>
    <w:p>
      <w:pPr>
        <w:pBdr/>
        <w:spacing/>
        <w:ind w:firstLine="53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5.1. Лицензиат гарантирует, что его правовые отношения с Лицензиаром (автором Программ) полностью урегули</w:t>
      </w:r>
      <w:r>
        <w:rPr>
          <w:sz w:val="20"/>
          <w:szCs w:val="20"/>
        </w:rPr>
        <w:t xml:space="preserve">рованы Лицензионным договором №   </w:t>
      </w:r>
      <w:r>
        <w:rPr>
          <w:sz w:val="20"/>
          <w:szCs w:val="20"/>
        </w:rPr>
        <w:t xml:space="preserve"> от </w:t>
      </w:r>
      <w:r>
        <w:rPr>
          <w:sz w:val="20"/>
          <w:szCs w:val="20"/>
        </w:rPr>
        <w:t xml:space="preserve">     </w:t>
      </w:r>
      <w:r>
        <w:rPr>
          <w:sz w:val="20"/>
          <w:szCs w:val="20"/>
        </w:rPr>
        <w:t xml:space="preserve"> г., а предоставляемые неисключительные пользовательские права свободны от претензий третьих лиц.</w:t>
      </w:r>
      <w:r>
        <w:rPr>
          <w:sz w:val="20"/>
          <w:szCs w:val="20"/>
        </w:rPr>
      </w:r>
    </w:p>
    <w:p>
      <w:pPr>
        <w:pBdr/>
        <w:spacing/>
        <w:ind w:firstLine="53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</w:t>
      </w:r>
      <w:r>
        <w:rPr>
          <w:sz w:val="20"/>
          <w:szCs w:val="20"/>
        </w:rPr>
        <w:t xml:space="preserve">.2</w:t>
      </w:r>
      <w:r>
        <w:rPr>
          <w:sz w:val="20"/>
          <w:szCs w:val="20"/>
        </w:rPr>
        <w:t xml:space="preserve">. Стороны освобождаются от ответственности за неисполнение или ненадлежащее исполнение обязательств по настоящему Договору, если надлежащее исполнение обязательств оказалось невозможным вследствие обсто</w:t>
      </w:r>
      <w:r>
        <w:rPr>
          <w:sz w:val="20"/>
          <w:szCs w:val="20"/>
        </w:rPr>
        <w:t xml:space="preserve">ятельств непреодолимой силы. Сторона, для которой создалась невозможность исполнения обязательств по настоящему Договору, обязана уведомить другую сторону о наступлении таких обстоятельств в течение 10 (десяти) дней. В этом случае срок исполнения обязатель</w:t>
      </w:r>
      <w:r>
        <w:rPr>
          <w:sz w:val="20"/>
          <w:szCs w:val="20"/>
        </w:rPr>
        <w:t xml:space="preserve">ств пр</w:t>
      </w:r>
      <w:r>
        <w:rPr>
          <w:sz w:val="20"/>
          <w:szCs w:val="20"/>
        </w:rPr>
        <w:t xml:space="preserve">одлевается соразмерно времени, в течение которого будут действовать обстоятельства непреодолимой силы. Наступление обстоятельств непреодолимой силы должно подтверждаться актом компетентного органа.</w:t>
      </w:r>
      <w:r>
        <w:rPr>
          <w:sz w:val="20"/>
          <w:szCs w:val="20"/>
        </w:rPr>
      </w:r>
    </w:p>
    <w:p>
      <w:pPr>
        <w:pBdr/>
        <w:spacing/>
        <w:ind w:firstLine="53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</w:t>
      </w:r>
      <w:r>
        <w:rPr>
          <w:sz w:val="20"/>
          <w:szCs w:val="20"/>
        </w:rPr>
        <w:t xml:space="preserve">3</w:t>
      </w:r>
      <w:r>
        <w:rPr>
          <w:sz w:val="20"/>
          <w:szCs w:val="20"/>
        </w:rPr>
        <w:t xml:space="preserve">. Программы предоставля</w:t>
      </w:r>
      <w:r>
        <w:rPr>
          <w:sz w:val="20"/>
          <w:szCs w:val="20"/>
        </w:rPr>
        <w:t xml:space="preserve">ю</w:t>
      </w:r>
      <w:r>
        <w:rPr>
          <w:sz w:val="20"/>
          <w:szCs w:val="20"/>
        </w:rPr>
        <w:t xml:space="preserve">тся на условиях «как есть» (</w:t>
      </w:r>
      <w:r>
        <w:rPr>
          <w:sz w:val="20"/>
          <w:szCs w:val="20"/>
        </w:rPr>
        <w:t xml:space="preserve">as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is</w:t>
      </w:r>
      <w:r>
        <w:rPr>
          <w:sz w:val="20"/>
          <w:szCs w:val="20"/>
        </w:rPr>
        <w:t xml:space="preserve">). Объем возможностей Программ указан в демонстрационных версиях Программ и/или руководствах пользователя</w:t>
      </w:r>
      <w:r>
        <w:rPr>
          <w:sz w:val="20"/>
          <w:szCs w:val="20"/>
        </w:rPr>
        <w:t xml:space="preserve">, размещенных на сайте Лицензиара. Лицензиат не предоставляет никаких гарантий в отношении результатов работы Сублицензиата с Программами, гарантий соответствия Программ иным, конкретным и особенным целям Сублицензиата, а также не предоставляет никаких ины</w:t>
      </w:r>
      <w:r>
        <w:rPr>
          <w:sz w:val="20"/>
          <w:szCs w:val="20"/>
        </w:rPr>
        <w:t xml:space="preserve">х гарантий, прямо не указанных в настоящем Договоре. В случае необходимости Сублицензиат и Лицензиар (либо Лицензиат) могут заключить специальный договор на доработку, изменение, расширение возможностей Программ за дополнительную плату и с согласия Сторон.</w:t>
      </w:r>
      <w:r>
        <w:rPr>
          <w:sz w:val="20"/>
          <w:szCs w:val="20"/>
        </w:rPr>
      </w:r>
    </w:p>
    <w:p>
      <w:pPr>
        <w:pBdr/>
        <w:spacing/>
        <w:ind w:firstLine="53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</w:t>
      </w:r>
      <w:r>
        <w:rPr>
          <w:sz w:val="20"/>
          <w:szCs w:val="20"/>
        </w:rPr>
        <w:t xml:space="preserve">4</w:t>
      </w:r>
      <w:r>
        <w:rPr>
          <w:sz w:val="20"/>
          <w:szCs w:val="20"/>
        </w:rPr>
        <w:t xml:space="preserve">. </w:t>
      </w:r>
      <w:r>
        <w:rPr>
          <w:sz w:val="20"/>
          <w:szCs w:val="20"/>
        </w:rPr>
        <w:t xml:space="preserve">В максимальной степени, допустимой действующим законодательством, Лицензиат, Лицензиар, равно как и их партнеры, не несут никакой ответственности за какие-либо прямые или косвенные последствия ка</w:t>
      </w:r>
      <w:r>
        <w:rPr>
          <w:sz w:val="20"/>
          <w:szCs w:val="20"/>
        </w:rPr>
        <w:t xml:space="preserve">кого-либо использования или невозможности использования Программ и/или ущерб, причиненный Сублицензиату и/или третьим лицам в результате какого-либо использования или неиспользования Программ, в том числе из-за возможных ошибок или сбоев в работе Программ.</w:t>
      </w:r>
      <w:r>
        <w:rPr>
          <w:sz w:val="20"/>
          <w:szCs w:val="20"/>
        </w:rPr>
      </w:r>
    </w:p>
    <w:p>
      <w:pPr>
        <w:pBdr/>
        <w:spacing/>
        <w:ind w:firstLine="53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</w:t>
      </w:r>
      <w:r>
        <w:rPr>
          <w:sz w:val="20"/>
          <w:szCs w:val="20"/>
        </w:rPr>
        <w:t xml:space="preserve">5</w:t>
      </w:r>
      <w:r>
        <w:rPr>
          <w:sz w:val="20"/>
          <w:szCs w:val="20"/>
        </w:rPr>
        <w:t xml:space="preserve">. Неисключительные права, переданные по настоящему Договору, возврату и обмену не подлежат. Стороны исходят из понимания, что по Договору передаются права использования, которые не являются ни товаром, ни работой, ни услуг</w:t>
      </w:r>
      <w:r>
        <w:rPr>
          <w:sz w:val="20"/>
          <w:szCs w:val="20"/>
        </w:rPr>
        <w:t xml:space="preserve">ой (ГК РФ 4 часть). Факт возврата Сублицензиатом вещественного носителя (компакт-диска) ничтожен и не может расцениваться как факт возврата прав использования Программ. Если в процессе судебного разбирательства передача прав по Договору будет приравнена к </w:t>
      </w:r>
      <w:r>
        <w:rPr>
          <w:sz w:val="20"/>
          <w:szCs w:val="20"/>
        </w:rPr>
        <w:t xml:space="preserve">дистанционному способу продажи товара, то в настоящем Договоре содержится информация о способе и сроке возврата товара надлежащего качества, а именно: в течение 7 (семи) дней после передачи товара, для этого необходимо обратиться с заявлением к Лицензиату.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</w:t>
      </w:r>
      <w:r>
        <w:rPr>
          <w:sz w:val="20"/>
          <w:szCs w:val="20"/>
        </w:rPr>
        <w:t xml:space="preserve">6</w:t>
      </w:r>
      <w:r>
        <w:rPr>
          <w:sz w:val="20"/>
          <w:szCs w:val="20"/>
        </w:rPr>
        <w:t xml:space="preserve">. </w:t>
      </w:r>
      <w:r>
        <w:rPr>
          <w:sz w:val="20"/>
          <w:szCs w:val="20"/>
        </w:rPr>
        <w:t xml:space="preserve">Неисключительные пользовательские права по настоящему Договору предоставляются на срок 1 (один) год с момента </w:t>
      </w:r>
      <w:r>
        <w:rPr>
          <w:sz w:val="20"/>
          <w:szCs w:val="20"/>
        </w:rPr>
        <w:t xml:space="preserve">передачи прав</w:t>
      </w:r>
      <w:r>
        <w:rPr>
          <w:sz w:val="20"/>
          <w:szCs w:val="20"/>
        </w:rPr>
        <w:t xml:space="preserve">.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</w:t>
      </w:r>
      <w:r>
        <w:rPr>
          <w:sz w:val="20"/>
          <w:szCs w:val="20"/>
        </w:rPr>
        <w:t xml:space="preserve">7</w:t>
      </w:r>
      <w:r>
        <w:rPr>
          <w:sz w:val="20"/>
          <w:szCs w:val="20"/>
        </w:rPr>
        <w:t xml:space="preserve">. Сублицензиат устанавливает Программы силами своих технических специалистов, используя техническую документацию и услуги технической поддержки Лицензиара.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numPr>
          <w:ilvl w:val="0"/>
          <w:numId w:val="9"/>
        </w:numPr>
        <w:pBdr/>
        <w:spacing w:before="120"/>
        <w:ind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Заключительные положения</w:t>
      </w:r>
      <w:r>
        <w:rPr>
          <w:b/>
          <w:bCs/>
          <w:sz w:val="20"/>
          <w:szCs w:val="20"/>
        </w:rPr>
      </w:r>
    </w:p>
    <w:p>
      <w:pPr>
        <w:numPr>
          <w:ilvl w:val="1"/>
          <w:numId w:val="9"/>
        </w:numPr>
        <w:pBdr/>
        <w:tabs>
          <w:tab w:val="clear" w:leader="none" w:pos="792"/>
          <w:tab w:val="num" w:leader="none" w:pos="980"/>
        </w:tabs>
        <w:spacing/>
        <w:ind w:firstLine="540"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Настоящий договор вступает в силу с момента его подписания и действует до полного исполнения Сторонами своих обязательств.</w:t>
      </w:r>
      <w:r>
        <w:rPr>
          <w:sz w:val="20"/>
          <w:szCs w:val="20"/>
        </w:rPr>
      </w:r>
    </w:p>
    <w:p>
      <w:pPr>
        <w:numPr>
          <w:ilvl w:val="1"/>
          <w:numId w:val="9"/>
        </w:numPr>
        <w:pBdr/>
        <w:tabs>
          <w:tab w:val="clear" w:leader="none" w:pos="792"/>
          <w:tab w:val="num" w:leader="none" w:pos="980"/>
        </w:tabs>
        <w:spacing/>
        <w:ind w:firstLine="540"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Договор может быть изменен, дополнен, расторгнут по соглашению сторон в письменной форме, а также в порядке, предусмотренном законодательством Российской Федерации.</w:t>
      </w:r>
      <w:r>
        <w:rPr>
          <w:sz w:val="20"/>
          <w:szCs w:val="20"/>
        </w:rPr>
      </w:r>
    </w:p>
    <w:p>
      <w:pPr>
        <w:numPr>
          <w:ilvl w:val="1"/>
          <w:numId w:val="9"/>
        </w:numPr>
        <w:pBdr/>
        <w:tabs>
          <w:tab w:val="clear" w:leader="none" w:pos="792"/>
          <w:tab w:val="num" w:leader="none" w:pos="980"/>
        </w:tabs>
        <w:spacing/>
        <w:ind w:firstLine="540"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 истечении 1 (одного) года с момента окончания действия неисключительных пользовательских прав по настоящему Договору (либо заблаговременно) по соглашению Сторон может </w:t>
      </w:r>
      <w:r>
        <w:rPr>
          <w:sz w:val="20"/>
          <w:szCs w:val="20"/>
        </w:rPr>
        <w:t xml:space="preserve">быть заключен лицензионный договор по льготной цене, указанной на сайте Лицензиара </w:t>
      </w:r>
      <w:r>
        <w:rPr>
          <w:sz w:val="20"/>
          <w:szCs w:val="20"/>
        </w:rPr>
        <w:t xml:space="preserve">____________________</w:t>
      </w:r>
      <w:r>
        <w:rPr>
          <w:sz w:val="20"/>
          <w:szCs w:val="20"/>
        </w:rPr>
      </w:r>
    </w:p>
    <w:p>
      <w:pPr>
        <w:numPr>
          <w:ilvl w:val="1"/>
          <w:numId w:val="9"/>
        </w:numPr>
        <w:pBdr/>
        <w:tabs>
          <w:tab w:val="clear" w:leader="none" w:pos="792"/>
          <w:tab w:val="num" w:leader="none" w:pos="980"/>
        </w:tabs>
        <w:spacing/>
        <w:ind w:firstLine="540"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Настоящий Договор обеими Сторонами подписывается собственноручно. Настоящий Договор (на основании ст. 160 ГК РФ) является соглашением Сторон об использовании факсимильной п</w:t>
      </w:r>
      <w:r>
        <w:rPr>
          <w:sz w:val="20"/>
          <w:szCs w:val="20"/>
        </w:rPr>
        <w:t xml:space="preserve">одписи на документах, связанных с возникновением и исполнением обязательств по настоящему Договору, а именно: приложения и дополнительные соглашения к Договору, счет, счет-фактура, акт сдачи-приемки, накладная, деловая переписка, справки, копии документов.</w:t>
      </w:r>
      <w:r>
        <w:rPr>
          <w:sz w:val="20"/>
          <w:szCs w:val="20"/>
        </w:rPr>
      </w:r>
    </w:p>
    <w:p>
      <w:pPr>
        <w:numPr>
          <w:ilvl w:val="1"/>
          <w:numId w:val="9"/>
        </w:numPr>
        <w:pBdr/>
        <w:tabs>
          <w:tab w:val="clear" w:leader="none" w:pos="792"/>
          <w:tab w:val="num" w:leader="none" w:pos="980"/>
        </w:tabs>
        <w:spacing/>
        <w:ind w:firstLine="540"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Договор составлен в 2-х экземплярах по одному для каждой стороны.</w:t>
      </w:r>
      <w:r>
        <w:rPr>
          <w:sz w:val="20"/>
          <w:szCs w:val="20"/>
        </w:rPr>
      </w:r>
    </w:p>
    <w:p>
      <w:pPr>
        <w:numPr>
          <w:ilvl w:val="1"/>
          <w:numId w:val="9"/>
        </w:numPr>
        <w:pBdr/>
        <w:tabs>
          <w:tab w:val="clear" w:leader="none" w:pos="792"/>
          <w:tab w:val="num" w:leader="none" w:pos="980"/>
        </w:tabs>
        <w:spacing/>
        <w:ind w:firstLine="540"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Неотъемлемой частью настоящего Договора является Приложение №1 — «Спецификация».</w:t>
      </w:r>
      <w:r>
        <w:rPr>
          <w:sz w:val="20"/>
          <w:szCs w:val="20"/>
        </w:rPr>
      </w:r>
    </w:p>
    <w:p>
      <w:pPr>
        <w:pStyle w:val="693"/>
        <w:pBdr/>
        <w:spacing w:before="120"/>
        <w:ind/>
        <w:rPr>
          <w:sz w:val="20"/>
          <w:szCs w:val="20"/>
        </w:rPr>
      </w:pPr>
      <w:r>
        <w:rPr>
          <w:sz w:val="20"/>
          <w:szCs w:val="20"/>
        </w:rPr>
        <w:t xml:space="preserve">Реквизиты и подписи Сторон</w:t>
      </w:r>
      <w:r>
        <w:rPr>
          <w:sz w:val="20"/>
          <w:szCs w:val="20"/>
        </w:rPr>
      </w:r>
    </w:p>
    <w:tbl>
      <w:tblPr>
        <w:tblW w:w="9570" w:type="dxa"/>
        <w:tblInd w:w="2" w:type="dxa"/>
        <w:tblBorders/>
        <w:tblLook w:val="01E0" w:firstRow="1" w:lastRow="1" w:firstColumn="1" w:lastColumn="1" w:noHBand="0" w:noVBand="0"/>
      </w:tblPr>
      <w:tblGrid>
        <w:gridCol w:w="4785"/>
        <w:gridCol w:w="4785"/>
      </w:tblGrid>
      <w:tr>
        <w:trPr>
          <w:trHeight w:val="71"/>
        </w:trPr>
        <w:tc>
          <w:tcPr>
            <w:tcBorders/>
            <w:tcW w:w="478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Лицензиат:</w:t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pBdr/>
              <w:spacing/>
              <w:ind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  <w:lang w:val="pt-BR"/>
              </w:rPr>
              <w:t xml:space="preserve">.</w:t>
            </w:r>
            <w:r>
              <w:rPr>
                <w:sz w:val="20"/>
                <w:szCs w:val="20"/>
              </w:rPr>
              <w:t xml:space="preserve">П</w:t>
            </w:r>
            <w:r>
              <w:rPr>
                <w:sz w:val="20"/>
                <w:szCs w:val="20"/>
                <w:lang w:val="pt-BR"/>
              </w:rPr>
              <w:t xml:space="preserve">.</w:t>
            </w:r>
            <w:r>
              <w:rPr>
                <w:sz w:val="20"/>
                <w:szCs w:val="20"/>
                <w:lang w:val="pt-BR"/>
              </w:rPr>
            </w:r>
          </w:p>
        </w:tc>
        <w:tc>
          <w:tcPr>
            <w:tcBorders/>
            <w:tcW w:w="478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bCs/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</w:rPr>
              <w:t xml:space="preserve">Сублицензиат</w:t>
            </w:r>
            <w:r>
              <w:rPr>
                <w:b/>
                <w:bCs/>
                <w:sz w:val="20"/>
                <w:szCs w:val="20"/>
                <w:lang w:val="pt-BR"/>
              </w:rPr>
              <w:t xml:space="preserve">:</w:t>
            </w:r>
            <w:r>
              <w:rPr>
                <w:b/>
                <w:bCs/>
                <w:sz w:val="20"/>
                <w:szCs w:val="20"/>
                <w:lang w:val="pt-BR"/>
              </w:rPr>
              <w:tab/>
            </w:r>
            <w:r>
              <w:rPr>
                <w:b/>
                <w:bCs/>
                <w:sz w:val="20"/>
                <w:szCs w:val="20"/>
                <w:lang w:val="pt-BR"/>
              </w:rPr>
            </w:r>
          </w:p>
          <w:p>
            <w:pPr>
              <w:pStyle w:val="703"/>
              <w:pBdr/>
              <w:spacing w:after="120"/>
              <w:ind/>
              <w:jc w:val="left"/>
              <w:rPr>
                <w:b w:val="0"/>
                <w:bCs w:val="0"/>
                <w:sz w:val="20"/>
                <w:szCs w:val="20"/>
                <w:lang w:val="pt-BR"/>
              </w:rPr>
            </w:pPr>
            <w:r>
              <w:rPr>
                <w:b w:val="0"/>
                <w:bCs w:val="0"/>
                <w:sz w:val="20"/>
                <w:szCs w:val="20"/>
                <w:lang w:val="pt-BR"/>
              </w:rPr>
              <w:t xml:space="preserve">САНКТ-ПЕТЕРБУРГСКОЕ ГОСУДАРСТВЕННОЕ БЮДЖЕТНОЕ ПРОФЕССИОНАЛЬНОЕ ОБРАЗОВАТЕЛЬНОЕ УЧРЕЖДЕНИЕ "САНКТ-ПЕТЕРБУРГСКОЕ МУЗЫКАЛЬНОЕ УЧИЛИЩЕ ИМЕНИ Н.А. РИМСКОГО-КОРСАКОВА"</w:t>
            </w:r>
            <w:r>
              <w:rPr>
                <w:b w:val="0"/>
                <w:bCs w:val="0"/>
                <w:sz w:val="20"/>
                <w:szCs w:val="20"/>
                <w:lang w:val="pt-BR"/>
              </w:rPr>
            </w:r>
          </w:p>
          <w:p>
            <w:pPr>
              <w:pStyle w:val="703"/>
              <w:pBdr/>
              <w:spacing w:after="120"/>
              <w:ind/>
              <w:jc w:val="left"/>
              <w:rPr>
                <w:b w:val="0"/>
                <w:bCs w:val="0"/>
                <w:sz w:val="20"/>
                <w:szCs w:val="20"/>
                <w:lang w:val="pt-BR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ИНН</w:t>
            </w:r>
            <w:r>
              <w:rPr>
                <w:b w:val="0"/>
                <w:bCs w:val="0"/>
                <w:sz w:val="20"/>
                <w:szCs w:val="20"/>
                <w:lang w:val="pt-BR"/>
              </w:rPr>
              <w:t xml:space="preserve"> 7812037430, </w:t>
            </w:r>
            <w:r>
              <w:rPr>
                <w:b w:val="0"/>
                <w:bCs w:val="0"/>
                <w:sz w:val="20"/>
                <w:szCs w:val="20"/>
              </w:rPr>
              <w:t xml:space="preserve">КПП</w:t>
            </w:r>
            <w:r>
              <w:rPr>
                <w:b w:val="0"/>
                <w:bCs w:val="0"/>
                <w:sz w:val="20"/>
                <w:szCs w:val="20"/>
                <w:lang w:val="pt-BR"/>
              </w:rPr>
              <w:t xml:space="preserve"> 783901001.</w:t>
            </w:r>
            <w:r>
              <w:rPr>
                <w:b w:val="0"/>
                <w:bCs w:val="0"/>
                <w:sz w:val="20"/>
                <w:szCs w:val="20"/>
                <w:lang w:val="pt-BR"/>
              </w:rPr>
            </w:r>
          </w:p>
          <w:p>
            <w:pPr>
              <w:pBdr/>
              <w:spacing w:after="120"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Адрес: 190121, Санкт-Петербург, переулок Матвеева, д. 1а.</w:t>
            </w:r>
            <w:r>
              <w:rPr>
                <w:sz w:val="20"/>
                <w:szCs w:val="20"/>
              </w:rPr>
            </w:r>
          </w:p>
          <w:p>
            <w:pPr>
              <w:pBdr/>
              <w:spacing w:after="120"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Тел./факс: 8-812- 409-74-24</w:t>
            </w:r>
            <w:r>
              <w:rPr>
                <w:sz w:val="20"/>
                <w:szCs w:val="20"/>
              </w:rPr>
            </w:r>
          </w:p>
          <w:p>
            <w:pPr>
              <w:pBdr/>
              <w:spacing w:after="120"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Северо-Западное ГУ Банка России/УФК по г. Санкт-Петербургу, г. Санкт-Петербург Комитет Финансов г. Санкт-Петербурга (СПб ГБПОУ «Санкт-Петербургское музыкальное училище им. Н.А. Римского-Корсакова» л/с 0171003) </w:t>
            </w:r>
            <w:r>
              <w:rPr>
                <w:sz w:val="20"/>
                <w:szCs w:val="20"/>
              </w:rPr>
              <w:t xml:space="preserve">Р</w:t>
            </w:r>
            <w:r>
              <w:rPr>
                <w:sz w:val="20"/>
                <w:szCs w:val="20"/>
              </w:rPr>
              <w:t xml:space="preserve">/с 401 028 109 453 700 000 05 Номер казна</w:t>
            </w:r>
            <w:r>
              <w:rPr>
                <w:sz w:val="20"/>
                <w:szCs w:val="20"/>
              </w:rPr>
            </w:r>
          </w:p>
          <w:p>
            <w:pPr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____________________ (К.А. Архипов)</w:t>
            </w:r>
            <w:r>
              <w:rPr>
                <w:sz w:val="20"/>
                <w:szCs w:val="20"/>
              </w:rPr>
            </w:r>
          </w:p>
          <w:p>
            <w:pPr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М.П.</w:t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702"/>
        <w:pBdr/>
        <w:spacing w:after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2"/>
        <w:pBdr/>
        <w:spacing w:after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Bdr/>
        <w:spacing/>
        <w:ind/>
        <w:jc w:val="right"/>
        <w:rPr>
          <w:sz w:val="20"/>
          <w:szCs w:val="20"/>
        </w:rPr>
      </w:pPr>
      <w:r>
        <w:rPr>
          <w:sz w:val="20"/>
          <w:szCs w:val="20"/>
        </w:rPr>
        <w:br w:type="page" w:clear="all"/>
      </w:r>
      <w:r>
        <w:rPr>
          <w:sz w:val="20"/>
          <w:szCs w:val="20"/>
        </w:rPr>
        <w:t xml:space="preserve">Приложение №1 </w:t>
      </w:r>
      <w:r>
        <w:rPr>
          <w:sz w:val="20"/>
          <w:szCs w:val="20"/>
        </w:rPr>
        <w:br/>
        <w:t xml:space="preserve">к Договору №</w:t>
      </w:r>
      <w:r>
        <w:rPr>
          <w:sz w:val="20"/>
          <w:szCs w:val="20"/>
        </w:rPr>
        <w:t xml:space="preserve">__________________</w:t>
      </w:r>
      <w:r>
        <w:rPr>
          <w:sz w:val="20"/>
          <w:szCs w:val="20"/>
        </w:rPr>
        <w:t xml:space="preserve">от 26 марта 2026г.</w:t>
      </w:r>
      <w:r>
        <w:rPr>
          <w:sz w:val="20"/>
          <w:szCs w:val="20"/>
        </w:rPr>
      </w:r>
    </w:p>
    <w:p>
      <w:pPr>
        <w:pBdr/>
        <w:spacing/>
        <w:ind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93"/>
        <w:pBdr/>
        <w:spacing/>
        <w:ind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Спецификация</w:t>
      </w:r>
      <w:r>
        <w:rPr>
          <w:rFonts w:ascii="Tahoma" w:hAnsi="Tahoma" w:cs="Tahoma"/>
          <w:sz w:val="20"/>
          <w:szCs w:val="20"/>
        </w:rPr>
      </w:r>
    </w:p>
    <w:p>
      <w:pPr>
        <w:pBdr/>
        <w:spacing/>
        <w:ind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tbl>
      <w:tblPr>
        <w:tblW w:w="9725" w:type="dxa"/>
        <w:tblInd w:w="2" w:type="dxa"/>
        <w:tblBorders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33"/>
        <w:gridCol w:w="4211"/>
        <w:gridCol w:w="947"/>
        <w:gridCol w:w="811"/>
        <w:gridCol w:w="1440"/>
        <w:gridCol w:w="1483"/>
      </w:tblGrid>
      <w:tr>
        <w:trPr>
          <w:trHeight w:val="570" w:hRule="exact"/>
        </w:trPr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833" w:type="dxa"/>
            <w:vAlign w:val="center"/>
            <w:textDirection w:val="lrTb"/>
            <w:noWrap w:val="false"/>
          </w:tcPr>
          <w:p>
            <w:pPr>
              <w:pBdr/>
              <w:shd w:val="clear" w:color="auto" w:fill="ffffff"/>
              <w:spacing/>
              <w:ind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№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211" w:type="dxa"/>
            <w:vAlign w:val="center"/>
            <w:textDirection w:val="lrTb"/>
            <w:noWrap w:val="false"/>
          </w:tcPr>
          <w:p>
            <w:pPr>
              <w:pBdr/>
              <w:shd w:val="clear" w:color="auto" w:fill="ffffff"/>
              <w:spacing/>
              <w:ind w:left="5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Наименование Программы (наименование передаваемых неисключительных прав)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47" w:type="dxa"/>
            <w:vAlign w:val="center"/>
            <w:textDirection w:val="lrTb"/>
            <w:noWrap w:val="false"/>
          </w:tcPr>
          <w:p>
            <w:pPr>
              <w:pBdr/>
              <w:shd w:val="clear" w:color="auto" w:fill="ffffff"/>
              <w:spacing/>
              <w:ind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Ед. изм.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811" w:type="dxa"/>
            <w:vAlign w:val="center"/>
            <w:textDirection w:val="lrTb"/>
            <w:noWrap w:val="false"/>
          </w:tcPr>
          <w:p>
            <w:pPr>
              <w:pBdr/>
              <w:shd w:val="clear" w:color="auto" w:fill="ffffff"/>
              <w:spacing/>
              <w:ind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-5"/>
                <w:sz w:val="20"/>
                <w:szCs w:val="20"/>
              </w:rPr>
              <w:t xml:space="preserve">Количе-ство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440" w:type="dxa"/>
            <w:vAlign w:val="center"/>
            <w:textDirection w:val="lrTb"/>
            <w:noWrap w:val="false"/>
          </w:tcPr>
          <w:p>
            <w:pPr>
              <w:pBdr/>
              <w:shd w:val="clear" w:color="auto" w:fill="ffffff"/>
              <w:spacing/>
              <w:ind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Цена </w:t>
            </w:r>
            <w:r>
              <w:rPr>
                <w:i/>
                <w:iCs/>
                <w:color w:val="000000"/>
                <w:sz w:val="20"/>
                <w:szCs w:val="20"/>
              </w:rPr>
              <w:br/>
              <w:t xml:space="preserve">за ед., руб.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483" w:type="dxa"/>
            <w:vAlign w:val="center"/>
            <w:textDirection w:val="lrTb"/>
            <w:noWrap w:val="false"/>
          </w:tcPr>
          <w:p>
            <w:pPr>
              <w:pBdr/>
              <w:shd w:val="clear" w:color="auto" w:fill="ffffff"/>
              <w:spacing/>
              <w:ind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Сумма,</w:t>
            </w:r>
            <w:r>
              <w:rPr>
                <w:i/>
                <w:iCs/>
                <w:color w:val="000000"/>
                <w:sz w:val="20"/>
                <w:szCs w:val="20"/>
              </w:rPr>
              <w:br/>
              <w:t xml:space="preserve">руб.</w:t>
            </w:r>
            <w:r>
              <w:rPr>
                <w:i/>
                <w:iCs/>
                <w:sz w:val="20"/>
                <w:szCs w:val="20"/>
              </w:rPr>
            </w:r>
          </w:p>
        </w:tc>
      </w:tr>
      <w:tr>
        <w:trPr/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833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5"/>
              </w:numPr>
              <w:pBdr/>
              <w:shd w:val="clear" w:color="auto" w:fill="ffffff"/>
              <w:spacing/>
              <w:ind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211" w:type="dxa"/>
            <w:vAlign w:val="center"/>
            <w:textDirection w:val="lrTb"/>
            <w:noWrap w:val="false"/>
          </w:tcPr>
          <w:p>
            <w:pPr>
              <w:pBdr/>
              <w:shd w:val="clear" w:color="auto" w:fill="ffffff"/>
              <w:spacing w:line="221" w:lineRule="exact"/>
              <w:ind w:right="149" w:firstLine="1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Неисключительные пользовательские права на программу для ЭВМ "Диплом-стандарт ФГОС СПО" на 1 год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47" w:type="dxa"/>
            <w:vAlign w:val="center"/>
            <w:textDirection w:val="lrTb"/>
            <w:noWrap w:val="false"/>
          </w:tcPr>
          <w:p>
            <w:pPr>
              <w:pBdr/>
              <w:shd w:val="clear" w:color="auto" w:fill="ffffff"/>
              <w:spacing/>
              <w:ind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811" w:type="dxa"/>
            <w:vAlign w:val="center"/>
            <w:textDirection w:val="lrTb"/>
            <w:noWrap w:val="false"/>
          </w:tcPr>
          <w:p>
            <w:pPr>
              <w:pBdr/>
              <w:shd w:val="clear" w:color="auto" w:fill="ffffff"/>
              <w:spacing/>
              <w:ind w:left="1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440" w:type="dxa"/>
            <w:vAlign w:val="center"/>
            <w:textDirection w:val="lrTb"/>
            <w:noWrap w:val="false"/>
          </w:tcPr>
          <w:p>
            <w:pPr>
              <w:pBdr/>
              <w:shd w:val="clear" w:color="auto" w:fill="ffffff"/>
              <w:spacing/>
              <w:ind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483" w:type="dxa"/>
            <w:vAlign w:val="center"/>
            <w:textDirection w:val="lrTb"/>
            <w:noWrap w:val="false"/>
          </w:tcPr>
          <w:p>
            <w:pPr>
              <w:pBdr/>
              <w:shd w:val="clear" w:color="auto" w:fill="ffffff"/>
              <w:spacing/>
              <w:ind w:right="2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Общая сумма передаваемых Сублицензиату неисключительных пользовательских прав (сумма вознаграждения Лицензиата) по Договору составляет </w:t>
      </w:r>
      <w:r>
        <w:rPr>
          <w:sz w:val="20"/>
          <w:szCs w:val="20"/>
        </w:rPr>
        <w:t xml:space="preserve">__________________________</w:t>
      </w:r>
      <w:r>
        <w:rPr>
          <w:sz w:val="20"/>
          <w:szCs w:val="20"/>
        </w:rPr>
      </w:r>
    </w:p>
    <w:p>
      <w:pPr>
        <w:pStyle w:val="693"/>
        <w:pBdr/>
        <w:spacing w:before="120"/>
        <w:ind/>
        <w:jc w:val="left"/>
        <w:rPr>
          <w:b w:val="0"/>
          <w:bCs w:val="0"/>
          <w:i/>
          <w:iCs/>
          <w:sz w:val="20"/>
          <w:szCs w:val="20"/>
        </w:rPr>
      </w:pPr>
      <w:r>
        <w:rPr>
          <w:b w:val="0"/>
          <w:bCs w:val="0"/>
          <w:i/>
          <w:iCs/>
          <w:sz w:val="20"/>
          <w:szCs w:val="20"/>
        </w:rPr>
        <w:t xml:space="preserve">Подписи Сторон:</w:t>
      </w:r>
      <w:r>
        <w:rPr>
          <w:b w:val="0"/>
          <w:bCs w:val="0"/>
          <w:i/>
          <w:iCs/>
          <w:sz w:val="20"/>
          <w:szCs w:val="20"/>
        </w:rPr>
      </w:r>
    </w:p>
    <w:tbl>
      <w:tblPr>
        <w:tblW w:w="0" w:type="auto"/>
        <w:tblInd w:w="2" w:type="dxa"/>
        <w:tblBorders/>
        <w:tblLook w:val="01E0" w:firstRow="1" w:lastRow="1" w:firstColumn="1" w:lastColumn="1" w:noHBand="0" w:noVBand="0"/>
      </w:tblPr>
      <w:tblGrid>
        <w:gridCol w:w="4784"/>
        <w:gridCol w:w="4785"/>
      </w:tblGrid>
      <w:tr>
        <w:trPr>
          <w:trHeight w:val="71"/>
        </w:trPr>
        <w:tc>
          <w:tcPr>
            <w:tcBorders/>
            <w:tcW w:w="478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Лицензиат:</w:t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/>
            <w:tcW w:w="478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Сублицензиат:</w:t>
            </w:r>
            <w:r>
              <w:rPr>
                <w:b/>
                <w:bCs/>
                <w:sz w:val="20"/>
                <w:szCs w:val="20"/>
              </w:rPr>
              <w:tab/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САНКТ-ПЕТЕРБУРГСКОЕ ГОСУДАРСТВЕННОЕ БЮДЖЕТНОЕ ПРОФЕССИОНАЛЬНОЕ ОБРАЗОВАТЕЛЬНОЕ УЧРЕЖДЕНИЕ "САНКТ-ПЕТЕРБУРГСКОЕ МУЗЫКАЛЬНОЕ УЧИЛИЩЕ ИМЕНИ Н.А. РИМСКОГО-КОРСАКОВА"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</w:r>
          </w:p>
          <w:p>
            <w:pPr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____________________ (К.А. Архипов)</w:t>
            </w:r>
            <w:r>
              <w:rPr>
                <w:sz w:val="20"/>
                <w:szCs w:val="20"/>
              </w:rPr>
            </w:r>
          </w:p>
          <w:p>
            <w:pPr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М.П.</w:t>
            </w:r>
            <w:r>
              <w:rPr>
                <w:sz w:val="20"/>
                <w:szCs w:val="20"/>
              </w:rPr>
            </w:r>
          </w:p>
        </w:tc>
      </w:tr>
    </w:tbl>
    <w:p>
      <w:pPr>
        <w:pBdr/>
        <w:spacing/>
        <w:ind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Bdr/>
        <w:spacing/>
        <w:ind/>
        <w:jc w:val="right"/>
        <w:rPr>
          <w:sz w:val="20"/>
          <w:szCs w:val="20"/>
        </w:rPr>
        <w:sectPr>
          <w:headerReference w:type="default" r:id="rId9"/>
          <w:footnotePr/>
          <w:endnotePr/>
          <w:type w:val="nextPage"/>
          <w:pgSz w:h="16838" w:orient="landscape" w:w="11906"/>
          <w:pgMar w:top="1276" w:right="850" w:bottom="1134" w:left="1701" w:header="708" w:footer="708" w:gutter="0"/>
          <w:cols w:num="1" w:sep="0" w:space="708" w:equalWidth="1"/>
        </w:sect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693"/>
        <w:pBdr/>
        <w:spacing/>
        <w:ind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Акт №</w:t>
      </w:r>
      <w:r>
        <w:rPr>
          <w:rFonts w:ascii="Tahoma" w:hAnsi="Tahoma" w:cs="Tahoma"/>
          <w:sz w:val="20"/>
          <w:szCs w:val="20"/>
        </w:rPr>
        <w:t xml:space="preserve">___________</w:t>
      </w:r>
      <w:r>
        <w:rPr>
          <w:rFonts w:ascii="Tahoma" w:hAnsi="Tahoma" w:cs="Tahoma"/>
          <w:sz w:val="20"/>
          <w:szCs w:val="20"/>
        </w:rPr>
      </w:r>
    </w:p>
    <w:p>
      <w:pPr>
        <w:pStyle w:val="693"/>
        <w:pBdr/>
        <w:spacing/>
        <w:ind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сдачи-приемки неисключительных </w:t>
      </w:r>
      <w:r>
        <w:rPr>
          <w:rFonts w:ascii="Tahoma" w:hAnsi="Tahoma" w:cs="Tahoma"/>
          <w:sz w:val="20"/>
          <w:szCs w:val="20"/>
        </w:rPr>
        <w:br/>
        <w:t xml:space="preserve">пользовательских прав на использование программ для ЭВМ</w:t>
      </w:r>
      <w:r>
        <w:rPr>
          <w:rFonts w:ascii="Tahoma" w:hAnsi="Tahoma" w:cs="Tahoma"/>
          <w:sz w:val="20"/>
          <w:szCs w:val="20"/>
        </w:rPr>
      </w:r>
    </w:p>
    <w:p>
      <w:pPr>
        <w:pBdr/>
        <w:spacing/>
        <w:ind/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02"/>
        <w:pBdr/>
        <w:tabs>
          <w:tab w:val="right" w:leader="none" w:pos="9355"/>
        </w:tabs>
        <w:spacing w:after="28" w:before="28" w:beforeAutospacing="0"/>
        <w:ind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Город Киров</w:t>
      </w:r>
      <w:r>
        <w:rPr>
          <w:sz w:val="20"/>
          <w:szCs w:val="20"/>
        </w:rPr>
        <w:tab/>
      </w:r>
      <w:r>
        <w:rPr>
          <w:sz w:val="20"/>
          <w:szCs w:val="20"/>
        </w:rPr>
        <w:t xml:space="preserve">___________________</w:t>
      </w:r>
      <w:r>
        <w:rPr>
          <w:sz w:val="20"/>
          <w:szCs w:val="20"/>
        </w:rPr>
        <w:t xml:space="preserve"> 2026 г.</w:t>
      </w:r>
      <w:r>
        <w:rPr>
          <w:sz w:val="20"/>
          <w:szCs w:val="20"/>
        </w:rPr>
      </w:r>
    </w:p>
    <w:p>
      <w:pPr>
        <w:pBdr/>
        <w:spacing/>
        <w:ind/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Bdr/>
        <w:spacing/>
        <w:ind w:firstLine="567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_________________________________________________</w:t>
      </w:r>
      <w:r>
        <w:rPr>
          <w:sz w:val="20"/>
          <w:szCs w:val="20"/>
        </w:rPr>
        <w:t xml:space="preserve">, с одной стороны</w:t>
      </w:r>
      <w:r>
        <w:rPr>
          <w:sz w:val="20"/>
          <w:szCs w:val="20"/>
        </w:rPr>
      </w:r>
    </w:p>
    <w:p>
      <w:pPr>
        <w:pBdr/>
        <w:spacing/>
        <w:ind w:firstLine="567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и </w:t>
      </w:r>
      <w:r>
        <w:rPr>
          <w:b/>
          <w:bCs/>
          <w:sz w:val="20"/>
          <w:szCs w:val="20"/>
        </w:rPr>
        <w:t xml:space="preserve">САНКТ-ПЕТЕРБУРГСКОЕ ГОСУДАРСТВЕННОЕ БЮДЖЕТНОЕ ПРОФЕССИОНАЛЬНОЕ ОБРАЗОВАТЕЛЬНОЕ УЧРЕЖДЕНИЕ "САНКТ-ПЕТЕРБУРГСКОЕ МУЗЫКАЛЬНОЕ УЧИЛИЩЕ ИМЕНИ Н.А. РИМСКОГО-КОРСАКОВА"</w:t>
      </w:r>
      <w:r>
        <w:rPr>
          <w:sz w:val="20"/>
          <w:szCs w:val="20"/>
        </w:rPr>
        <w:t xml:space="preserve">, в лице директора Архипова Кирилла Александровича, действующего на основании Устава, именуемое в дальнейшем «Сублицензиат», с другой стороны,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 xml:space="preserve">вместе именуемые «Стороны», а индивидуально – «Сторона»,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составили настоящий Акт о нижеследующем:</w:t>
      </w:r>
      <w:r>
        <w:rPr>
          <w:b/>
          <w:bCs/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Лицензиат передал, а Сублицензиат получил неисключительные пользовательские права на следующие программы для ЭВМ (далее «Программы»):</w:t>
      </w:r>
      <w:r>
        <w:rPr>
          <w:sz w:val="20"/>
          <w:szCs w:val="20"/>
        </w:rPr>
      </w:r>
    </w:p>
    <w:tbl>
      <w:tblPr>
        <w:tblW w:w="9725" w:type="dxa"/>
        <w:tblInd w:w="2" w:type="dxa"/>
        <w:tblBorders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33"/>
        <w:gridCol w:w="4211"/>
        <w:gridCol w:w="947"/>
        <w:gridCol w:w="811"/>
        <w:gridCol w:w="1440"/>
        <w:gridCol w:w="1483"/>
      </w:tblGrid>
      <w:tr>
        <w:trPr>
          <w:trHeight w:val="570" w:hRule="exact"/>
        </w:trPr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833" w:type="dxa"/>
            <w:vAlign w:val="center"/>
            <w:textDirection w:val="lrTb"/>
            <w:noWrap w:val="false"/>
          </w:tcPr>
          <w:p>
            <w:pPr>
              <w:pBdr/>
              <w:shd w:val="clear" w:color="auto" w:fill="ffffff"/>
              <w:spacing/>
              <w:ind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№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211" w:type="dxa"/>
            <w:vAlign w:val="center"/>
            <w:textDirection w:val="lrTb"/>
            <w:noWrap w:val="false"/>
          </w:tcPr>
          <w:p>
            <w:pPr>
              <w:pBdr/>
              <w:shd w:val="clear" w:color="auto" w:fill="ffffff"/>
              <w:spacing/>
              <w:ind w:left="5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Наименование Программы (наименование передаваемых неисключительных прав)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47" w:type="dxa"/>
            <w:vAlign w:val="center"/>
            <w:textDirection w:val="lrTb"/>
            <w:noWrap w:val="false"/>
          </w:tcPr>
          <w:p>
            <w:pPr>
              <w:pBdr/>
              <w:shd w:val="clear" w:color="auto" w:fill="ffffff"/>
              <w:spacing/>
              <w:ind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Ед. изм.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811" w:type="dxa"/>
            <w:vAlign w:val="center"/>
            <w:textDirection w:val="lrTb"/>
            <w:noWrap w:val="false"/>
          </w:tcPr>
          <w:p>
            <w:pPr>
              <w:pBdr/>
              <w:shd w:val="clear" w:color="auto" w:fill="ffffff"/>
              <w:spacing/>
              <w:ind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-5"/>
                <w:sz w:val="20"/>
                <w:szCs w:val="20"/>
              </w:rPr>
              <w:t xml:space="preserve">Количе-ство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440" w:type="dxa"/>
            <w:vAlign w:val="center"/>
            <w:textDirection w:val="lrTb"/>
            <w:noWrap w:val="false"/>
          </w:tcPr>
          <w:p>
            <w:pPr>
              <w:pBdr/>
              <w:shd w:val="clear" w:color="auto" w:fill="ffffff"/>
              <w:spacing/>
              <w:ind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Цена </w:t>
            </w:r>
            <w:r>
              <w:rPr>
                <w:i/>
                <w:iCs/>
                <w:color w:val="000000"/>
                <w:sz w:val="20"/>
                <w:szCs w:val="20"/>
              </w:rPr>
              <w:br/>
              <w:t xml:space="preserve">за ед., руб.</w:t>
            </w: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483" w:type="dxa"/>
            <w:vAlign w:val="center"/>
            <w:textDirection w:val="lrTb"/>
            <w:noWrap w:val="false"/>
          </w:tcPr>
          <w:p>
            <w:pPr>
              <w:pBdr/>
              <w:shd w:val="clear" w:color="auto" w:fill="ffffff"/>
              <w:spacing/>
              <w:ind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Сумма,</w:t>
            </w:r>
            <w:r>
              <w:rPr>
                <w:i/>
                <w:iCs/>
                <w:color w:val="000000"/>
                <w:sz w:val="20"/>
                <w:szCs w:val="20"/>
              </w:rPr>
              <w:br/>
              <w:t xml:space="preserve">руб.</w:t>
            </w:r>
            <w:r>
              <w:rPr>
                <w:i/>
                <w:iCs/>
                <w:sz w:val="20"/>
                <w:szCs w:val="20"/>
              </w:rPr>
            </w:r>
          </w:p>
        </w:tc>
      </w:tr>
      <w:tr>
        <w:trPr/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833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pBdr/>
              <w:shd w:val="clear" w:color="auto" w:fill="ffffff"/>
              <w:spacing/>
              <w:ind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211" w:type="dxa"/>
            <w:vAlign w:val="center"/>
            <w:textDirection w:val="lrTb"/>
            <w:noWrap w:val="false"/>
          </w:tcPr>
          <w:p>
            <w:pPr>
              <w:pBdr/>
              <w:shd w:val="clear" w:color="auto" w:fill="ffffff"/>
              <w:spacing w:line="221" w:lineRule="exact"/>
              <w:ind w:right="149" w:firstLine="1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Неисключительные пользовательские права на программу для ЭВМ "Диплом-стандарт ФГОС СПО" на 1 год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47" w:type="dxa"/>
            <w:vAlign w:val="center"/>
            <w:textDirection w:val="lrTb"/>
            <w:noWrap w:val="false"/>
          </w:tcPr>
          <w:p>
            <w:pPr>
              <w:pBdr/>
              <w:shd w:val="clear" w:color="auto" w:fill="ffffff"/>
              <w:spacing/>
              <w:ind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811" w:type="dxa"/>
            <w:vAlign w:val="center"/>
            <w:textDirection w:val="lrTb"/>
            <w:noWrap w:val="false"/>
          </w:tcPr>
          <w:p>
            <w:pPr>
              <w:pBdr/>
              <w:shd w:val="clear" w:color="auto" w:fill="ffffff"/>
              <w:spacing/>
              <w:ind w:left="1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440" w:type="dxa"/>
            <w:vAlign w:val="center"/>
            <w:textDirection w:val="lrTb"/>
            <w:noWrap w:val="false"/>
          </w:tcPr>
          <w:p>
            <w:pPr>
              <w:pBdr/>
              <w:shd w:val="clear" w:color="auto" w:fill="ffffff"/>
              <w:spacing/>
              <w:ind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483" w:type="dxa"/>
            <w:vAlign w:val="center"/>
            <w:textDirection w:val="lrTb"/>
            <w:noWrap w:val="false"/>
          </w:tcPr>
          <w:p>
            <w:pPr>
              <w:pBdr/>
              <w:shd w:val="clear" w:color="auto" w:fill="ffffff"/>
              <w:spacing/>
              <w:ind w:right="2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Общая сумма переданных Сублицензиату неисключительных пользовательских прав (сумма вознаграждения Лицензиата) по Договору №</w:t>
      </w:r>
      <w:r>
        <w:rPr>
          <w:sz w:val="20"/>
          <w:szCs w:val="20"/>
        </w:rPr>
        <w:t xml:space="preserve">___________________________________________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Сублицензиат получил неисключительные пользовательские права, после чего Сублицензиат установил Программы на компьюте</w:t>
      </w:r>
      <w:r>
        <w:rPr>
          <w:sz w:val="20"/>
          <w:szCs w:val="20"/>
        </w:rPr>
        <w:t xml:space="preserve">р(</w:t>
      </w:r>
      <w:r>
        <w:rPr>
          <w:sz w:val="20"/>
          <w:szCs w:val="20"/>
        </w:rPr>
        <w:t xml:space="preserve">ы) и получил код(ы) активации Программ(ы). 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Сублицензиат подтверждает, что Программы (переданны</w:t>
      </w:r>
      <w:r>
        <w:rPr>
          <w:sz w:val="20"/>
          <w:szCs w:val="20"/>
        </w:rPr>
        <w:t xml:space="preserve">е неисключительные права) надлежащего качества, претензий к качеству Программ, количеству и ассортименту переданных неисключительных прав не имеет. Назначение и объем возможностей Программ, их техническая реализация соответствуют требованиям Сублицензиата.</w:t>
      </w:r>
      <w:r>
        <w:rPr>
          <w:sz w:val="20"/>
          <w:szCs w:val="20"/>
        </w:rPr>
      </w:r>
    </w:p>
    <w:p>
      <w:pPr>
        <w:pStyle w:val="702"/>
        <w:pBdr/>
        <w:spacing w:after="0" w:before="0" w:before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Настоящий акт является основанием для расчетов между Сторонами в порядке, предусмотренном Договором.</w:t>
      </w:r>
      <w:r>
        <w:rPr>
          <w:sz w:val="20"/>
          <w:szCs w:val="20"/>
        </w:rPr>
      </w:r>
    </w:p>
    <w:p>
      <w:pPr>
        <w:pStyle w:val="693"/>
        <w:pBdr/>
        <w:spacing w:before="120"/>
        <w:ind/>
        <w:jc w:val="left"/>
        <w:rPr>
          <w:b w:val="0"/>
          <w:bCs w:val="0"/>
          <w:i/>
          <w:iCs/>
          <w:sz w:val="20"/>
          <w:szCs w:val="20"/>
        </w:rPr>
      </w:pPr>
      <w:r>
        <w:rPr>
          <w:b w:val="0"/>
          <w:bCs w:val="0"/>
          <w:i/>
          <w:iCs/>
          <w:sz w:val="20"/>
          <w:szCs w:val="20"/>
        </w:rPr>
        <w:t xml:space="preserve">Подписи Сторон:</w:t>
      </w:r>
      <w:r>
        <w:rPr>
          <w:b w:val="0"/>
          <w:bCs w:val="0"/>
          <w:i/>
          <w:iCs/>
          <w:sz w:val="20"/>
          <w:szCs w:val="20"/>
        </w:rPr>
      </w:r>
    </w:p>
    <w:tbl>
      <w:tblPr>
        <w:tblW w:w="0" w:type="auto"/>
        <w:tblInd w:w="2" w:type="dxa"/>
        <w:tblBorders/>
        <w:tblLook w:val="01E0" w:firstRow="1" w:lastRow="1" w:firstColumn="1" w:lastColumn="1" w:noHBand="0" w:noVBand="0"/>
      </w:tblPr>
      <w:tblGrid>
        <w:gridCol w:w="4784"/>
        <w:gridCol w:w="4785"/>
      </w:tblGrid>
      <w:tr>
        <w:trPr>
          <w:trHeight w:val="71"/>
        </w:trPr>
        <w:tc>
          <w:tcPr>
            <w:tcBorders/>
            <w:tcW w:w="478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Лицензиат:</w:t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/>
            <w:tcW w:w="4786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Сублицензиат:</w:t>
            </w:r>
            <w:r>
              <w:rPr>
                <w:b/>
                <w:bCs/>
                <w:sz w:val="20"/>
                <w:szCs w:val="20"/>
              </w:rPr>
              <w:tab/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САНКТ-ПЕТЕРБУРГСКОЕ ГОСУДАРСТВЕННОЕ БЮДЖЕТНОЕ ПРОФЕССИОНАЛЬНОЕ ОБРАЗОВАТЕЛЬНОЕ УЧРЕЖДЕНИЕ "САНКТ-ПЕТЕРБУРГСКОЕ МУЗЫКАЛЬНОЕ УЧИЛИЩЕ ИМЕНИ Н.А. РИМСКОГО-КОРСАКОВА"</w:t>
            </w:r>
            <w:r>
              <w:rPr>
                <w:sz w:val="20"/>
                <w:szCs w:val="20"/>
              </w:rPr>
            </w:r>
          </w:p>
          <w:p>
            <w:pPr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____________________ (К.А. Архипов)</w:t>
            </w:r>
            <w:r>
              <w:rPr>
                <w:sz w:val="20"/>
                <w:szCs w:val="20"/>
              </w:rPr>
            </w:r>
          </w:p>
          <w:p>
            <w:pPr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М.П.</w:t>
            </w:r>
            <w:bookmarkEnd w:id="0"/>
            <w:r>
              <w:rPr>
                <w:sz w:val="20"/>
                <w:szCs w:val="20"/>
              </w:rPr>
            </w:r>
          </w:p>
        </w:tc>
      </w:tr>
    </w:tbl>
    <w:p>
      <w:pPr>
        <w:pStyle w:val="702"/>
        <w:pBdr/>
        <w:spacing w:after="0"/>
        <w:ind w:firstLine="567"/>
        <w:jc w:val="right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sectPr>
      <w:headerReference w:type="default" r:id="rId10"/>
      <w:footnotePr/>
      <w:endnotePr/>
      <w:type w:val="nextPage"/>
      <w:pgSz w:h="16838" w:orient="landscape" w:w="11906"/>
      <w:pgMar w:top="1276" w:right="850" w:bottom="1134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Cambria">
    <w:panose1 w:val="0204050305040603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05"/>
      <w:pBdr>
        <w:bottom w:val="single" w:color="000000" w:sz="4" w:space="1"/>
      </w:pBdr>
      <w:spacing/>
      <w:ind/>
      <w:rPr>
        <w:i/>
        <w:iCs/>
        <w:sz w:val="20"/>
        <w:szCs w:val="20"/>
      </w:rPr>
    </w:pPr>
    <w:r>
      <w:rPr>
        <w:i/>
        <w:iCs/>
        <w:sz w:val="20"/>
        <w:szCs w:val="20"/>
      </w:rPr>
    </w:r>
    <w:r>
      <w:rPr>
        <w:i/>
        <w:iCs/>
        <w:sz w:val="20"/>
        <w:szCs w:val="2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05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570"/>
        </w:tabs>
        <w:spacing/>
        <w:ind w:hanging="570" w:left="570"/>
      </w:pPr>
      <w:rPr>
        <w:rFonts w:hint="default"/>
      </w:rPr>
      <w:start w:val="1"/>
      <w:suff w:val="space"/>
    </w:lvl>
    <w:lvl w:ilvl="1">
      <w:isLgl w:val="false"/>
      <w:lvlJc w:val="left"/>
      <w:lvlText w:val="%1.%2."/>
      <w:numFmt w:val="decimal"/>
      <w:pPr>
        <w:pBdr/>
        <w:tabs>
          <w:tab w:val="num" w:leader="none" w:pos="720"/>
        </w:tabs>
        <w:spacing/>
        <w:ind w:hanging="720" w:left="720"/>
      </w:pPr>
      <w:rPr>
        <w:rFonts w:hint="default"/>
      </w:rPr>
      <w:start w:val="1"/>
      <w:suff w:val="space"/>
    </w:lvl>
    <w:lvl w:ilvl="2">
      <w:isLgl w:val="false"/>
      <w:lvlJc w:val="left"/>
      <w:lvlText w:val="%1.%2.%3."/>
      <w:numFmt w:val="decimal"/>
      <w:pPr>
        <w:pBdr/>
        <w:tabs>
          <w:tab w:val="num" w:leader="none" w:pos="720"/>
        </w:tabs>
        <w:spacing/>
        <w:ind w:hanging="720" w:left="720"/>
      </w:pPr>
      <w:rPr>
        <w:rFonts w:hint="default"/>
      </w:rPr>
      <w:start w:val="1"/>
      <w:suff w:val="space"/>
    </w:lvl>
    <w:lvl w:ilvl="3">
      <w:isLgl w:val="false"/>
      <w:lvlJc w:val="left"/>
      <w:lvlText w:val="%1.%2.%3.%4."/>
      <w:numFmt w:val="decimal"/>
      <w:pPr>
        <w:pBdr/>
        <w:tabs>
          <w:tab w:val="num" w:leader="none" w:pos="1080"/>
        </w:tabs>
        <w:spacing/>
        <w:ind w:hanging="1080" w:left="1080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tabs>
          <w:tab w:val="num" w:leader="none" w:pos="1080"/>
        </w:tabs>
        <w:spacing/>
        <w:ind w:hanging="1080" w:left="1080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1440"/>
        </w:tabs>
        <w:spacing/>
        <w:ind w:hanging="1440" w:left="1440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1440"/>
        </w:tabs>
        <w:spacing/>
        <w:ind w:hanging="1440" w:left="1440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1800"/>
        </w:tabs>
        <w:spacing/>
        <w:ind w:hanging="1800" w:left="1800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1800"/>
        </w:tabs>
        <w:spacing/>
        <w:ind w:hanging="1800" w:left="1800"/>
      </w:pPr>
      <w:rPr>
        <w:rFonts w:hint="default"/>
      </w:rPr>
      <w:start w:val="1"/>
      <w:suff w:val="space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>
        <w:i w:val="0"/>
        <w:iCs w:val="0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space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570"/>
        </w:tabs>
        <w:spacing/>
        <w:ind w:hanging="570" w:left="570"/>
      </w:pPr>
      <w:rPr>
        <w:rFonts w:hint="default"/>
      </w:rPr>
      <w:start w:val="4"/>
      <w:suff w:val="space"/>
    </w:lvl>
    <w:lvl w:ilvl="1">
      <w:isLgl w:val="false"/>
      <w:lvlJc w:val="left"/>
      <w:lvlText w:val="%1.%2."/>
      <w:numFmt w:val="decimal"/>
      <w:pPr>
        <w:pBdr/>
        <w:tabs>
          <w:tab w:val="num" w:leader="none" w:pos="720"/>
        </w:tabs>
        <w:spacing/>
        <w:ind w:hanging="720" w:left="720"/>
      </w:pPr>
      <w:rPr>
        <w:rFonts w:hint="default"/>
      </w:rPr>
      <w:start w:val="1"/>
      <w:suff w:val="space"/>
    </w:lvl>
    <w:lvl w:ilvl="2">
      <w:isLgl w:val="false"/>
      <w:lvlJc w:val="left"/>
      <w:lvlText w:val="%1.%2.%3."/>
      <w:numFmt w:val="decimal"/>
      <w:pPr>
        <w:pBdr/>
        <w:tabs>
          <w:tab w:val="num" w:leader="none" w:pos="720"/>
        </w:tabs>
        <w:spacing/>
        <w:ind w:hanging="720" w:left="720"/>
      </w:pPr>
      <w:rPr>
        <w:rFonts w:hint="default"/>
      </w:rPr>
      <w:start w:val="1"/>
      <w:suff w:val="space"/>
    </w:lvl>
    <w:lvl w:ilvl="3">
      <w:isLgl w:val="false"/>
      <w:lvlJc w:val="left"/>
      <w:lvlText w:val="%1.%2.%3.%4."/>
      <w:numFmt w:val="decimal"/>
      <w:pPr>
        <w:pBdr/>
        <w:tabs>
          <w:tab w:val="num" w:leader="none" w:pos="1080"/>
        </w:tabs>
        <w:spacing/>
        <w:ind w:hanging="1080" w:left="1080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tabs>
          <w:tab w:val="num" w:leader="none" w:pos="1080"/>
        </w:tabs>
        <w:spacing/>
        <w:ind w:hanging="1080" w:left="1080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1440"/>
        </w:tabs>
        <w:spacing/>
        <w:ind w:hanging="1440" w:left="1440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1440"/>
        </w:tabs>
        <w:spacing/>
        <w:ind w:hanging="1440" w:left="1440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1800"/>
        </w:tabs>
        <w:spacing/>
        <w:ind w:hanging="1800" w:left="1800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1800"/>
        </w:tabs>
        <w:spacing/>
        <w:ind w:hanging="1800" w:left="1800"/>
      </w:pPr>
      <w:rPr>
        <w:rFonts w:hint="default"/>
      </w:rPr>
      <w:start w:val="1"/>
      <w:suff w:val="space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570"/>
        </w:tabs>
        <w:spacing/>
        <w:ind w:hanging="570" w:left="570"/>
      </w:pPr>
      <w:rPr>
        <w:rFonts w:hint="default"/>
      </w:rPr>
      <w:start w:val="5"/>
      <w:suff w:val="space"/>
    </w:lvl>
    <w:lvl w:ilvl="1">
      <w:isLgl w:val="false"/>
      <w:lvlJc w:val="left"/>
      <w:lvlText w:val="%1.%2."/>
      <w:numFmt w:val="decimal"/>
      <w:pPr>
        <w:pBdr/>
        <w:tabs>
          <w:tab w:val="num" w:leader="none" w:pos="720"/>
        </w:tabs>
        <w:spacing/>
        <w:ind w:hanging="720" w:left="720"/>
      </w:pPr>
      <w:rPr>
        <w:rFonts w:hint="default"/>
      </w:rPr>
      <w:start w:val="1"/>
      <w:suff w:val="space"/>
    </w:lvl>
    <w:lvl w:ilvl="2">
      <w:isLgl w:val="false"/>
      <w:lvlJc w:val="left"/>
      <w:lvlText w:val="%1.%2.%3."/>
      <w:numFmt w:val="decimal"/>
      <w:pPr>
        <w:pBdr/>
        <w:tabs>
          <w:tab w:val="num" w:leader="none" w:pos="720"/>
        </w:tabs>
        <w:spacing/>
        <w:ind w:hanging="720" w:left="720"/>
      </w:pPr>
      <w:rPr>
        <w:rFonts w:hint="default"/>
      </w:rPr>
      <w:start w:val="1"/>
      <w:suff w:val="space"/>
    </w:lvl>
    <w:lvl w:ilvl="3">
      <w:isLgl w:val="false"/>
      <w:lvlJc w:val="left"/>
      <w:lvlText w:val="%1.%2.%3.%4."/>
      <w:numFmt w:val="decimal"/>
      <w:pPr>
        <w:pBdr/>
        <w:tabs>
          <w:tab w:val="num" w:leader="none" w:pos="1080"/>
        </w:tabs>
        <w:spacing/>
        <w:ind w:hanging="1080" w:left="1080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tabs>
          <w:tab w:val="num" w:leader="none" w:pos="1080"/>
        </w:tabs>
        <w:spacing/>
        <w:ind w:hanging="1080" w:left="1080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1440"/>
        </w:tabs>
        <w:spacing/>
        <w:ind w:hanging="1440" w:left="1440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1440"/>
        </w:tabs>
        <w:spacing/>
        <w:ind w:hanging="1440" w:left="1440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1800"/>
        </w:tabs>
        <w:spacing/>
        <w:ind w:hanging="1800" w:left="1800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1800"/>
        </w:tabs>
        <w:spacing/>
        <w:ind w:hanging="1800" w:left="1800"/>
      </w:pPr>
      <w:rPr>
        <w:rFonts w:hint="default"/>
      </w:rPr>
      <w:start w:val="1"/>
      <w:suff w:val="space"/>
    </w:lvl>
  </w:abstractNum>
  <w:abstractNum w:abstractNumId="4">
    <w:lvl w:ilvl="0">
      <w:isLgl w:val="false"/>
      <w:legacy w:legacy="true" w:legacyIndent="417" w:legacySpace="0"/>
      <w:lvlJc w:val="left"/>
      <w:lvlText w:val="4.%1."/>
      <w:numFmt w:val="decimal"/>
      <w:pPr>
        <w:pBdr/>
        <w:spacing/>
        <w:ind/>
      </w:pPr>
      <w:rPr>
        <w:rFonts w:hint="default" w:ascii="Times New Roman" w:hAnsi="Times New Roman" w:cs="Times New Roman"/>
      </w:rPr>
      <w:start w:val="2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space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space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space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space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>
        <w:i w:val="0"/>
        <w:iCs w:val="0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space"/>
    </w:lvl>
  </w:abstractNum>
  <w:abstractNum w:abstractNumId="6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>
        <w:i w:val="0"/>
        <w:iCs w:val="0"/>
        <w:sz w:val="20"/>
        <w:szCs w:val="20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space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rPr>
        <w:rFonts w:hint="default"/>
        <w:b/>
        <w:bCs/>
        <w:i w:val="0"/>
        <w:iCs w:val="0"/>
      </w:rPr>
      <w:start w:val="6"/>
      <w:suff w:val="space"/>
    </w:lvl>
    <w:lvl w:ilvl="1">
      <w:isLgl w:val="false"/>
      <w:lvlJc w:val="left"/>
      <w:lvlText w:val="%1.%2."/>
      <w:numFmt w:val="decimal"/>
      <w:pPr>
        <w:pBdr/>
        <w:tabs>
          <w:tab w:val="num" w:leader="none" w:pos="792"/>
        </w:tabs>
        <w:spacing/>
        <w:ind w:hanging="432" w:left="792"/>
      </w:pPr>
      <w:rPr>
        <w:rFonts w:hint="default"/>
        <w:b w:val="0"/>
        <w:bCs w:val="0"/>
        <w:i w:val="0"/>
        <w:iCs w:val="0"/>
      </w:rPr>
      <w:start w:val="1"/>
      <w:suff w:val="space"/>
    </w:lvl>
    <w:lvl w:ilvl="2">
      <w:isLgl w:val="false"/>
      <w:lvlJc w:val="left"/>
      <w:lvlText w:val="%1.%2.%3."/>
      <w:numFmt w:val="decimal"/>
      <w:pPr>
        <w:pBdr/>
        <w:tabs>
          <w:tab w:val="num" w:leader="none" w:pos="1440"/>
        </w:tabs>
        <w:spacing/>
        <w:ind w:hanging="504" w:left="1224"/>
      </w:pPr>
      <w:rPr>
        <w:rFonts w:hint="default"/>
        <w:i w:val="0"/>
        <w:iCs w:val="0"/>
      </w:rPr>
      <w:start w:val="1"/>
      <w:suff w:val="space"/>
    </w:lvl>
    <w:lvl w:ilvl="3">
      <w:isLgl w:val="false"/>
      <w:lvlJc w:val="left"/>
      <w:lvlText w:val="%1.%2.%3.%4."/>
      <w:numFmt w:val="decimal"/>
      <w:pPr>
        <w:pBdr/>
        <w:tabs>
          <w:tab w:val="num" w:leader="none" w:pos="1800"/>
        </w:tabs>
        <w:spacing/>
        <w:ind w:hanging="648" w:left="1728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tabs>
          <w:tab w:val="num" w:leader="none" w:pos="2520"/>
        </w:tabs>
        <w:spacing/>
        <w:ind w:hanging="792" w:left="2232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2880"/>
        </w:tabs>
        <w:spacing/>
        <w:ind w:hanging="936" w:left="2736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3600"/>
        </w:tabs>
        <w:spacing/>
        <w:ind w:hanging="1080" w:left="3240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3960"/>
        </w:tabs>
        <w:spacing/>
        <w:ind w:hanging="1224" w:left="3744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4680"/>
        </w:tabs>
        <w:spacing/>
        <w:ind w:hanging="1440" w:left="4320"/>
      </w:pPr>
      <w:rPr>
        <w:rFonts w:hint="default"/>
      </w:rPr>
      <w:start w:val="1"/>
      <w:suff w:val="space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rPr>
        <w:rFonts w:hint="default"/>
      </w:rPr>
      <w:start w:val="6"/>
      <w:suff w:val="space"/>
    </w:lvl>
    <w:lvl w:ilvl="1">
      <w:isLgl w:val="false"/>
      <w:lvlJc w:val="left"/>
      <w:lvlText w:val="%1.%2."/>
      <w:numFmt w:val="decimal"/>
      <w:pPr>
        <w:pBdr/>
        <w:tabs>
          <w:tab w:val="num" w:leader="none" w:pos="792"/>
        </w:tabs>
        <w:spacing/>
        <w:ind w:hanging="432" w:left="792"/>
      </w:pPr>
      <w:rPr>
        <w:rFonts w:hint="default"/>
      </w:rPr>
      <w:start w:val="6"/>
      <w:suff w:val="space"/>
    </w:lvl>
    <w:lvl w:ilvl="2">
      <w:isLgl w:val="false"/>
      <w:lvlJc w:val="left"/>
      <w:lvlText w:val="%1.%2.%3."/>
      <w:numFmt w:val="decimal"/>
      <w:pPr>
        <w:pBdr/>
        <w:tabs>
          <w:tab w:val="num" w:leader="none" w:pos="1440"/>
        </w:tabs>
        <w:spacing/>
        <w:ind w:hanging="504" w:left="1224"/>
      </w:pPr>
      <w:rPr>
        <w:rFonts w:hint="default"/>
        <w:i w:val="0"/>
        <w:iCs w:val="0"/>
      </w:rPr>
      <w:start w:val="1"/>
      <w:suff w:val="space"/>
    </w:lvl>
    <w:lvl w:ilvl="3">
      <w:isLgl w:val="false"/>
      <w:lvlJc w:val="left"/>
      <w:lvlText w:val="%1.%2.%3.%4."/>
      <w:numFmt w:val="decimal"/>
      <w:pPr>
        <w:pBdr/>
        <w:tabs>
          <w:tab w:val="num" w:leader="none" w:pos="1800"/>
        </w:tabs>
        <w:spacing/>
        <w:ind w:hanging="648" w:left="1728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tabs>
          <w:tab w:val="num" w:leader="none" w:pos="2520"/>
        </w:tabs>
        <w:spacing/>
        <w:ind w:hanging="792" w:left="2232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2880"/>
        </w:tabs>
        <w:spacing/>
        <w:ind w:hanging="936" w:left="2736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3600"/>
        </w:tabs>
        <w:spacing/>
        <w:ind w:hanging="1080" w:left="3240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3960"/>
        </w:tabs>
        <w:spacing/>
        <w:ind w:hanging="1224" w:left="3744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4680"/>
        </w:tabs>
        <w:spacing/>
        <w:ind w:hanging="1440" w:left="4320"/>
      </w:pPr>
      <w:rPr>
        <w:rFonts w:hint="default"/>
      </w:rPr>
      <w:start w:val="1"/>
      <w:suff w:val="space"/>
    </w:lvl>
  </w:abstractNum>
  <w:num w:numId="1">
    <w:abstractNumId w:val="4"/>
    <w:lvlOverride w:ilvl="0">
      <w:startOverride w:val="2"/>
    </w:lvlOverride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1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doNotHyphenateCap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95"/>
    <w:link w:val="692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95"/>
    <w:link w:val="693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18">
    <w:name w:val="Heading 3 Char"/>
    <w:basedOn w:val="695"/>
    <w:link w:val="694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19">
    <w:name w:val="Heading 4"/>
    <w:basedOn w:val="691"/>
    <w:next w:val="691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95"/>
    <w:link w:val="1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91"/>
    <w:next w:val="691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95"/>
    <w:link w:val="2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91"/>
    <w:next w:val="691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95"/>
    <w:link w:val="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91"/>
    <w:next w:val="691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95"/>
    <w:link w:val="2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91"/>
    <w:next w:val="691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95"/>
    <w:link w:val="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91"/>
    <w:next w:val="691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95"/>
    <w:link w:val="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91"/>
    <w:uiPriority w:val="34"/>
    <w:qFormat/>
    <w:pPr>
      <w:pBdr/>
      <w:spacing/>
      <w:ind w:left="720"/>
      <w:contextualSpacing w:val="true"/>
    </w:pPr>
  </w:style>
  <w:style w:type="paragraph" w:styleId="33">
    <w:name w:val="No Spacing"/>
    <w:uiPriority w:val="1"/>
    <w:qFormat/>
    <w:pPr>
      <w:pBdr/>
      <w:spacing w:after="0" w:before="0" w:line="240" w:lineRule="auto"/>
      <w:ind/>
    </w:pPr>
  </w:style>
  <w:style w:type="paragraph" w:styleId="34">
    <w:name w:val="Title"/>
    <w:basedOn w:val="691"/>
    <w:next w:val="691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695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91"/>
    <w:next w:val="691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695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91"/>
    <w:next w:val="691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91"/>
    <w:next w:val="691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character" w:styleId="43">
    <w:name w:val="Header Char"/>
    <w:basedOn w:val="695"/>
    <w:link w:val="705"/>
    <w:uiPriority w:val="99"/>
    <w:pPr>
      <w:pBdr/>
      <w:spacing/>
      <w:ind/>
    </w:pPr>
  </w:style>
  <w:style w:type="character" w:styleId="45">
    <w:name w:val="Footer Char"/>
    <w:basedOn w:val="695"/>
    <w:link w:val="707"/>
    <w:uiPriority w:val="99"/>
    <w:pPr>
      <w:pBdr/>
      <w:spacing/>
      <w:ind/>
    </w:pPr>
  </w:style>
  <w:style w:type="paragraph" w:styleId="46">
    <w:name w:val="Caption"/>
    <w:basedOn w:val="691"/>
    <w:next w:val="691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07"/>
    <w:uiPriority w:val="99"/>
    <w:pPr>
      <w:pBdr/>
      <w:spacing/>
      <w:ind/>
    </w:pPr>
  </w:style>
  <w:style w:type="table" w:styleId="48">
    <w:name w:val="Table Grid"/>
    <w:basedOn w:val="69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Table Grid Light"/>
    <w:basedOn w:val="69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9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9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9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9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9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9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9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9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9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9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9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9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9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9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9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9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9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9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9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9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9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9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9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9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75">
    <w:name w:val="footnote text"/>
    <w:basedOn w:val="691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695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91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695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91"/>
    <w:next w:val="691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91"/>
    <w:next w:val="691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91"/>
    <w:next w:val="691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91"/>
    <w:next w:val="691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91"/>
    <w:next w:val="691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91"/>
    <w:next w:val="691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91"/>
    <w:next w:val="691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91"/>
    <w:next w:val="691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91"/>
    <w:next w:val="691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91"/>
    <w:next w:val="691"/>
    <w:uiPriority w:val="99"/>
    <w:unhideWhenUsed/>
    <w:pPr>
      <w:pBdr/>
      <w:spacing w:after="0" w:afterAutospacing="0"/>
      <w:ind/>
    </w:pPr>
  </w:style>
  <w:style w:type="paragraph" w:styleId="691" w:default="1">
    <w:name w:val="Normal"/>
    <w:qFormat/>
    <w:pPr>
      <w:pBdr/>
      <w:spacing/>
      <w:ind/>
    </w:pPr>
    <w:rPr>
      <w:sz w:val="24"/>
      <w:szCs w:val="24"/>
    </w:rPr>
  </w:style>
  <w:style w:type="paragraph" w:styleId="692">
    <w:name w:val="Heading 1"/>
    <w:basedOn w:val="691"/>
    <w:next w:val="691"/>
    <w:link w:val="698"/>
    <w:uiPriority w:val="99"/>
    <w:qFormat/>
    <w:pPr>
      <w:keepNext w:val="true"/>
      <w:pBdr/>
      <w:spacing w:after="60" w:before="240"/>
      <w:ind/>
      <w:outlineLvl w:val="0"/>
    </w:pPr>
    <w:rPr>
      <w:rFonts w:ascii="Arial" w:hAnsi="Arial" w:cs="Arial"/>
      <w:b/>
      <w:bCs/>
      <w:sz w:val="32"/>
      <w:szCs w:val="32"/>
    </w:rPr>
  </w:style>
  <w:style w:type="paragraph" w:styleId="693">
    <w:name w:val="Heading 2"/>
    <w:basedOn w:val="691"/>
    <w:link w:val="699"/>
    <w:uiPriority w:val="99"/>
    <w:qFormat/>
    <w:pPr>
      <w:keepNext w:val="true"/>
      <w:pBdr/>
      <w:spacing w:after="28" w:before="28"/>
      <w:ind/>
      <w:jc w:val="center"/>
      <w:outlineLvl w:val="1"/>
    </w:pPr>
    <w:rPr>
      <w:b/>
      <w:bCs/>
      <w:color w:val="000000"/>
      <w:sz w:val="26"/>
      <w:szCs w:val="26"/>
    </w:rPr>
  </w:style>
  <w:style w:type="paragraph" w:styleId="694">
    <w:name w:val="Heading 3"/>
    <w:basedOn w:val="691"/>
    <w:link w:val="700"/>
    <w:uiPriority w:val="99"/>
    <w:qFormat/>
    <w:pPr>
      <w:keepNext w:val="true"/>
      <w:pBdr/>
      <w:spacing w:after="28" w:before="28"/>
      <w:ind/>
      <w:jc w:val="center"/>
      <w:outlineLvl w:val="2"/>
    </w:pPr>
    <w:rPr>
      <w:b/>
      <w:bCs/>
      <w:color w:val="000000"/>
      <w:sz w:val="22"/>
      <w:szCs w:val="22"/>
    </w:rPr>
  </w:style>
  <w:style w:type="character" w:styleId="695" w:default="1">
    <w:name w:val="Default Paragraph Font"/>
    <w:uiPriority w:val="1"/>
    <w:semiHidden/>
    <w:unhideWhenUsed/>
    <w:pPr>
      <w:pBdr/>
      <w:spacing/>
      <w:ind/>
    </w:pPr>
  </w:style>
  <w:style w:type="table" w:styleId="69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97" w:default="1">
    <w:name w:val="No List"/>
    <w:uiPriority w:val="99"/>
    <w:semiHidden/>
    <w:unhideWhenUsed/>
    <w:pPr>
      <w:pBdr/>
      <w:spacing/>
      <w:ind/>
    </w:pPr>
  </w:style>
  <w:style w:type="character" w:styleId="698" w:customStyle="1">
    <w:name w:val="Заголовок 1 Знак"/>
    <w:link w:val="692"/>
    <w:uiPriority w:val="99"/>
    <w:pPr>
      <w:pBdr/>
      <w:spacing/>
      <w:ind/>
    </w:pPr>
    <w:rPr>
      <w:rFonts w:ascii="Cambria" w:hAnsi="Cambria" w:cs="Cambria"/>
      <w:b/>
      <w:bCs/>
      <w:sz w:val="32"/>
      <w:szCs w:val="32"/>
    </w:rPr>
  </w:style>
  <w:style w:type="character" w:styleId="699" w:customStyle="1">
    <w:name w:val="Заголовок 2 Знак"/>
    <w:link w:val="693"/>
    <w:uiPriority w:val="99"/>
    <w:pPr>
      <w:pBdr/>
      <w:spacing/>
      <w:ind/>
    </w:pPr>
    <w:rPr>
      <w:b/>
      <w:bCs/>
      <w:color w:val="000000"/>
      <w:sz w:val="26"/>
      <w:szCs w:val="26"/>
      <w:lang w:val="ru-RU" w:eastAsia="ru-RU"/>
    </w:rPr>
  </w:style>
  <w:style w:type="character" w:styleId="700" w:customStyle="1">
    <w:name w:val="Заголовок 3 Знак"/>
    <w:link w:val="694"/>
    <w:uiPriority w:val="99"/>
    <w:semiHidden/>
    <w:pPr>
      <w:pBdr/>
      <w:spacing/>
      <w:ind/>
    </w:pPr>
    <w:rPr>
      <w:rFonts w:ascii="Cambria" w:hAnsi="Cambria" w:cs="Cambria"/>
      <w:b/>
      <w:bCs/>
      <w:sz w:val="26"/>
      <w:szCs w:val="26"/>
    </w:rPr>
  </w:style>
  <w:style w:type="character" w:styleId="701">
    <w:name w:val="Hyperlink"/>
    <w:uiPriority w:val="99"/>
    <w:pPr>
      <w:pBdr/>
      <w:spacing/>
      <w:ind/>
    </w:pPr>
    <w:rPr>
      <w:color w:val="000080"/>
      <w:u w:val="single"/>
    </w:rPr>
  </w:style>
  <w:style w:type="paragraph" w:styleId="702">
    <w:name w:val="Normal (Web)"/>
    <w:basedOn w:val="691"/>
    <w:uiPriority w:val="99"/>
    <w:pPr>
      <w:pBdr/>
      <w:spacing w:after="119" w:before="100" w:beforeAutospacing="1"/>
      <w:ind/>
    </w:pPr>
  </w:style>
  <w:style w:type="paragraph" w:styleId="703">
    <w:name w:val="Body Text"/>
    <w:basedOn w:val="691"/>
    <w:link w:val="704"/>
    <w:uiPriority w:val="99"/>
    <w:pPr>
      <w:pBdr/>
      <w:spacing/>
      <w:ind/>
      <w:jc w:val="center"/>
    </w:pPr>
    <w:rPr>
      <w:b/>
      <w:bCs/>
      <w:sz w:val="28"/>
      <w:szCs w:val="28"/>
    </w:rPr>
  </w:style>
  <w:style w:type="character" w:styleId="704" w:customStyle="1">
    <w:name w:val="Основной текст Знак"/>
    <w:link w:val="703"/>
    <w:uiPriority w:val="99"/>
    <w:semiHidden/>
    <w:pPr>
      <w:pBdr/>
      <w:spacing/>
      <w:ind/>
    </w:pPr>
    <w:rPr>
      <w:sz w:val="24"/>
      <w:szCs w:val="24"/>
    </w:rPr>
  </w:style>
  <w:style w:type="paragraph" w:styleId="705">
    <w:name w:val="Header"/>
    <w:basedOn w:val="691"/>
    <w:link w:val="706"/>
    <w:uiPriority w:val="99"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706" w:customStyle="1">
    <w:name w:val="Верхний колонтитул Знак"/>
    <w:link w:val="705"/>
    <w:uiPriority w:val="99"/>
    <w:pPr>
      <w:pBdr/>
      <w:spacing/>
      <w:ind/>
    </w:pPr>
    <w:rPr>
      <w:sz w:val="24"/>
      <w:szCs w:val="24"/>
    </w:rPr>
  </w:style>
  <w:style w:type="paragraph" w:styleId="707">
    <w:name w:val="Footer"/>
    <w:basedOn w:val="691"/>
    <w:link w:val="708"/>
    <w:uiPriority w:val="99"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708" w:customStyle="1">
    <w:name w:val="Нижний колонтитул Знак"/>
    <w:link w:val="707"/>
    <w:uiPriority w:val="99"/>
    <w:pPr>
      <w:pBdr/>
      <w:spacing/>
      <w:ind/>
    </w:pPr>
    <w:rPr>
      <w:sz w:val="24"/>
      <w:szCs w:val="24"/>
    </w:rPr>
  </w:style>
  <w:style w:type="character" w:styleId="709">
    <w:name w:val="page number"/>
    <w:basedOn w:val="695"/>
    <w:uiPriority w:val="99"/>
    <w:pPr>
      <w:pBdr/>
      <w:spacing/>
      <w:ind/>
    </w:pPr>
  </w:style>
  <w:style w:type="paragraph" w:styleId="710" w:customStyle="1">
    <w:name w:val="p10"/>
    <w:basedOn w:val="691"/>
    <w:uiPriority w:val="99"/>
    <w:pPr>
      <w:pBdr/>
      <w:spacing w:after="100" w:afterAutospacing="1" w:before="100" w:beforeAutospacing="1"/>
      <w:ind/>
    </w:pPr>
  </w:style>
  <w:style w:type="character" w:styleId="711" w:customStyle="1">
    <w:name w:val="Unresolved Mention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yperlink" Target="https://pbprog.ru/" TargetMode="External"/><Relationship Id="rId12" Type="http://schemas.openxmlformats.org/officeDocument/2006/relationships/hyperlink" Target="https://pbprog.ru/" TargetMode="External"/><Relationship Id="rId13" Type="http://schemas.openxmlformats.org/officeDocument/2006/relationships/hyperlink" Target="https://pbprog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Company>Программный центр Помощь образованию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ЛИЦЕНЗИОННЫЙ ДОГОВОР № 1</dc:title>
  <dc:subject/>
  <dc:creator>PC26</dc:creator>
  <cp:keywords/>
  <dc:description/>
  <cp:revision>48</cp:revision>
  <dcterms:created xsi:type="dcterms:W3CDTF">2017-03-30T15:47:00Z</dcterms:created>
  <dcterms:modified xsi:type="dcterms:W3CDTF">2026-05-13T05:35:26Z</dcterms:modified>
</cp:coreProperties>
</file>