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ind w:left="18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caps/>
          <w:sz w:val="22"/>
          <w:szCs w:val="22"/>
        </w:rPr>
        <w:t xml:space="preserve">КОНТРАКТ </w:t>
      </w:r>
      <w:r>
        <w:rPr>
          <w:rFonts w:ascii="PT Astra Serif" w:hAnsi="PT Astra Serif" w:eastAsia="PT Astra Serif" w:cs="PT Astra Serif"/>
          <w:b/>
          <w:caps/>
          <w:sz w:val="22"/>
          <w:szCs w:val="22"/>
        </w:rPr>
        <w:t xml:space="preserve">№</w:t>
      </w:r>
      <w:r>
        <w:rPr>
          <w:rFonts w:ascii="PT Astra Serif" w:hAnsi="PT Astra Serif" w:eastAsia="PT Astra Serif" w:cs="PT Astra Serif"/>
          <w:b/>
          <w:caps/>
          <w:sz w:val="22"/>
          <w:szCs w:val="22"/>
        </w:rPr>
        <w:t xml:space="preserve">____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left="180" w:firstLine="709"/>
        <w:jc w:val="center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ИКЗ: 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jc w:val="both"/>
        <w:rPr>
          <w:rFonts w:ascii="PT Astra Serif" w:hAnsi="PT Astra Serif" w:eastAsia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Санкт-Петербург </w:t>
      </w:r>
      <w:r>
        <w:rPr>
          <w:rFonts w:ascii="PT Astra Serif" w:hAnsi="PT Astra Serif" w:eastAsia="PT Astra Serif" w:cs="PT Astra Serif"/>
          <w:sz w:val="22"/>
          <w:szCs w:val="22"/>
        </w:rPr>
        <w:tab/>
      </w:r>
      <w:r>
        <w:rPr>
          <w:rFonts w:ascii="PT Astra Serif" w:hAnsi="PT Astra Serif" w:eastAsia="PT Astra Serif" w:cs="PT Astra Serif"/>
          <w:sz w:val="22"/>
          <w:szCs w:val="22"/>
        </w:rPr>
        <w:t xml:space="preserve">                                                                            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    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  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_________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20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26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года</w:t>
      </w: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pStyle w:val="970"/>
        <w:contextualSpacing/>
        <w:ind w:firstLine="456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left="0" w:right="0" w:firstLine="709"/>
        <w:jc w:val="both"/>
        <w:spacing w:after="0"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sz w:val="22"/>
          <w:szCs w:val="22"/>
        </w:rPr>
        <w:t xml:space="preserve">Г</w:t>
      </w:r>
      <w:r>
        <w:rPr>
          <w:sz w:val="22"/>
          <w:szCs w:val="22"/>
        </w:rPr>
        <w:t xml:space="preserve">осударственное бюджетное дошкольное образовательное учреждение детский сад № 47 Кировского района Санкт-Петербурга (ГБДОУ детский сад № 47  Кировского района Санкт-Петербург), именуемое в дальнейшем «Заказчик», в лице временно исполняющего обязанности заве</w:t>
      </w:r>
      <w:r>
        <w:rPr>
          <w:sz w:val="22"/>
          <w:szCs w:val="22"/>
        </w:rPr>
        <w:t xml:space="preserve">дующего Принцевой Дарины Игоревны, действующего на основании Распоряжения №73-рп от 28.02.2025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, и _____________, именуемое в дальнейшем «Исполнитель», в лице ______________________________, действующего на основании ____________________, с другой стороны (далее – Стороны), заключили настоящий Контракт (далее-Контракт) о нижеследующем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: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contextualSpacing/>
        <w:ind w:firstLine="709"/>
        <w:jc w:val="center"/>
        <w:shd w:val="clear" w:color="auto" w:fill="ffffff"/>
        <w:rPr>
          <w:rFonts w:ascii="PT Astra Serif" w:hAnsi="PT Astra Serif" w:cs="PT Astra Serif"/>
          <w:b/>
          <w:bCs/>
          <w:color w:val="000000"/>
          <w:spacing w:val="-1"/>
          <w:sz w:val="22"/>
          <w:szCs w:val="22"/>
        </w:rPr>
      </w:pPr>
      <w:r>
        <w:rPr>
          <w:rFonts w:ascii="PT Astra Serif" w:hAnsi="PT Astra Serif" w:eastAsia="PT Astra Serif" w:cs="PT Astra Serif"/>
          <w:b/>
          <w:bCs/>
          <w:color w:val="000000"/>
          <w:spacing w:val="-1"/>
          <w:sz w:val="22"/>
          <w:szCs w:val="22"/>
        </w:rPr>
      </w:r>
      <w:r>
        <w:rPr>
          <w:rFonts w:ascii="PT Astra Serif" w:hAnsi="PT Astra Serif" w:cs="PT Astra Serif"/>
          <w:b/>
          <w:bCs/>
          <w:color w:val="000000"/>
          <w:spacing w:val="-1"/>
          <w:sz w:val="22"/>
          <w:szCs w:val="22"/>
        </w:rPr>
      </w:r>
      <w:r>
        <w:rPr>
          <w:rFonts w:ascii="PT Astra Serif" w:hAnsi="PT Astra Serif" w:cs="PT Astra Serif"/>
          <w:b/>
          <w:bCs/>
          <w:color w:val="000000"/>
          <w:spacing w:val="-1"/>
          <w:sz w:val="22"/>
          <w:szCs w:val="22"/>
        </w:rPr>
      </w:r>
    </w:p>
    <w:p>
      <w:pPr>
        <w:contextualSpacing/>
        <w:ind w:firstLine="709"/>
        <w:jc w:val="center"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bCs/>
          <w:color w:val="000000"/>
          <w:spacing w:val="-1"/>
          <w:sz w:val="22"/>
          <w:szCs w:val="22"/>
        </w:rPr>
        <w:t xml:space="preserve">1.   ПРЕДМЕТ КОНТРАКТА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shd w:val="clear" w:color="auto" w:fill="ffffff"/>
        <w:rPr>
          <w:rFonts w:ascii="PT Astra Serif" w:hAnsi="PT Astra Serif" w:cs="PT Astra Serif"/>
          <w:bCs/>
          <w:color w:val="000000"/>
          <w:spacing w:val="-1"/>
          <w:sz w:val="22"/>
          <w:szCs w:val="22"/>
        </w:rPr>
      </w:pPr>
      <w:r>
        <w:rPr>
          <w:rFonts w:ascii="PT Astra Serif" w:hAnsi="PT Astra Serif" w:eastAsia="PT Astra Serif" w:cs="PT Astra Serif"/>
          <w:bCs/>
          <w:color w:val="000000"/>
          <w:spacing w:val="-1"/>
          <w:sz w:val="22"/>
          <w:szCs w:val="22"/>
        </w:rPr>
        <w:t xml:space="preserve">       </w:t>
      </w:r>
      <w:r>
        <w:rPr>
          <w:rFonts w:ascii="PT Astra Serif" w:hAnsi="PT Astra Serif" w:cs="PT Astra Serif"/>
          <w:bCs/>
          <w:color w:val="000000"/>
          <w:spacing w:val="-1"/>
          <w:sz w:val="22"/>
          <w:szCs w:val="22"/>
        </w:rPr>
      </w:r>
      <w:r>
        <w:rPr>
          <w:rFonts w:ascii="PT Astra Serif" w:hAnsi="PT Astra Serif" w:cs="PT Astra Serif"/>
          <w:bCs/>
          <w:color w:val="000000"/>
          <w:spacing w:val="-1"/>
          <w:sz w:val="22"/>
          <w:szCs w:val="22"/>
        </w:rPr>
      </w:r>
    </w:p>
    <w:p>
      <w:pPr>
        <w:contextualSpacing/>
        <w:ind w:firstLine="709"/>
        <w:jc w:val="both"/>
        <w:shd w:val="clear" w:color="auto" w:fill="ffffff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color w:val="000000"/>
          <w:spacing w:val="2"/>
          <w:sz w:val="22"/>
          <w:szCs w:val="22"/>
        </w:rPr>
        <w:t xml:space="preserve">1.1. </w:t>
      </w:r>
      <w:r>
        <w:rPr>
          <w:rFonts w:ascii="PT Astra Serif" w:hAnsi="PT Astra Serif" w:eastAsia="PT Astra Serif" w:cs="PT Astra Serif"/>
          <w:color w:val="000000"/>
          <w:spacing w:val="2"/>
          <w:sz w:val="22"/>
          <w:szCs w:val="22"/>
        </w:rPr>
        <w:t xml:space="preserve">Исполнитель обязуется оказать </w:t>
      </w:r>
      <w:r>
        <w:rPr>
          <w:rFonts w:ascii="PT Astra Serif" w:hAnsi="PT Astra Serif" w:eastAsia="PT Astra Serif" w:cs="PT Astra Serif"/>
          <w:b/>
          <w:color w:val="000000"/>
          <w:spacing w:val="2"/>
          <w:sz w:val="22"/>
          <w:szCs w:val="22"/>
        </w:rPr>
        <w:t xml:space="preserve">услуги по проведению периодического медицинского осмотра сотрудников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(далее – услуги) для нужд Заказчика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в 2026 г. </w:t>
      </w:r>
      <w:r>
        <w:rPr>
          <w:rFonts w:ascii="PT Astra Serif" w:hAnsi="PT Astra Serif" w:eastAsia="PT Astra Serif" w:cs="PT Astra Serif"/>
          <w:sz w:val="22"/>
          <w:szCs w:val="22"/>
          <w:lang w:eastAsia="en-US"/>
        </w:rPr>
        <w:t xml:space="preserve">по адресу Исполнителя в Санкт-Петербурге,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а Заказчик обязуется принять и оплатить оказанные услуги.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</w:p>
    <w:p>
      <w:pPr>
        <w:contextualSpacing/>
        <w:ind w:firstLine="709"/>
        <w:jc w:val="both"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  <w:t xml:space="preserve">П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  <w:t xml:space="preserve">ериодический медицинский осмотр по согласованию с Заказчиком может проводиться мобильными медицинскими бригадами врачей-специалистов Исполнителя по адресу Заказчика - 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  <w:t xml:space="preserve"> 198096, Санкт-Петербург, ул. Автовская, д. 11, Литер А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  <w:t xml:space="preserve">. Работники перед про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  <w:t xml:space="preserve">ведением периодических осмотров мобильными медицинскими бригадами врачей-специалистов проходят по адресу Исполнителя диагностические исследования.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keepLines/>
        <w:keepNext/>
        <w:tabs>
          <w:tab w:val="left" w:pos="426" w:leader="none"/>
          <w:tab w:val="left" w:pos="1080" w:leader="none"/>
          <w:tab w:val="left" w:pos="156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pacing w:val="-13"/>
          <w:sz w:val="22"/>
          <w:szCs w:val="22"/>
        </w:rPr>
        <w:t xml:space="preserve">1.2.</w:t>
      </w:r>
      <w:r>
        <w:rPr>
          <w:rFonts w:ascii="PT Astra Serif" w:hAnsi="PT Astra Serif" w:eastAsia="PT Astra Serif" w:cs="PT Astra Serif"/>
          <w:sz w:val="22"/>
          <w:szCs w:val="22"/>
        </w:rPr>
        <w:tab/>
      </w:r>
      <w:r>
        <w:rPr>
          <w:rFonts w:ascii="PT Astra Serif" w:hAnsi="PT Astra Serif" w:eastAsia="PT Astra Serif" w:cs="PT Astra Serif"/>
          <w:spacing w:val="2"/>
          <w:sz w:val="22"/>
          <w:szCs w:val="22"/>
        </w:rPr>
        <w:t xml:space="preserve">Исполнитель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оказывает услуги в полном объеме в соответствии </w:t>
      </w:r>
      <w:r>
        <w:rPr>
          <w:rFonts w:ascii="PT Astra Serif" w:hAnsi="PT Astra Serif" w:eastAsia="PT Astra Serif" w:cs="PT Astra Serif"/>
          <w:sz w:val="22"/>
          <w:szCs w:val="22"/>
          <w:lang w:eastAsia="ru-RU"/>
        </w:rPr>
        <w:t xml:space="preserve">с Расчетом цены Контракта (Приложение №1 к Контракту), Техническим заданием (Приложение №2 к Контракту), списком работников, подлежащих периодическому медицинскому осмотру (Приложение №3 к Контракту),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котор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ы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е явля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ю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тся его неотъемлемой частью,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определяющим объем, содержание услуг и другие, предъявляемые к ним требования, а также условиями настоящего Контракта, сроки их оказания и другие требования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shd w:val="clear" w:color="auto" w:fill="ffffff"/>
        <w:tabs>
          <w:tab w:val="left" w:pos="102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1.3. Услуги считаются оказанными после подписания Сторонами акта об оказании услуг по Контракту.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center"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caps/>
          <w:sz w:val="22"/>
          <w:szCs w:val="22"/>
        </w:rPr>
        <w:t xml:space="preserve">2. Цена КОНТРАКТА и порядок расчетов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2.1.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Ц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ена Контракта составляет _________ рублей ____ копеек (______________),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НДС ______________ (если НДС не облагается, указать, на основании какой статьи Налогового кодекса РФ), в соответствии с приложением №2 к Контракту.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2.3. Авансирование Контрактом не предусмотрено. Оплата производится по факту оказанных услуг, на основании счетов, счетов-фактур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(при наличии)</w:t>
      </w:r>
      <w:r>
        <w:rPr>
          <w:rFonts w:ascii="PT Astra Serif" w:hAnsi="PT Astra Serif" w:eastAsia="PT Astra Serif" w:cs="PT Astra Serif"/>
          <w:i/>
          <w:color w:val="ff0000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и акта об оказании услуг, подписанных Сторонами,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путем перечисления денежных средств на расчетный счет Исполнителя, </w:t>
      </w: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в течение </w:t>
      </w: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10 рабочих</w:t>
      </w: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 дней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с даты подписания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Заказчиком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акта об оказании услуг.</w:t>
      </w:r>
      <w:r>
        <w:rPr>
          <w:rFonts w:ascii="PT Astra Serif" w:hAnsi="PT Astra Serif" w:eastAsia="PT Astra Serif" w:cs="PT Astra Serif"/>
          <w:color w:val="3e4bc2"/>
          <w:sz w:val="22"/>
          <w:szCs w:val="22"/>
        </w:rPr>
        <w:t xml:space="preserve">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2.4.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Ценой Контракта учтены все расходы по оказанию услуг, в том числе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все сопутствующие расходы, уплачиваемые Исполнителем налоги, сборы и иные платежи.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4.1.5, 7.12.</w:t>
      </w:r>
      <w:r>
        <w:rPr>
          <w:rFonts w:ascii="PT Astra Serif" w:hAnsi="PT Astra Serif" w:eastAsia="PT Astra Serif" w:cs="PT Astra Serif"/>
          <w:color w:val="ff6699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Контракта.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2.6. В случае выявления Заказчиком несоответствия сведений об объемах, содержании и стоимости услуг, отраженных в актах об оказании услуг фак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 2.7. Объемы услуг, оказанные Исполнителем с отклонениями от установленных норм и правил, а также условий Контракта, не подлежат принятию Заказчиком до устранения отклонений.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ind w:firstLine="708"/>
        <w:jc w:val="both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  <w:lang w:eastAsia="ru-RU"/>
        </w:rPr>
        <w:t xml:space="preserve">2</w:t>
      </w:r>
      <w:r>
        <w:rPr>
          <w:rFonts w:ascii="PT Astra Serif" w:hAnsi="PT Astra Serif" w:eastAsia="PT Astra Serif" w:cs="PT Astra Serif"/>
          <w:color w:val="000000"/>
          <w:sz w:val="22"/>
          <w:szCs w:val="22"/>
          <w:lang w:eastAsia="ru-RU"/>
        </w:rPr>
        <w:t xml:space="preserve">8</w:t>
      </w:r>
      <w:r>
        <w:rPr>
          <w:rFonts w:ascii="PT Astra Serif" w:hAnsi="PT Astra Serif" w:eastAsia="PT Astra Serif" w:cs="PT Astra Serif"/>
          <w:color w:val="000000"/>
          <w:sz w:val="22"/>
          <w:szCs w:val="22"/>
          <w:lang w:eastAsia="ru-RU"/>
        </w:rPr>
        <w:t xml:space="preserve">. Источник финансирования заказа: Внебюджетные средства, средства бюджетных учреждений, </w:t>
      </w:r>
      <w:r>
        <w:rPr>
          <w:rFonts w:ascii="PT Astra Serif" w:hAnsi="PT Astra Serif" w:eastAsia="PT Astra Serif" w:cs="PT Astra Serif"/>
          <w:color w:val="000000"/>
          <w:sz w:val="22"/>
          <w:szCs w:val="22"/>
          <w:lang w:eastAsia="ru-RU"/>
        </w:rPr>
        <w:t xml:space="preserve">субсидии на финансовое обеспечение выполнения государственного задания.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456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jc w:val="center"/>
        <w:tabs>
          <w:tab w:val="left" w:pos="426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3. СРОКИ КОНТРАКТА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3.1. Настоящий Контракт вступает в силу с момента его подписания Сторонами и действует до момента исполнения Сторонами своих обязательств,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но не позднее 31 декабря 2026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года, а в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части взаиморасчетов до полого исполнения Сторонами обязательств по Контракту.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567"/>
        <w:jc w:val="both"/>
        <w:rPr>
          <w:rFonts w:ascii="PT Astra Serif" w:hAnsi="PT Astra Serif" w:cs="PT Astra Serif"/>
          <w:b/>
          <w:bCs/>
          <w:sz w:val="22"/>
          <w:szCs w:val="22"/>
        </w:rPr>
        <w:outlineLvl w:val="0"/>
      </w:pPr>
      <w:r>
        <w:rPr>
          <w:rFonts w:ascii="PT Astra Serif" w:hAnsi="PT Astra Serif" w:eastAsia="PT Astra Serif" w:cs="PT Astra Serif"/>
          <w:sz w:val="22"/>
          <w:szCs w:val="22"/>
        </w:rPr>
        <w:t xml:space="preserve">3.2.</w:t>
      </w: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2"/>
          <w:szCs w:val="22"/>
        </w:rPr>
        <w:t xml:space="preserve">Сроки оказания услуг:</w:t>
      </w:r>
      <w:r>
        <w:rPr>
          <w:rFonts w:ascii="PT Astra Serif" w:hAnsi="PT Astra Serif" w:eastAsia="PT Astra Serif" w:cs="PT Astra Serif"/>
          <w:b/>
          <w:bCs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2"/>
          <w:szCs w:val="22"/>
        </w:rPr>
        <w:t xml:space="preserve">после заключения контракта, по заявке Заказчика. Заказчик подаёт заявку не позднее 22.05.26 года. О</w:t>
      </w:r>
      <w:r>
        <w:rPr>
          <w:rFonts w:ascii="PT Astra Serif" w:hAnsi="PT Astra Serif" w:eastAsia="PT Astra Serif" w:cs="PT Astra Serif"/>
          <w:b/>
          <w:bCs/>
          <w:sz w:val="22"/>
          <w:szCs w:val="22"/>
        </w:rPr>
        <w:t xml:space="preserve">кончание оказания услуг: не позднее 31.08.2026 г.</w:t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68"/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3.3.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Окончание срока действия Контракта не освобождает Стороны от исполнения обязательств и от ответственности за их нарушение.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3.4. Приемка оказанных услуг производится Заказчиком в течени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е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5 рабочих дней с момента предоставления Исполнителем акта об оказании услуг.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  <w:t xml:space="preserve">4. ПРАВА И ОБЯЗАННОСТИ СТОРОН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rPr>
          <w:rFonts w:ascii="PT Astra Serif" w:hAnsi="PT Astra Serif" w:cs="PT Astra Serif"/>
          <w:b/>
          <w:i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i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i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i/>
          <w:color w:val="000000"/>
          <w:sz w:val="22"/>
          <w:szCs w:val="22"/>
        </w:rPr>
      </w:r>
    </w:p>
    <w:p>
      <w:pPr>
        <w:contextualSpacing/>
        <w:ind w:firstLine="54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i/>
          <w:color w:val="000000"/>
          <w:sz w:val="22"/>
          <w:szCs w:val="22"/>
        </w:rPr>
        <w:t xml:space="preserve">4.1. Права и обязанности Заказчика: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2"/>
          <w:numId w:val="3"/>
        </w:numPr>
        <w:contextualSpacing/>
        <w:ind w:left="0"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Направить заявку Исполнителю на оказание услуг любым из перечисленных способов: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факсом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и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/или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электронной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почтой.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2"/>
          <w:numId w:val="3"/>
        </w:numPr>
        <w:contextualSpacing/>
        <w:ind w:left="0"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  <w:lang w:bidi="ru-RU"/>
        </w:rPr>
        <w:t xml:space="preserve">Согласовать с Исполнителем график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проведения периодического осмотра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ind w:left="0" w:firstLine="426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Заказчик оставляет за собой право вносить изменения в Приложение №3 к Контракту в части замены сотрудника, подлежащего медицинскому осмотру, и дате осмотра, уведомив Исполнителя об изменении не менее чем за 2 (два) рабочих дня до даты оказания услуг.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2"/>
          <w:numId w:val="3"/>
        </w:numPr>
        <w:contextualSpacing/>
        <w:ind w:left="0"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2"/>
          <w:numId w:val="3"/>
        </w:numPr>
        <w:contextualSpacing/>
        <w:ind w:left="0"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При обнаружении в ходе оказания услуг отступлений от условий наст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2"/>
          <w:numId w:val="3"/>
        </w:numPr>
        <w:contextualSpacing/>
        <w:ind w:left="0"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В сроки и в порядке,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установив срок для их устранения.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2"/>
          <w:numId w:val="3"/>
        </w:numPr>
        <w:contextualSpacing/>
        <w:ind w:left="0"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По завершению приемки сторонами оказанных услуг, Заказчик, при налич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ии зафиксированных фактов неисполнения и/или ненадлежащего исполнения Исполнителем обязательств по Контракту, направляет Исполнителю уведомление с расчетом неустойки, для проведения зачета встречного однородного требования, в соответствии со ст. 410 ГК РФ.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2"/>
          <w:numId w:val="3"/>
        </w:numPr>
        <w:contextualSpacing/>
        <w:ind w:left="0"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Оплатить Исполнителю оказанные услуги в размере и в сроки, предусмотренные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К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онтрактом.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4.1.8.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Заказчик вправе требовать от Исполнителя надлежащего исполнения обязательств в соответствии с Контрактом.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4.1.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9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  <w:r>
        <w:rPr>
          <w:rFonts w:ascii="PT Astra Serif" w:hAnsi="PT Astra Serif" w:eastAsia="PT Astra Serif" w:cs="PT Astra Serif"/>
          <w:color w:val="000000"/>
          <w:sz w:val="22"/>
          <w:szCs w:val="22"/>
          <w:lang w:eastAsia="ru-RU"/>
        </w:rPr>
        <w:t xml:space="preserve"> 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4.1.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10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Запрашивать информацию о ходе и состоянии исполнения обязательств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по Контракту.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4.1.1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1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b/>
          <w:i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i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i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i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b/>
          <w:i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i/>
          <w:color w:val="000000"/>
          <w:sz w:val="22"/>
          <w:szCs w:val="22"/>
        </w:rPr>
        <w:t xml:space="preserve">4.2. Права и обязанности Исполнителя:</w:t>
      </w:r>
      <w:r>
        <w:rPr>
          <w:rFonts w:ascii="PT Astra Serif" w:hAnsi="PT Astra Serif" w:cs="PT Astra Serif"/>
          <w:b/>
          <w:i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i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4.2.1. Надлежащим образом исполнять обязанности Исполнителя по настоящему Контракту. 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ind w:firstLine="567"/>
        <w:jc w:val="both"/>
        <w:widowControl w:val="o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  <w:lang w:eastAsia="ru-RU" w:bidi="ru-RU"/>
        </w:rPr>
        <w:t xml:space="preserve">Согласовать с Заказчиком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график прохождения сотрудниками заказчика периодического медицинского осмотра.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567"/>
        <w:jc w:val="both"/>
        <w:widowControl w:val="o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Обеспечить принятие заявки на оказание услуг, направленной Заказчиком в порядке п.п.2.1.1 Контракта.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4.2.2. Исполнять полученные в ходе оказания услуг указания Заказчика, если такие указания не противоречат условиям настоящего Контракта.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4.2.3.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4.2.4.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4.2.5. Гарантировать качество используемых для оказания услуг материалов (оборудования), и по требованию Заказчика предоставить ему эти документы.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4.2.6.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4.2.7. Своевременно устранять недостатки и дефекты, выявленные в результате оказанных услуг.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4.2.8. </w:t>
      </w:r>
      <w:r>
        <w:rPr>
          <w:rFonts w:ascii="PT Astra Serif" w:hAnsi="PT Astra Serif" w:eastAsia="PT Astra Serif" w:cs="PT Astra Serif"/>
          <w:spacing w:val="-1"/>
          <w:sz w:val="22"/>
          <w:szCs w:val="22"/>
        </w:rPr>
        <w:t xml:space="preserve">Нести риск случайного повреждения материалов (оборудования), используемого для оказания услуг или уничтожения их до момента сдачи результата оказания услуг Заказчику.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4.2.9. Представлять по запросу Заказчика в сроки, указанные в таком запросе, информацию о ходе исполнения обязательств по Контракту.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4.2.10.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4.2.11.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4.2.12. </w:t>
      </w:r>
      <w:r>
        <w:rPr>
          <w:rFonts w:ascii="PT Astra Serif" w:hAnsi="PT Astra Serif" w:eastAsia="PT Astra Serif" w:cs="PT Astra Serif"/>
          <w:sz w:val="22"/>
          <w:szCs w:val="22"/>
          <w:lang w:eastAsia="ru-RU"/>
        </w:rPr>
        <w:t xml:space="preserve">Исполнитель по окончании оказания услуг предоставляет Заказчику акт об оказании услуг, счет, (счет-фактуру при наличии).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  <w:lang w:eastAsia="ru-RU"/>
        </w:rPr>
        <w:t xml:space="preserve">В случае допущенных ошибок, описок в указанных документах, Исполнитель обязан осуществить передачу должных документов не позднее 2-х рабочих дней с даты обнаружения ошибок Заказчиком и уведомления об этом Исполнителя.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4.2.13. Подписать акт приемки товаров, работ, услуг (ф. 0510452), направленный Заказчиком.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Выполнить иные обязанности, предусмотренные действующим законодательством и настоящим Контрактом.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6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Исполнитель вправе требовать подписания документов об исполнении им обязательств по Контракту от Заказчика.</w:t>
      </w:r>
      <w:r>
        <w:rPr>
          <w:rFonts w:ascii="PT Astra Serif" w:hAnsi="PT Astra Serif" w:eastAsia="PT Astra Serif" w:cs="PT Astra Serif"/>
          <w:color w:val="000000"/>
          <w:sz w:val="22"/>
          <w:szCs w:val="22"/>
          <w:lang w:eastAsia="ru-RU"/>
        </w:rPr>
        <w:t xml:space="preserve">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6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Исполнитель вправе требовать оплаты по Контракту в случае надлежащего исполнения своих обязательств по Контракту.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4.2.17.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Исполнитель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обязан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иметь действующую лицензию на медицинскую деятельность (за исключени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в соответствии с подпунктом 46 пункта 1 статьи 12  Федерального Закон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а от 04.05.2011 № 99-ФЗ «О лицензировании отдельных видов деятельности», дающей право на проведение медицинских осмотров (предварительных, периодических, а также на экспертизу профессиональной пригодности в соответствии с действующими нормативными актами..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Требование установлено в соответствии с Постановлением Правительства Российской Федерации от  01.06.2021 г. № 852 "О лицензировании медицинской деятельности (за исключением указанной деятельно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 (вместе с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"Положением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"Сколково")").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4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.2.1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8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 В случае окончания срока действия лицензии на период оказания услуг, исполнитель обязан продлить срок действия лицензии.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pStyle w:val="988"/>
        <w:numPr>
          <w:ilvl w:val="0"/>
          <w:numId w:val="2"/>
        </w:numPr>
        <w:jc w:val="center"/>
        <w:rPr>
          <w:rFonts w:ascii="PT Astra Serif" w:hAnsi="PT Astra Serif" w:cs="PT Astra Serif"/>
          <w:b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  <w:t xml:space="preserve">КАЧЕСТВО</w:t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</w:p>
    <w:p>
      <w:pPr>
        <w:pStyle w:val="988"/>
        <w:ind w:left="360"/>
        <w:rPr>
          <w:rFonts w:ascii="PT Astra Serif" w:hAnsi="PT Astra Serif" w:cs="PT Astra Serif"/>
          <w:b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</w:p>
    <w:p>
      <w:pPr>
        <w:numPr>
          <w:ilvl w:val="1"/>
          <w:numId w:val="2"/>
        </w:numPr>
        <w:contextualSpacing/>
        <w:ind w:left="0" w:firstLine="709"/>
        <w:jc w:val="both"/>
        <w:shd w:val="clear" w:color="auto" w:fill="ffffff"/>
        <w:widowControl w:val="off"/>
        <w:tabs>
          <w:tab w:val="left" w:pos="0" w:leader="none"/>
          <w:tab w:val="left" w:pos="1003" w:leader="none"/>
          <w:tab w:val="num" w:pos="1365" w:leader="none"/>
          <w:tab w:val="clear" w:pos="1637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2"/>
          <w:sz w:val="22"/>
          <w:szCs w:val="22"/>
        </w:rPr>
        <w:t xml:space="preserve"> Гарантии качества распространяются на все услуги, оказанные Исполнителем 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по настоящему Контракту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, в течение срока оказания услуг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1"/>
          <w:numId w:val="2"/>
        </w:numPr>
        <w:contextualSpacing/>
        <w:ind w:left="0" w:firstLine="709"/>
        <w:jc w:val="both"/>
        <w:tabs>
          <w:tab w:val="left" w:pos="709" w:leader="none"/>
          <w:tab w:val="num" w:pos="1365" w:leader="none"/>
          <w:tab w:val="clear" w:pos="1637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Качество услуг,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b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  <w:t xml:space="preserve">6. ПОРЯДОК СДАЧИ И ПРИЕМКИ ОКАЗАННЫХ УСЛУГ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6.2.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Для проведения экспертизы оказанных услуг, а также отдельных этапов исполнения Контракта, Заказчик имеет право провести такую экспертизу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своими силами, привлечь эксперта, экспертную организацию.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6.3. При обнаружении Заказчиком в ходе приемки отдельных этапов или услуг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br/>
        <w:t xml:space="preserve">по Контракту в целом недостатков в оказанных услугах, Сторонами составляется акт,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br/>
        <w:t xml:space="preserve">в котором фиксируется перечень недостатков и срок их устранения Исполнителем.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Исполнитель обязан устранить все обнаруженные недостатки своими силами и за свой счет в сроки, указанные в акте.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Контрактом.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6.4. По завершении в установленный срок услуг по Контракту сторонами подписывается акт об оказании услуг.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rPr>
          <w:rFonts w:ascii="PT Astra Serif" w:hAnsi="PT Astra Serif" w:cs="PT Astra Serif"/>
          <w:b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color w:val="000000"/>
          <w:sz w:val="22"/>
          <w:szCs w:val="22"/>
        </w:rPr>
      </w:r>
    </w:p>
    <w:p>
      <w:pPr>
        <w:contextualSpacing/>
        <w:ind w:left="180" w:firstLine="708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  <w:t xml:space="preserve">7. ОТВЕТСТВЕННОСТЬ СТОРОН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left="180" w:firstLine="708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  <w:t xml:space="preserve">И ИНЫЕ ПОСЛЕДСТВИЯ НАРУШЕНИЯ ОБЯЗАТЕЛЬСТВ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7.2. Исполнитель несет ответственность перед Заказчиком за допущенные отступления от требований, предусмотренных Контрактом.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7.3. </w:t>
      </w: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В случае просрочки исполнения Исполнителем обязательств (в том числе </w:t>
      </w: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7.4. </w:t>
      </w:r>
      <w:bookmarkStart w:id="0" w:name="Par57"/>
      <w:r>
        <w:rPr>
          <w:rFonts w:ascii="PT Astra Serif" w:hAnsi="PT Astra Serif" w:eastAsia="PT Astra Serif" w:cs="PT Astra Serif"/>
          <w:sz w:val="22"/>
          <w:szCs w:val="22"/>
        </w:rPr>
      </w:r>
      <w:bookmarkEnd w:id="0"/>
      <w:r>
        <w:rPr>
          <w:rFonts w:ascii="PT Astra Serif" w:hAnsi="PT Astra Serif" w:eastAsia="PT Astra Serif" w:cs="PT Astra Serif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</w:t>
      </w: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Заказчику штраф.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Размер штрафа определяется в соответствии с подпунктом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</w:t>
      </w: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Контракта.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</w:t>
      </w: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Заказчику штраф в размере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1000 рублей.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bookmarkStart w:id="1" w:name="Par67"/>
      <w:r>
        <w:rPr>
          <w:rFonts w:ascii="PT Astra Serif" w:hAnsi="PT Astra Serif" w:eastAsia="PT Astra Serif" w:cs="PT Astra Serif"/>
          <w:sz w:val="22"/>
          <w:szCs w:val="22"/>
        </w:rPr>
      </w:r>
      <w:bookmarkEnd w:id="1"/>
      <w:r>
        <w:rPr>
          <w:rFonts w:ascii="PT Astra Serif" w:hAnsi="PT Astra Serif" w:eastAsia="PT Astra Serif" w:cs="PT Astra Serif"/>
          <w:sz w:val="22"/>
          <w:szCs w:val="22"/>
        </w:rPr>
        <w:t xml:space="preserve">7.6. </w:t>
      </w: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В случае просрочки исполнения Исполнителем обязательств по Контракту, (в том числе гарантийного обязательства), Исполнитель выплачивает Заказчику пени.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425"/>
        <w:jc w:val="both"/>
        <w:widowControl w:val="o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 Пеня начисляется за каждый день просрочки исполнения Исполни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Исполнителем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widowControl w:val="o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ab/>
        <w:t xml:space="preserve">7.8. </w:t>
      </w:r>
      <w:r>
        <w:rPr>
          <w:rFonts w:ascii="PT Astra Serif" w:hAnsi="PT Astra Serif" w:eastAsia="PT Astra Serif" w:cs="PT Astra Serif"/>
          <w:sz w:val="22"/>
          <w:szCs w:val="22"/>
          <w:lang w:eastAsia="en-US"/>
        </w:rPr>
        <w:t xml:space="preserve">В случае п</w:t>
      </w:r>
      <w:r>
        <w:rPr>
          <w:rFonts w:ascii="PT Astra Serif" w:hAnsi="PT Astra Serif" w:eastAsia="PT Astra Serif" w:cs="PT Astra Serif"/>
          <w:sz w:val="22"/>
          <w:szCs w:val="22"/>
          <w:lang w:eastAsia="en-US"/>
        </w:rPr>
        <w:t xml:space="preserve">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В случае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widowControl w:val="o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7.9. </w:t>
      </w:r>
      <w:bookmarkStart w:id="2" w:name="Par82"/>
      <w:r>
        <w:rPr>
          <w:rFonts w:ascii="PT Astra Serif" w:hAnsi="PT Astra Serif" w:eastAsia="PT Astra Serif" w:cs="PT Astra Serif"/>
          <w:sz w:val="22"/>
          <w:szCs w:val="22"/>
        </w:rPr>
      </w:r>
      <w:bookmarkEnd w:id="2"/>
      <w:r>
        <w:rPr>
          <w:rFonts w:ascii="PT Astra Serif" w:hAnsi="PT Astra Serif" w:eastAsia="PT Astra Serif" w:cs="PT Astra Serif"/>
          <w:sz w:val="22"/>
          <w:szCs w:val="22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Заказчик выплачивает Исполнителю штраф в размере 1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000 рублей.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jc w:val="both"/>
        <w:widowControl w:val="o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  </w:t>
      </w:r>
      <w:r>
        <w:rPr>
          <w:rFonts w:ascii="PT Astra Serif" w:hAnsi="PT Astra Serif" w:eastAsia="PT Astra Serif" w:cs="PT Astra Serif"/>
          <w:sz w:val="22"/>
          <w:szCs w:val="22"/>
        </w:rPr>
        <w:tab/>
        <w:t xml:space="preserve">7.10.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425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ab/>
        <w:t xml:space="preserve">7.11. 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7.12.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В случае неисполнения или ненадлежащего исполнения Исполнителем обязательств, предусмотренных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425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  7.13.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425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2"/>
          <w:szCs w:val="22"/>
        </w:rPr>
        <w:t xml:space="preserve">  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7.14. Указанная в настоящем разделе Контракта неустойка (пени, штраф) взимаются за каждое нарушение в отдельности.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425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 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7.16. 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0"/>
          <w:numId w:val="1"/>
        </w:numPr>
        <w:contextualSpacing/>
        <w:jc w:val="center"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ПОРЯДОК ИЗМЕНЕНИЯ И РАСТОРЖЕНИЯ КОНТРАКТА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709"/>
        <w:jc w:val="both"/>
        <w:shd w:val="clear" w:color="auto" w:fill="ffffff"/>
        <w:widowControl w:val="off"/>
        <w:tabs>
          <w:tab w:val="left" w:pos="851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709"/>
        <w:jc w:val="both"/>
        <w:shd w:val="clear" w:color="auto" w:fill="ffffff"/>
        <w:widowControl w:val="off"/>
        <w:tabs>
          <w:tab w:val="left" w:pos="851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8.1. В случае расторжения </w:t>
      </w:r>
      <w:r>
        <w:rPr>
          <w:rFonts w:ascii="PT Astra Serif" w:hAnsi="PT Astra Serif" w:eastAsia="PT Astra Serif" w:cs="PT Astra Serif"/>
          <w:sz w:val="22"/>
          <w:szCs w:val="22"/>
        </w:rPr>
        <w:tab/>
        <w:t xml:space="preserve">Контракта, возмещение расходов, понесенных Сторонами в пределах фактически оказанных услуг, осуществляется в соответствии с требованиями действующего законодательства и условиями настоящего Контракта.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709"/>
        <w:jc w:val="both"/>
        <w:shd w:val="clear" w:color="auto" w:fill="ffffff"/>
        <w:widowControl w:val="off"/>
        <w:tabs>
          <w:tab w:val="left" w:pos="851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8.2. </w:t>
      </w:r>
      <w:r>
        <w:rPr>
          <w:rFonts w:ascii="Times New Roman" w:hAnsi="Times New Roman" w:eastAsia="Courier New" w:cs="Times New Roman"/>
          <w:color w:val="000000" w:themeColor="text1"/>
          <w:spacing w:val="-1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eastAsia="Courier New" w:cs="Times New Roman"/>
          <w:color w:val="000000" w:themeColor="text1"/>
          <w:spacing w:val="-1"/>
          <w:sz w:val="24"/>
          <w:szCs w:val="24"/>
          <w:lang w:eastAsia="ru-RU" w:bidi="ru-RU"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54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8.3. Заказчик вправе в одност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ороннем порядке отказаться от исполнения Контракта в соответствии с пунктом 2 статьи 407 ГК РФ и статьей 450.1 ГК РФ и потребовать возмещения фактически понесенного ущерба в случае следующих существенных нарушений Исполнителем условий настоящего Контракта: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widowControl w:val="off"/>
        <w:tabs>
          <w:tab w:val="left" w:pos="720" w:leader="none"/>
          <w:tab w:val="left" w:pos="900" w:leader="none"/>
          <w:tab w:val="left" w:pos="1440" w:leader="none"/>
          <w:tab w:val="left" w:pos="1903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-  в случае нарушения Исполнителем сроков оказания услуг более чем на 7 дней;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widowControl w:val="off"/>
        <w:tabs>
          <w:tab w:val="left" w:pos="720" w:leader="none"/>
          <w:tab w:val="left" w:pos="900" w:leader="none"/>
          <w:tab w:val="left" w:pos="1440" w:leader="none"/>
          <w:tab w:val="left" w:pos="1903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-  в случае неоднократного, то есть более двух раз, нарушения сроков оказания услуг;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widowControl w:val="off"/>
        <w:tabs>
          <w:tab w:val="left" w:pos="720" w:leader="none"/>
          <w:tab w:val="left" w:pos="900" w:leader="none"/>
          <w:tab w:val="left" w:pos="1440" w:leader="none"/>
          <w:tab w:val="left" w:pos="1903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widowControl w:val="off"/>
        <w:tabs>
          <w:tab w:val="left" w:pos="720" w:leader="none"/>
          <w:tab w:val="left" w:pos="900" w:leader="none"/>
          <w:tab w:val="left" w:pos="1440" w:leader="none"/>
          <w:tab w:val="left" w:pos="1903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- в случае установления факта проведения ликвидации Исполнителя или проведения в отношении него процедуры банкротства;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widowControl w:val="off"/>
        <w:tabs>
          <w:tab w:val="left" w:pos="720" w:leader="none"/>
          <w:tab w:val="left" w:pos="900" w:leader="none"/>
          <w:tab w:val="left" w:pos="1440" w:leader="none"/>
          <w:tab w:val="left" w:pos="1903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-  в случае если у Исполнителя имеется задолженность по начисленным налогам и сборам, и иным обязательным платежам в б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8.4. Заказчик, принявший решение в одностороннем порядке отказаться от исполнения Контракта руководствуется требованиями действующего законодательства РФ.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color w:val="000000"/>
          <w:spacing w:val="-1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8.5. В случае расторжения настоящего Контракта по решению суда, в связи с существенными нарушениями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поставщиков.</w:t>
      </w:r>
      <w:r>
        <w:rPr>
          <w:rFonts w:ascii="PT Astra Serif" w:hAnsi="PT Astra Serif" w:cs="PT Astra Serif"/>
          <w:color w:val="000000"/>
          <w:spacing w:val="-1"/>
          <w:sz w:val="22"/>
          <w:szCs w:val="22"/>
        </w:rPr>
      </w:r>
      <w:r>
        <w:rPr>
          <w:rFonts w:ascii="PT Astra Serif" w:hAnsi="PT Astra Serif" w:cs="PT Astra Serif"/>
          <w:color w:val="000000"/>
          <w:spacing w:val="-1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8.6. В случаях, предусмотренных пунктом 5 статьи 78.1 Бюджетного Кодекса РФ при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размер и (или) срок оплаты и (или) объем товаров, работ, услуг.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right="75" w:firstLine="540"/>
        <w:jc w:val="both"/>
        <w:shd w:val="clear" w:color="auto" w:fill="ffffff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jc w:val="center"/>
        <w:tabs>
          <w:tab w:val="left" w:pos="-27" w:leader="none"/>
          <w:tab w:val="left" w:pos="426" w:leader="none"/>
          <w:tab w:val="left" w:pos="540" w:leader="none"/>
          <w:tab w:val="left" w:pos="720" w:leader="none"/>
          <w:tab w:val="left" w:pos="90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9. ПОРЯДОК РАССМОТРЕНИЯ СПОРОВ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878"/>
        <w:jc w:val="both"/>
        <w:tabs>
          <w:tab w:val="left" w:pos="-27" w:leader="none"/>
          <w:tab w:val="left" w:pos="426" w:leader="none"/>
          <w:tab w:val="left" w:pos="540" w:leader="none"/>
          <w:tab w:val="left" w:pos="720" w:leader="none"/>
          <w:tab w:val="left" w:pos="90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9.1. 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>
        <w:rPr>
          <w:rFonts w:ascii="PT Astra Serif" w:hAnsi="PT Astra Serif" w:eastAsia="PT Astra Serif" w:cs="PT Astra Serif"/>
          <w:color w:val="000000"/>
          <w:spacing w:val="-4"/>
          <w:sz w:val="22"/>
          <w:szCs w:val="22"/>
        </w:rPr>
        <w:t xml:space="preserve">переговоров.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9"/>
        <w:jc w:val="both"/>
        <w:tabs>
          <w:tab w:val="left" w:pos="426" w:leader="none"/>
          <w:tab w:val="left" w:pos="54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9.2. </w:t>
      </w:r>
      <w:r>
        <w:rPr>
          <w:rFonts w:ascii="PT Astra Serif" w:hAnsi="PT Astra Serif" w:eastAsia="PT Astra Serif" w:cs="PT Astra Serif"/>
          <w:color w:val="000000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>
        <w:rPr>
          <w:rFonts w:ascii="PT Astra Serif" w:hAnsi="PT Astra Serif" w:eastAsia="PT Astra Serif" w:cs="PT Astra Serif"/>
          <w:color w:val="000000"/>
          <w:spacing w:val="-1"/>
          <w:sz w:val="22"/>
          <w:szCs w:val="22"/>
        </w:rPr>
        <w:t xml:space="preserve">рассмотрению в Арбитражном суде города Санкт-Петербурга и Ленинградской области.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10. ФОРС-МАЖОР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10.1. Стороны освобождаются от ответственности за полное или частичное неисполнение своих обязательств по настоящему Контракту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br/>
        <w:t xml:space="preserve">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10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10.3. Сторона, для которой надлежащее исполнение обязательств оказалось невозможн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10.4. Если обстоятельства, указанные в</w:t>
      </w:r>
      <w:r>
        <w:rPr>
          <w:rFonts w:ascii="PT Astra Serif" w:hAnsi="PT Astra Serif" w:eastAsia="PT Astra Serif" w:cs="PT Astra Serif"/>
          <w:color w:val="000000"/>
          <w:sz w:val="22"/>
          <w:szCs w:val="22"/>
        </w:rPr>
        <w:t xml:space="preserve"> п.10.1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  <w:r>
        <w:rPr>
          <w:rFonts w:ascii="PT Astra Serif" w:hAnsi="PT Astra Serif" w:cs="PT Astra Serif"/>
          <w:color w:val="000000"/>
          <w:sz w:val="22"/>
          <w:szCs w:val="22"/>
        </w:rPr>
      </w:r>
      <w:r>
        <w:rPr>
          <w:rFonts w:ascii="PT Astra Serif" w:hAnsi="PT Astra Serif" w:cs="PT Astra Serif"/>
          <w:color w:val="000000"/>
          <w:sz w:val="22"/>
          <w:szCs w:val="22"/>
        </w:rPr>
      </w:r>
    </w:p>
    <w:p>
      <w:pPr>
        <w:contextualSpacing/>
        <w:jc w:val="center"/>
        <w:shd w:val="clear" w:color="auto" w:fill="ffffff"/>
        <w:tabs>
          <w:tab w:val="left" w:pos="1445" w:leader="none"/>
        </w:tabs>
        <w:rPr>
          <w:rFonts w:ascii="PT Astra Serif" w:hAnsi="PT Astra Serif" w:cs="PT Astra Serif"/>
          <w:b/>
          <w:spacing w:val="-1"/>
          <w:sz w:val="22"/>
          <w:szCs w:val="22"/>
        </w:rPr>
      </w:pPr>
      <w:r>
        <w:rPr>
          <w:rFonts w:ascii="PT Astra Serif" w:hAnsi="PT Astra Serif" w:eastAsia="PT Astra Serif" w:cs="PT Astra Serif"/>
          <w:b/>
          <w:spacing w:val="-1"/>
          <w:sz w:val="22"/>
          <w:szCs w:val="22"/>
        </w:rPr>
        <w:t xml:space="preserve">11. АНТИКОРРУПЦИОННЫЕ УСЛОВИЯ</w:t>
      </w:r>
      <w:r>
        <w:rPr>
          <w:rFonts w:ascii="PT Astra Serif" w:hAnsi="PT Astra Serif" w:cs="PT Astra Serif"/>
          <w:b/>
          <w:spacing w:val="-1"/>
          <w:sz w:val="22"/>
          <w:szCs w:val="22"/>
        </w:rPr>
      </w:r>
      <w:r>
        <w:rPr>
          <w:rFonts w:ascii="PT Astra Serif" w:hAnsi="PT Astra Serif" w:cs="PT Astra Serif"/>
          <w:b/>
          <w:spacing w:val="-1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11.1. При исполнении своих обязательств по Контракту Стороны обязуются не совершать, а также обязуются обеспечивать,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что бы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их аффилированные лица, сотрудники и посредники не совершали прямо или косвенно следующих действий: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     платить или предлагать уплатить д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>
        <w:rPr>
          <w:rFonts w:ascii="PT Astra Serif" w:hAnsi="PT Astra Serif" w:eastAsia="PT Astra Serif" w:cs="PT Astra Serif"/>
          <w:sz w:val="22"/>
          <w:szCs w:val="22"/>
        </w:rPr>
        <w:br/>
        <w:t xml:space="preserve"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       платить или предлагать уплатить денежные средства или предоставить иные ценности, безвозмездно выполнить ра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widowControl w:val="o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не совершать иных действий, нарушающих антикоррупционное законодательство Российской Федерации.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center"/>
        <w:tabs>
          <w:tab w:val="left" w:pos="426" w:leader="none"/>
          <w:tab w:val="left" w:pos="54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12. ПРОЧИЕ УСЛОВИЯ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tabs>
          <w:tab w:val="left" w:pos="426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tabs>
          <w:tab w:val="left" w:pos="426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12.1.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Все изменения и дополнения к настоящему Контракту действительны лишь </w:t>
      </w:r>
      <w:r>
        <w:rPr>
          <w:rFonts w:ascii="PT Astra Serif" w:hAnsi="PT Astra Serif" w:eastAsia="PT Astra Serif" w:cs="PT Astra Serif"/>
          <w:sz w:val="22"/>
          <w:szCs w:val="22"/>
        </w:rPr>
        <w:br/>
        <w:t xml:space="preserve"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tabs>
          <w:tab w:val="left" w:pos="426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12.2.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Настоящий Контракт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заключен в форме электронного документа и подписан Сторонами с применением электронных подписей уполномоченных лиц Сторон Контракта.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tabs>
          <w:tab w:val="left" w:pos="0" w:leader="none"/>
          <w:tab w:val="right" w:pos="9498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12.3.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По вопросам, не предусмотренным Контрактом, Стороны руководствуются действующим законодательством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Российской Федерации.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jc w:val="both"/>
        <w:tabs>
          <w:tab w:val="left" w:pos="0" w:leader="none"/>
          <w:tab w:val="right" w:pos="9498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12.5 При наличии у Сторон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СБиС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(http://sbis.ru/edo) (далее – СЭД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СБиС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), обмен юридически значимыми документами, адресованными Сторонам по Контракту, в том числе акта об оказании услуг, счета и счет-фактуры (при наличии) может осуществляться в электронном виде с использованием СЭД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СБиС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начале использования СЭД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СБиС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Cтороны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уведомляют друг друга письменно.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ind w:firstLine="708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13. </w:t>
      </w: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  <w:t xml:space="preserve">ПРИЛОЖЕНИЯ К КОНТРАКТУ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jc w:val="both"/>
        <w:shd w:val="clear" w:color="auto" w:fill="ffffff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pacing w:val="-2"/>
          <w:sz w:val="22"/>
          <w:szCs w:val="22"/>
        </w:rPr>
        <w:t xml:space="preserve">Приложения к Контракту являются его неотъемлемой частью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Приложение № 1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–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Р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асчет цены Контракта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Приложение № 2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–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Техническое задание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contextualSpacing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Приложение №</w:t>
      </w: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3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–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Список работников, подлежащих периодическому медицинскому осмотру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68"/>
        <w:contextualSpacing/>
        <w:ind w:firstLine="0"/>
        <w:rPr>
          <w:rFonts w:ascii="PT Astra Serif" w:hAnsi="PT Astra Serif" w:cs="PT Astra Serif"/>
          <w:caps/>
          <w:sz w:val="22"/>
          <w:szCs w:val="22"/>
        </w:rPr>
      </w:pPr>
      <w:r>
        <w:rPr>
          <w:rFonts w:ascii="PT Astra Serif" w:hAnsi="PT Astra Serif" w:eastAsia="PT Astra Serif" w:cs="PT Astra Serif"/>
          <w:caps/>
          <w:sz w:val="22"/>
          <w:szCs w:val="22"/>
        </w:rPr>
      </w:r>
      <w:r>
        <w:rPr>
          <w:rFonts w:ascii="PT Astra Serif" w:hAnsi="PT Astra Serif" w:cs="PT Astra Serif"/>
          <w:caps/>
          <w:sz w:val="22"/>
          <w:szCs w:val="22"/>
        </w:rPr>
      </w:r>
      <w:r>
        <w:rPr>
          <w:rFonts w:ascii="PT Astra Serif" w:hAnsi="PT Astra Serif" w:cs="PT Astra Serif"/>
          <w:caps/>
          <w:sz w:val="22"/>
          <w:szCs w:val="22"/>
        </w:rPr>
      </w:r>
    </w:p>
    <w:p>
      <w:pPr>
        <w:pStyle w:val="968"/>
        <w:contextualSpacing/>
        <w:ind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/>
          <w:caps/>
          <w:sz w:val="22"/>
          <w:szCs w:val="22"/>
        </w:rPr>
        <w:t xml:space="preserve">14. Адреса, банковские реквизиты, подписи Сторон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68"/>
        <w:contextualSpacing/>
        <w:ind w:firstLine="0"/>
        <w:jc w:val="center"/>
        <w:rPr>
          <w:rFonts w:ascii="PT Astra Serif" w:hAnsi="PT Astra Serif" w:cs="PT Astra Serif"/>
          <w:b/>
          <w:i/>
          <w:caps/>
          <w:color w:val="ff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i/>
          <w:caps/>
          <w:color w:val="ff0000"/>
          <w:sz w:val="22"/>
          <w:szCs w:val="22"/>
        </w:rPr>
      </w:r>
      <w:r>
        <w:rPr>
          <w:rFonts w:ascii="PT Astra Serif" w:hAnsi="PT Astra Serif" w:cs="PT Astra Serif"/>
          <w:b/>
          <w:i/>
          <w:caps/>
          <w:color w:val="ff0000"/>
          <w:sz w:val="22"/>
          <w:szCs w:val="22"/>
        </w:rPr>
      </w:r>
      <w:r>
        <w:rPr>
          <w:rFonts w:ascii="PT Astra Serif" w:hAnsi="PT Astra Serif" w:cs="PT Astra Serif"/>
          <w:b/>
          <w:i/>
          <w:caps/>
          <w:color w:val="ff0000"/>
          <w:sz w:val="22"/>
          <w:szCs w:val="22"/>
        </w:rPr>
      </w:r>
    </w:p>
    <w:tbl>
      <w:tblPr>
        <w:tblW w:w="0" w:type="auto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712"/>
        <w:gridCol w:w="5669"/>
      </w:tblGrid>
      <w:tr>
        <w:tblPrEx/>
        <w:trPr>
          <w:trHeight w:val="141"/>
        </w:trPr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4712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  <w:b/>
                <w:caps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aps/>
                <w:color w:val="000000" w:themeColor="text1"/>
                <w:sz w:val="22"/>
                <w:szCs w:val="22"/>
              </w:rPr>
              <w:t xml:space="preserve">Заказчик:</w:t>
            </w:r>
            <w:r>
              <w:rPr>
                <w:rFonts w:ascii="PT Astra Serif" w:hAnsi="PT Astra Serif" w:cs="Times New Roman"/>
                <w:b/>
                <w:caps/>
                <w:color w:val="000000" w:themeColor="text1"/>
              </w:rPr>
            </w:r>
            <w:r>
              <w:rPr>
                <w:rFonts w:ascii="PT Astra Serif" w:hAnsi="PT Astra Serif" w:cs="Times New Roman"/>
                <w:b/>
                <w:caps/>
                <w:color w:val="000000" w:themeColor="text1"/>
              </w:rPr>
            </w:r>
          </w:p>
        </w:tc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5669" w:type="dxa"/>
            <w:textDirection w:val="lrTb"/>
            <w:noWrap w:val="false"/>
          </w:tcPr>
          <w:p>
            <w:pPr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ИСПОЛНИТЕЛЬ:</w:t>
            </w:r>
            <w:r>
              <w:rPr>
                <w:rFonts w:ascii="PT Astra Serif" w:hAnsi="PT Astra Serif" w:cs="Times New Roman"/>
                <w:b/>
                <w:color w:val="000000" w:themeColor="text1"/>
              </w:rPr>
            </w:r>
            <w:r>
              <w:rPr>
                <w:rFonts w:ascii="PT Astra Serif" w:hAnsi="PT Astra Serif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4712" w:type="dxa"/>
            <w:textDirection w:val="lrTb"/>
            <w:noWrap w:val="false"/>
          </w:tcPr>
          <w:p>
            <w:pPr>
              <w:contextualSpacing/>
              <w:jc w:val="left"/>
              <w:spacing w:after="0"/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</w:r>
          </w:p>
          <w:p>
            <w:pPr>
              <w:contextualSpacing/>
              <w:jc w:val="left"/>
              <w:spacing w:after="0"/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№ 47 Кировского района Санкт-Петербурга (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  <w:t xml:space="preserve">ГБДОУ детский сад № 47 Кировского района Санкт-Петербург)</w:t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566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Полное наименование (краткое наименование) юридического лица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4712" w:type="dxa"/>
            <w:textDirection w:val="lrTb"/>
            <w:noWrap w:val="false"/>
          </w:tcPr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Почтовый адрес: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198096, Санкт-Петербург, ул. Автовская, д. 11, Литер 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Местонахождение: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198096, Санкт-Петербург, ул. Автовская, д. 11, Литер А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ИНН </w:t>
            </w:r>
            <w:r>
              <w:rPr>
                <w:color w:val="000000" w:themeColor="text1"/>
                <w:sz w:val="22"/>
                <w:szCs w:val="22"/>
              </w:rPr>
              <w:t xml:space="preserve">7805145210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left"/>
              <w:spacing w:after="0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КПП  </w:t>
            </w:r>
            <w:r>
              <w:rPr>
                <w:color w:val="000000" w:themeColor="text1"/>
                <w:sz w:val="22"/>
                <w:szCs w:val="22"/>
              </w:rPr>
              <w:t xml:space="preserve">780501001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contextualSpacing/>
              <w:jc w:val="left"/>
              <w:spacing w:after="0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ОКПО </w:t>
            </w:r>
            <w:r>
              <w:rPr>
                <w:color w:val="000000" w:themeColor="text1"/>
                <w:sz w:val="22"/>
                <w:szCs w:val="22"/>
              </w:rPr>
              <w:t xml:space="preserve">50937893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ОКВЭД 85.11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left"/>
              <w:spacing w:after="0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ОГРН 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т/ф + 7 (812)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784-29-32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val="en-US" w:eastAsia="ru-RU"/>
              </w:rPr>
              <w:t xml:space="preserve">E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val="en-US" w:eastAsia="ru-RU"/>
              </w:rPr>
              <w:t xml:space="preserve">mail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: </w:t>
            </w:r>
            <w:hyperlink r:id="rId10" w:tooltip="http://dou35@kirov.spb.ru" w:history="1">
              <w:r>
                <w:rPr>
                  <w:rStyle w:val="983"/>
                  <w:rFonts w:ascii="PT Astra Serif" w:hAnsi="PT Astra Serif" w:eastAsia="PT Astra Serif" w:cs="PT Astra Serif"/>
                  <w:color w:val="000000" w:themeColor="text1"/>
                  <w:sz w:val="22"/>
                  <w:szCs w:val="22"/>
                  <w:lang w:eastAsia="ru-RU"/>
                </w:rPr>
                <w:t xml:space="preserve">dou47@kirov.spb.ru</w:t>
              </w:r>
            </w:hyperlink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u w:val="single"/>
                <w:lang w:eastAsia="ru-RU"/>
              </w:rPr>
              <w:t xml:space="preserve">Банковские реквизиты: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u w:val="singl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u w:val="singl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лицевой счет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0521126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в Комитете финансов Санкт-Петербурга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Банк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ab/>
              <w:t xml:space="preserve">ОКЦ № 1 СЗГУ Банка России//УФК по г.Санкт-Петербургу, г Санкт-Петербург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БИК банка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014030106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р/с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03224643400000007200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contextualSpacing/>
              <w:jc w:val="both"/>
              <w:spacing w:after="0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к/с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40102810945370000005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566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Почтовый адрес: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Местонахождение: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ИНН: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КПП: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Банковские реквизиты: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Телефон: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Эл.адрес: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Сведения о лице, имеющем право без доверенности действовать от имени юридического лица (должность,ФИО, ИНН (при наличии))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58"/>
        </w:trPr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4712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  <w:t xml:space="preserve">ВРИО заведующего</w:t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widowControl/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</w:pP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lang w:bidi="ar-SA"/>
              </w:rPr>
              <w:t xml:space="preserve">____________________/ Д.И. Принцева</w:t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</w:r>
          </w:p>
          <w:p>
            <w:pPr>
              <w:widowControl/>
              <w:rPr>
                <w:rFonts w:ascii="PT Astra Serif" w:hAnsi="PT Astra Serif" w:eastAsia="Times New Roman" w:cs="Times New Roman"/>
                <w:color w:val="000000" w:themeColor="text1"/>
              </w:rPr>
            </w:pPr>
            <w:r>
              <w:rPr>
                <w:rFonts w:ascii="PT Astra Serif" w:hAnsi="PT Astra Serif" w:eastAsia="Times New Roman" w:cs="Times New Roman"/>
                <w:i/>
                <w:color w:val="000000" w:themeColor="text1"/>
                <w:sz w:val="18"/>
                <w:szCs w:val="18"/>
                <w:lang w:bidi="ar-SA"/>
              </w:rPr>
              <w:t xml:space="preserve">Контракт подписан усиленной электронной подписью лица, имеющего право действовать от имени Заказчика </w:t>
            </w:r>
            <w:r>
              <w:rPr>
                <w:rFonts w:ascii="PT Astra Serif" w:hAnsi="PT Astra Serif" w:eastAsia="Times New Roman" w:cs="Times New Roman"/>
                <w:color w:val="000000" w:themeColor="text1"/>
              </w:rPr>
            </w:r>
            <w:r>
              <w:rPr>
                <w:rFonts w:ascii="PT Astra Serif" w:hAnsi="PT Astra Serif" w:eastAsia="Times New Roman" w:cs="Times New Roman"/>
                <w:color w:val="000000" w:themeColor="text1"/>
              </w:rPr>
            </w:r>
          </w:p>
        </w:tc>
        <w:tc>
          <w:tcPr>
            <w:tcBorders>
              <w:top w:val="single" w:color="A6A6A6" w:themeColor="background1" w:themeShade="A6" w:sz="4" w:space="0"/>
              <w:left w:val="single" w:color="A6A6A6" w:themeColor="background1" w:themeShade="A6" w:sz="4" w:space="0"/>
              <w:bottom w:val="single" w:color="A6A6A6" w:themeColor="background1" w:themeShade="A6" w:sz="4" w:space="0"/>
              <w:right w:val="single" w:color="A6A6A6" w:themeColor="background1" w:themeShade="A6" w:sz="4" w:space="0"/>
            </w:tcBorders>
            <w:tcW w:w="5669" w:type="dxa"/>
            <w:textDirection w:val="lrTb"/>
            <w:noWrap w:val="false"/>
          </w:tcPr>
          <w:p>
            <w:pPr>
              <w:widowControl/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widowControl/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</w:pP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lang w:bidi="ar-SA"/>
              </w:rPr>
              <w:t xml:space="preserve">__________________/</w:t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2"/>
                <w:szCs w:val="22"/>
                <w:highlight w:val="none"/>
                <w:lang w:bidi="ar-SA"/>
              </w:rPr>
            </w:r>
          </w:p>
          <w:p>
            <w:pPr>
              <w:widowControl/>
              <w:rPr>
                <w:rFonts w:ascii="PT Astra Serif" w:hAnsi="PT Astra Serif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Times New Roman" w:cs="Times New Roman"/>
                <w:i/>
                <w:color w:val="000000" w:themeColor="text1"/>
                <w:sz w:val="18"/>
                <w:szCs w:val="18"/>
                <w:lang w:bidi="ar-SA"/>
              </w:rPr>
              <w:t xml:space="preserve">Контракт подписан усиленной электронной подписью лица, имеющего право действовать от имени Исполнителя</w:t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eastAsia="Times New Roman" w:cs="Times New Roman"/>
                <w:color w:val="000000" w:themeColor="text1"/>
                <w:sz w:val="20"/>
                <w:szCs w:val="20"/>
              </w:rPr>
            </w:r>
          </w:p>
        </w:tc>
      </w:tr>
    </w:tbl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П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риложение №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1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к Контракту № ____ от __________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center"/>
        <w:widowControl w:val="off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Расчет цены контракта</w:t>
      </w:r>
      <w:r>
        <w:rPr>
          <w:rFonts w:ascii="PT Astra Serif" w:hAnsi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</w:p>
    <w:p>
      <w:pPr>
        <w:jc w:val="center"/>
        <w:widowControl w:val="off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color w:val="000000"/>
          <w:spacing w:val="2"/>
          <w:sz w:val="22"/>
          <w:szCs w:val="22"/>
        </w:rPr>
        <w:t xml:space="preserve">на оказание</w:t>
      </w:r>
      <w:r>
        <w:rPr>
          <w:rFonts w:ascii="PT Astra Serif" w:hAnsi="PT Astra Serif" w:eastAsia="PT Astra Serif" w:cs="PT Astra Serif"/>
          <w:color w:val="000000"/>
          <w:spacing w:val="2"/>
          <w:sz w:val="22"/>
          <w:szCs w:val="22"/>
        </w:rPr>
        <w:t xml:space="preserve"> </w:t>
      </w:r>
      <w:r>
        <w:rPr>
          <w:rFonts w:ascii="PT Astra Serif" w:hAnsi="PT Astra Serif" w:eastAsia="PT Astra Serif" w:cs="PT Astra Serif"/>
          <w:b/>
          <w:color w:val="000000"/>
          <w:spacing w:val="2"/>
          <w:sz w:val="22"/>
          <w:szCs w:val="22"/>
        </w:rPr>
        <w:t xml:space="preserve">услуг по проведению периодического медицинского осмотра сотрудников</w:t>
      </w:r>
      <w:r>
        <w:rPr>
          <w:rFonts w:ascii="PT Astra Serif" w:hAnsi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</w:p>
    <w:p>
      <w:pPr>
        <w:jc w:val="center"/>
        <w:rPr>
          <w:rFonts w:ascii="PT Astra Serif" w:hAnsi="PT Astra Serif" w:cs="PT Astra Serif"/>
          <w:b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  <w:r>
        <w:rPr>
          <w:rFonts w:ascii="PT Astra Serif" w:hAnsi="PT Astra Serif" w:cs="PT Astra Serif"/>
          <w:b/>
          <w:sz w:val="22"/>
          <w:szCs w:val="22"/>
        </w:rPr>
      </w:r>
    </w:p>
    <w:tbl>
      <w:tblPr>
        <w:tblW w:w="10197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67"/>
        <w:gridCol w:w="5925"/>
        <w:gridCol w:w="598"/>
        <w:gridCol w:w="640"/>
        <w:gridCol w:w="1172"/>
        <w:gridCol w:w="1295"/>
      </w:tblGrid>
      <w:tr>
        <w:tblPrEx/>
        <w:trPr>
          <w:trHeight w:val="7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lang w:eastAsia="ru-RU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lang w:eastAsia="ru-RU"/>
              </w:rPr>
              <w:t xml:space="preserve">Наименование услуг</w:t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lang w:eastAsia="ru-RU"/>
              </w:rPr>
              <w:t xml:space="preserve">Ед. изм.</w:t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lang w:eastAsia="ru-RU"/>
              </w:rPr>
              <w:t xml:space="preserve">Кол-во</w:t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lang w:eastAsia="ru-RU"/>
              </w:rPr>
              <w:t xml:space="preserve">Средняя цена, руб.</w:t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5" w:type="dxa"/>
            <w:vAlign w:val="center"/>
            <w:vMerge w:val="restart"/>
            <w:textDirection w:val="lrTb"/>
            <w:noWrap w:val="false"/>
          </w:tcPr>
          <w:p>
            <w:pPr>
              <w:ind w:left="-113" w:right="-80"/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  <w:lang w:eastAsia="ru-RU"/>
              </w:rPr>
              <w:t xml:space="preserve">Стоимость, ИТОГО, руб.</w:t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851"/>
        </w:trPr>
        <w:tc>
          <w:tcPr>
            <w:shd w:val="clear" w:color="ffffff" w:fill="ffffff"/>
            <w:tcBorders>
              <w:top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sz w:val="22"/>
                <w:szCs w:val="22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</w:tcBorders>
            <w:tcW w:w="592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eastAsia="ru-RU"/>
              </w:rPr>
              <w:t xml:space="preserve">Оказание услуг по проведению  периодического медицинского осмотра (женщины до 40 лет)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</w:tcBorders>
            <w:tcW w:w="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2"/>
                <w:szCs w:val="22"/>
              </w:rPr>
              <w:t xml:space="preserve">чел.</w:t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</w:tcBorders>
            <w:tcW w:w="64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1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2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51"/>
        </w:trPr>
        <w:tc>
          <w:tcPr>
            <w:shd w:val="clear" w:color="ffffff" w:fill="ffffff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sz w:val="22"/>
                <w:szCs w:val="22"/>
                <w:lang w:eastAsia="ru-RU"/>
              </w:rPr>
              <w:t xml:space="preserve">2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</w:p>
        </w:tc>
        <w:tc>
          <w:tcPr>
            <w:shd w:val="clear" w:color="ffffff" w:fill="ffffff"/>
            <w:tcW w:w="592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eastAsia="ru-RU"/>
              </w:rPr>
              <w:t xml:space="preserve">Оказание услуг по проведению  периодического медицинского осмотра (женщины старше 40 лет)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2"/>
                <w:szCs w:val="22"/>
              </w:rPr>
              <w:t xml:space="preserve">чел.</w:t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64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25</w:t>
            </w:r>
            <w:r/>
          </w:p>
        </w:tc>
        <w:tc>
          <w:tcPr>
            <w:shd w:val="clear" w:color="auto" w:fill="auto"/>
            <w:tcW w:w="11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shd w:val="clear" w:color="auto" w:fill="auto"/>
            <w:tcW w:w="12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51"/>
        </w:trPr>
        <w:tc>
          <w:tcPr>
            <w:shd w:val="clear" w:color="ffffff" w:fill="ffffff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sz w:val="22"/>
                <w:szCs w:val="22"/>
                <w:lang w:eastAsia="ru-RU"/>
              </w:rPr>
              <w:t xml:space="preserve">4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</w:p>
        </w:tc>
        <w:tc>
          <w:tcPr>
            <w:shd w:val="clear" w:color="ffffff" w:fill="ffffff"/>
            <w:tcW w:w="592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lang w:eastAsia="ru-RU"/>
              </w:rPr>
              <w:t xml:space="preserve">Оказание услуг по проведению  периодического медицинского осмотра (мужчины старше 40 лет)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2"/>
                <w:szCs w:val="22"/>
              </w:rPr>
              <w:t xml:space="preserve">чел.</w:t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64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</w:p>
        </w:tc>
        <w:tc>
          <w:tcPr>
            <w:shd w:val="clear" w:color="auto" w:fill="auto"/>
            <w:tcW w:w="11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shd w:val="clear" w:color="auto" w:fill="auto"/>
            <w:tcW w:w="12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648"/>
        </w:trPr>
        <w:tc>
          <w:tcPr>
            <w:shd w:val="clear" w:color="ffffff" w:fill="ffffff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sz w:val="22"/>
                <w:szCs w:val="22"/>
                <w:lang w:eastAsia="ru-RU"/>
              </w:rPr>
              <w:t xml:space="preserve">5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</w:p>
        </w:tc>
        <w:tc>
          <w:tcPr>
            <w:shd w:val="clear" w:color="ffffff" w:fill="ffffff"/>
            <w:tcW w:w="592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iCs/>
                <w:sz w:val="22"/>
                <w:szCs w:val="22"/>
              </w:rPr>
              <w:t xml:space="preserve">Санитарно-гигиеническое обучение и аттестация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2"/>
                <w:szCs w:val="22"/>
              </w:rPr>
              <w:t xml:space="preserve">чел.</w:t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64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26</w:t>
            </w:r>
            <w:r/>
          </w:p>
        </w:tc>
        <w:tc>
          <w:tcPr>
            <w:shd w:val="clear" w:color="auto" w:fill="auto"/>
            <w:tcW w:w="11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shd w:val="clear" w:color="auto" w:fill="auto"/>
            <w:tcW w:w="12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649"/>
        </w:trPr>
        <w:tc>
          <w:tcPr>
            <w:shd w:val="clear" w:color="ffffff" w:fill="ffffff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sz w:val="22"/>
                <w:szCs w:val="22"/>
                <w:lang w:eastAsia="ru-RU"/>
              </w:rPr>
              <w:t xml:space="preserve">6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</w:r>
          </w:p>
        </w:tc>
        <w:tc>
          <w:tcPr>
            <w:shd w:val="clear" w:color="ffffff" w:fill="ffffff"/>
            <w:tcW w:w="5925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Выдача нового бланка ЛМК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2"/>
                <w:szCs w:val="22"/>
              </w:rPr>
              <w:t xml:space="preserve">чел.</w:t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W w:w="64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7</w:t>
            </w:r>
            <w:r/>
          </w:p>
        </w:tc>
        <w:tc>
          <w:tcPr>
            <w:shd w:val="clear" w:color="auto" w:fill="auto"/>
            <w:tcW w:w="11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shd w:val="clear" w:color="auto" w:fill="auto"/>
            <w:tcW w:w="12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50"/>
        </w:trPr>
        <w:tc>
          <w:tcPr>
            <w:gridSpan w:val="5"/>
            <w:shd w:val="clear" w:color="auto" w:fill="auto"/>
            <w:tcW w:w="890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sz w:val="22"/>
                <w:szCs w:val="22"/>
                <w:lang w:eastAsia="ru-RU"/>
              </w:rPr>
              <w:t xml:space="preserve">Итого </w:t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  <w:r>
              <w:rPr>
                <w:rFonts w:ascii="PT Astra Serif" w:hAnsi="PT Astra Serif" w:cs="PT Astra Serif"/>
                <w:b/>
                <w:bCs/>
                <w:sz w:val="22"/>
                <w:szCs w:val="22"/>
              </w:rPr>
            </w:r>
          </w:p>
        </w:tc>
      </w:tr>
    </w:tbl>
    <w:p>
      <w:pPr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tabs>
          <w:tab w:val="left" w:pos="8097" w:leader="none"/>
          <w:tab w:val="right" w:pos="10064" w:leader="none"/>
        </w:tabs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</w:p>
    <w:p>
      <w:pPr>
        <w:tabs>
          <w:tab w:val="left" w:pos="8097" w:leader="none"/>
          <w:tab w:val="right" w:pos="10064" w:leader="none"/>
        </w:tabs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</w:p>
    <w:p>
      <w:pPr>
        <w:tabs>
          <w:tab w:val="left" w:pos="8097" w:leader="none"/>
          <w:tab w:val="right" w:pos="10064" w:leader="none"/>
        </w:tabs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Приложение №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2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к Контракту №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____ от __________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center"/>
        <w:keepLines/>
        <w:keepNext/>
        <w:rPr>
          <w:rFonts w:ascii="PT Astra Serif" w:hAnsi="PT Astra Serif" w:cs="PT Astra Serif"/>
          <w:b/>
          <w:bCs/>
          <w:color w:val="000000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b/>
          <w:color w:val="000000"/>
          <w:sz w:val="22"/>
          <w:szCs w:val="22"/>
        </w:rPr>
        <w:t xml:space="preserve">ТЕХНИЧЕСКОЕ ЗАДАНИЕ</w:t>
      </w:r>
      <w:r>
        <w:rPr>
          <w:rFonts w:ascii="PT Astra Serif" w:hAnsi="PT Astra Serif" w:cs="PT Astra Serif"/>
          <w:b/>
          <w:bCs/>
          <w:color w:val="000000"/>
          <w:sz w:val="22"/>
          <w:szCs w:val="22"/>
          <w:highlight w:val="none"/>
        </w:rPr>
      </w:r>
      <w:r>
        <w:rPr>
          <w:rFonts w:ascii="PT Astra Serif" w:hAnsi="PT Astra Serif" w:cs="PT Astra Serif"/>
          <w:b/>
          <w:bCs/>
          <w:color w:val="000000"/>
          <w:sz w:val="22"/>
          <w:szCs w:val="22"/>
          <w:highlight w:val="none"/>
        </w:rPr>
      </w:r>
    </w:p>
    <w:p>
      <w:pPr>
        <w:jc w:val="center"/>
        <w:keepLines/>
        <w:keepNext/>
        <w:rPr>
          <w:rFonts w:ascii="PT Astra Serif" w:hAnsi="PT Astra Serif" w:cs="PT Astra Serif"/>
          <w:b/>
          <w:bCs/>
          <w:color w:val="000000"/>
          <w:sz w:val="22"/>
          <w:szCs w:val="22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bCs/>
          <w:color w:val="000000"/>
          <w:sz w:val="22"/>
          <w:szCs w:val="22"/>
        </w:rPr>
      </w:r>
      <w:r>
        <w:rPr>
          <w:rFonts w:ascii="PT Astra Serif" w:hAnsi="PT Astra Serif" w:cs="PT Astra Serif"/>
          <w:b/>
          <w:bCs/>
          <w:color w:val="000000"/>
          <w:sz w:val="22"/>
          <w:szCs w:val="22"/>
        </w:rPr>
      </w:r>
    </w:p>
    <w:p>
      <w:pPr>
        <w:numPr>
          <w:ilvl w:val="0"/>
          <w:numId w:val="13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Наименование,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т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ребования к техническим, функциональным, качественным и эксплуатационным характеристикам,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количество (объем) услуг, подлежащих оказанию по контракту, указаны в Расчете цены Контракта (Приложение № 1 к Контракту),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в настоящем Техническом задании (Приложение № 2 к Контракту), в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Списке работников, подлежащих периодическим осмотрам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(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Приложение № 3 к Контракту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).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Качество оказываемых услуг должно удовлетворять требованиям действующих нормативных правовых актов, соответствовать государственным стандартам, в том числе:</w:t>
      </w:r>
      <w:r>
        <w:rPr>
          <w:rFonts w:ascii="PT Astra Serif" w:hAnsi="PT Astra Serif" w:cs="PT Astra Serif"/>
          <w:color w:val="000000" w:themeColor="text1"/>
          <w:highlight w:val="white"/>
        </w:rPr>
      </w:r>
      <w:r>
        <w:rPr>
          <w:rFonts w:ascii="PT Astra Serif" w:hAnsi="PT Astra Serif" w:cs="PT Astra Serif"/>
          <w:color w:val="000000" w:themeColor="text1"/>
          <w:highlight w:val="white"/>
        </w:rPr>
      </w:r>
    </w:p>
    <w:p>
      <w:pPr>
        <w:pStyle w:val="98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Трудовому кодексу РФ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Федеральному закону РФ от 30.03.1999 № 52-ФЗ «О санитарно-эпидемиологическом благополучии населения»;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eastAsia="en-US"/>
        </w:rPr>
        <w:t xml:space="preserve">Федеральному закону от 21.11.2011 г. № 323-ФЗ «Об основах охраны здоровья граждан в Российской Федерации»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Приказу Министерства здравоохранения РФ от 28 января 2021 г. N 29 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(далее –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Приказ 29н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).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Постановлению Правительства РФ от 01.06.2021 № 852 "О лицензировании медицинской деятельности (за исключением указанной деятельно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 (вместе с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"Положением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"Сколково")") 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Приказу Минздрава России от 18.02.2022 N 90н (ред. от 30.07.2025) Об утверждении формы, порядка ведения отчетности, учета и выдачи работникам личных медицинских книжек, в том числе в форме электронного документа.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Приказ Минздрава РФ от 29.06.2000 N 229 «О профессиональной гигиенической подготовке и аттестации должностных лиц и работников организаций».</w:t>
      </w:r>
      <w:r>
        <w:rPr>
          <w:rFonts w:ascii="PT Astra Serif" w:hAnsi="PT Astra Serif" w:cs="PT Astra Serif"/>
          <w:color w:val="000000" w:themeColor="text1"/>
          <w14:ligatures w14:val="none"/>
        </w:rPr>
      </w:r>
      <w:r>
        <w:rPr>
          <w:rFonts w:ascii="PT Astra Serif" w:hAnsi="PT Astra Serif" w:cs="PT Astra Serif"/>
          <w:color w:val="000000" w:themeColor="text1"/>
          <w14:ligatures w14:val="none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Услуги должны оказываться с соблюдением норм безопасности услуг для жизни, здоровь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я, имущества учреждения и окружающей среды при обычных условиях ее использования, хранения, транспортировки и утилизации, а также безопасность процесса оказания услуги (Закон Российской Федерации от 07.02.1992 № 2300-1 «О защите прав потребителей»), а такж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е с соблюдением требований пожарной безопасности, охраны труда и иных норм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.</w:t>
      </w:r>
      <w:r>
        <w:rPr>
          <w:rFonts w:ascii="PT Astra Serif" w:hAnsi="PT Astra Serif" w:cs="PT Astra Serif"/>
          <w:color w:val="000000" w:themeColor="text1"/>
          <w:highlight w:val="white"/>
        </w:rPr>
      </w:r>
      <w:r>
        <w:rPr>
          <w:rFonts w:ascii="PT Astra Serif" w:hAnsi="PT Astra Serif" w:cs="PT Astra Serif"/>
          <w:color w:val="000000" w:themeColor="text1"/>
          <w:highlight w:val="white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Исполнитель не имеет права самостоятельно изменить виды и объем подлежащих оказанию услуг.</w:t>
      </w:r>
      <w:r>
        <w:rPr>
          <w:rFonts w:ascii="PT Astra Serif" w:hAnsi="PT Astra Serif" w:cs="PT Astra Serif"/>
          <w:color w:val="000000" w:themeColor="text1"/>
          <w:highlight w:val="white"/>
        </w:rPr>
      </w:r>
      <w:r>
        <w:rPr>
          <w:rFonts w:ascii="PT Astra Serif" w:hAnsi="PT Astra Serif" w:cs="PT Astra Serif"/>
          <w:color w:val="000000" w:themeColor="text1"/>
          <w:highlight w:val="white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  <w:lang w:bidi="ar-SA"/>
        </w:rPr>
        <w:t xml:space="preserve">Исполнитель оказывает услуги своими силами (без привлечения соисполнителей).</w:t>
      </w:r>
      <w:r>
        <w:rPr>
          <w:rFonts w:ascii="PT Astra Serif" w:hAnsi="PT Astra Serif" w:cs="PT Astra Serif"/>
          <w:color w:val="000000" w:themeColor="text1"/>
          <w:highlight w:val="white"/>
        </w:rPr>
      </w:r>
      <w:r>
        <w:rPr>
          <w:rFonts w:ascii="PT Astra Serif" w:hAnsi="PT Astra Serif" w:cs="PT Astra Serif"/>
          <w:color w:val="000000" w:themeColor="text1"/>
          <w:highlight w:val="white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У Исполнителя должны быть все необходимые врачи-специалисты, а также оборудование для проведения лабораторных и функциональных исследований, с в соответствии с Приказом № 29н.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Исполнитель обязан иметь постоянную действующую врачебную комиссию (ВК). Возглавлять ВК должен врач-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профпатолог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. В состав ВК должен быть включен врач-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профпатолог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, а также врачи-специалисты, прошедшие в установленном порядке повышение квалификации по специальности "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профпатология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" или имеющие действующий сертификат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по специальности "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профпатология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".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Медицинский инструментарий, расходные материалы, медицинское лабораторное оборудование и химические реактивы, используемые при оказании услуг, должны соответствовать требованиям действующего законодательства РФ, в том числ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е быть стерильными, однократного применения и соответствовать санитарно-эпидемиологического режиму. Все используемое оборудование должно иметь все необходимые сертификаты и регистрационные удостоверения, а также своевременно проходить поверки и калибровки.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Не допускается разглашение сведений, составляющих врачебную тайну (сведения о состоянии здоровья и диагнозе работника или лица, проходящего мед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ицинский осмотр, иные сведения, полученные при медицинском обследовании), кроме сведений, касающихся выявленных профессиональных заболеваний сотрудников. Сведения о профессиональных заболеваниях сотрудников Исполнитель обязан включить в заключительный акт.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Медицинские осмотры осуществляются в соответствии с режимом работы Заказчика и Исполнителя, с согласованным графиком, утвержденным руководителем Заказчика, а также поименным списком сотрудников, в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котором  указываются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: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 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фамилия, имя, отчество (при наличии) работника; 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профессия (должность) работника, стаж работы в ней; 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наименование вредных производственных факторов или видов услуг.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Если сотрудник Заказчика в силу непреодолимых условий не может пройти медицинский осмотр в период, указанный в календарном плане, он проходит его по адресу Исполнителя в другое время. Время прохождения медицинского осмотра назначает Исполнитель.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Перечень оказываемых услуг определяется и конкретизируется по отношению к каждому работнику Заказчика, направленного на медицинский осмотр.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Осмотр врачами - специалистами одного сотрудника оказывается в течение одного дня по одному адресу (без перемещения сотрудников по разным адресам).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numPr>
          <w:ilvl w:val="0"/>
          <w:numId w:val="8"/>
        </w:numPr>
        <w:contextualSpacing/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На работника, проходящего медицинский осмотр, Исполнитель обязан оформить следующие документы (при отсутствии): </w:t>
      </w:r>
      <w:r>
        <w:rPr>
          <w:rFonts w:ascii="PT Astra Serif" w:hAnsi="PT Astra Serif" w:cs="PT Astra Serif"/>
          <w:color w:val="000000" w:themeColor="text1"/>
          <w:highlight w:val="white"/>
        </w:rPr>
      </w:r>
      <w:r>
        <w:rPr>
          <w:rFonts w:ascii="PT Astra Serif" w:hAnsi="PT Astra Serif" w:cs="PT Astra Serif"/>
          <w:color w:val="000000" w:themeColor="text1"/>
          <w:highlight w:val="white"/>
        </w:rPr>
      </w:r>
    </w:p>
    <w:p>
      <w:pPr>
        <w:pStyle w:val="988"/>
        <w:numPr>
          <w:ilvl w:val="0"/>
          <w:numId w:val="10"/>
        </w:numPr>
        <w:ind w:left="0"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медицинск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ая карта, в которую вносятся заключения врачей-специалистов, результаты лабораторных и иных исследований,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shd w:val="clear" w:color="auto" w:fill="ffffff"/>
        </w:rPr>
        <w:t xml:space="preserve">ведение которой может осуществляться в форме электронного документа.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0"/>
        </w:numPr>
        <w:ind w:left="0"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b/>
          <w:color w:val="000000" w:themeColor="text1"/>
          <w:sz w:val="22"/>
          <w:szCs w:val="22"/>
        </w:rPr>
        <w:t xml:space="preserve">заключение по результатам периодического осмотра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, ведение которого может осуществляться в форме электронного документа.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В заключении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u w:val="single"/>
        </w:rPr>
        <w:t xml:space="preserve">указываются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 информация в соответствии с п. 16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Приказа 29н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ind w:left="0"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Заключение подписывается председателем врачебной комиссии с указанием его фамилии и инициалов, и заверяется печатью (при наличии) Исполнителя.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ind w:left="0"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Допускается выдача заключения в форме электронного документа, подписанного усиленной квалифи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цированной электронной подписью, посредством передачи по защищенным каналам связи, исключающим возможность несанкционированного доступа к информации третьих лиц, и с соблюдением требований законодательства Российской Федерации о защите персональных данных.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ind w:left="0"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Заключение составляется в пяти экземплярах, один экземпляр которого не позднее 5 рабочих дней выдается работнику. Второй экземпляр Заключения приобщается к медицинской карте, оформляемой в медицинской организации, в которой проводил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ся периодический осмотр,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письменного согласия работника.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ind w:left="0"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При наличии доступа у Исполнителя в единую государственную информационную систему в сфере здравоохранения заключение в форме электронного документа в соответствии с порядк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ом организации системы документооборота в сфере охраны здоровья в части ведения медицинской документации в форме электронных документов вносится Исполнителем не позднее 5 рабочих дней в единую государственную информационную систему в сфере здравоохранения.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1.17.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При проведении периодического осмотра сотрудники проходят: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анкетирование в целях сбора анамнеза, выявления отягощенной наследственности, жалоб, симптомо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обструктивной болезни легких, заболеваний желудочно-кишечного тракта,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дорсопатий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; определения факторов риска и других патологических состояний и за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расчет на основании антропометрии (измерение роста, массы тела, окружности талии) индекса массы тела, проводится для граждан в возрасте 18 лет и старше;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шкалы;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определение абсолютного сердечно-сосудистого риска - у граждан в возрасте старше 40 лет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numPr>
          <w:ilvl w:val="0"/>
          <w:numId w:val="1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измерение артериального давления на периферических артериях, проводится для граждан в возрасте 18 лет и старше;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988"/>
        <w:ind w:left="0"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На основании результатов периодиче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ского осмотра работнику даются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реабилитации, которые оформляются в медицинской карте.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r>
      <w:bookmarkStart w:id="0" w:name="undefined"/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1.18.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о медицинского обследования. Работодателю направляется информация о выдаче такой справки, работник считается не прошедшим периодический осмотр с учетом выявленных заболеваний (состояний) и медицинских противопоказаний к осуществлению отдельных видов работ.</w:t>
      </w:r>
      <w:bookmarkEnd w:id="0"/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1.19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. Дополнительные обследования не входят в медицинский осмотр и осуществляются в соответствии с </w:t>
      </w:r>
      <w:hyperlink r:id="rId11" w:tooltip="http://ivo.garant.ru/document/redirect/12191967/3" w:history="1">
        <w:r>
          <w:rPr>
            <w:rStyle w:val="994"/>
            <w:rFonts w:ascii="PT Astra Serif" w:hAnsi="PT Astra Serif" w:eastAsia="PT Astra Serif" w:cs="PT Astra Serif"/>
            <w:color w:val="000000" w:themeColor="text1"/>
            <w:sz w:val="22"/>
            <w:szCs w:val="22"/>
          </w:rPr>
          <w:t xml:space="preserve">законодательством</w:t>
        </w:r>
      </w:hyperlink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 РФ об охране здоровья граждан за счет средств обязательного медицинского страхования.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1.20.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 Медицинская карта хранится в установленном порядке у Исполнителя. В случае ликвидации или смены Исполнителя, осуществляющего предварительные или периодические осмотры, медицинская карта передается в центр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профпатологии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 субъекта РФ, на территории которого она расположена.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1.21.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Данные о прохождении медицинских осмотров подлежат внесению в личные медицинские книжки сотрудников.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b/>
          <w:bCs/>
          <w:color w:val="000000" w:themeColor="text1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  <w:lang w:bidi="ar-SA"/>
        </w:rPr>
        <w:t xml:space="preserve">1.22.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lang w:bidi="ar-SA"/>
        </w:rPr>
        <w:t xml:space="preserve"> По итогам прохождения периодического осмотра всеми сотрудниками Заказчика Исполнителем оформляется заключительный акт по его результатам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, в котором указываются сведения в соответствии с п. 45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Приказа 29н.</w:t>
      </w:r>
      <w:r>
        <w:rPr>
          <w:rFonts w:ascii="PT Astra Serif" w:hAnsi="PT Astra Serif" w:cs="PT Astra Serif"/>
          <w:b/>
          <w:bCs/>
          <w:color w:val="000000" w:themeColor="text1"/>
        </w:rPr>
      </w:r>
      <w:r>
        <w:rPr>
          <w:rFonts w:ascii="PT Astra Serif" w:hAnsi="PT Astra Serif" w:cs="PT Astra Serif"/>
          <w:b/>
          <w:bCs/>
          <w:color w:val="000000" w:themeColor="text1"/>
        </w:rPr>
      </w:r>
    </w:p>
    <w:p>
      <w:pPr>
        <w:contextualSpacing/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Заключительный акт подписывается председателем врачебной комиссии и заверяется печатью Исполнителя.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contextualSpacing/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Заключительный акт (в том числе в электронной форме) составляется в пяти экземплярах, которые направляются медицинской организацией в течение 5 рабочих дней от даты утверждения акта работодателю, в центр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профпатологии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 субъекта Российской Федерации, Фонд социального страхования, в территориальный орган Федеральной службы по надзору в сфере защиты прав потребителей и благополучия человека, один экземпляр заключительного акта хранится у Исполнителя.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ind w:firstLine="709"/>
        <w:jc w:val="both"/>
        <w:widowControl/>
        <w:tabs>
          <w:tab w:val="left" w:pos="113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1.23.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Периодический медицинский осмотр является завершенным в случае осмотра сотрудников всеми врачами-специалистами, выполнения полного объема лабораторных и </w:t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  <w:t xml:space="preserve">функциональных исследований, занесения всех результатов в медицинские книжки и передачи их Заказчику, а также передачи Заказчику медицинских заключений сотрудников и итогового заключения. </w:t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contextualSpacing/>
        <w:jc w:val="both"/>
        <w:tabs>
          <w:tab w:val="left" w:pos="1701" w:leader="none"/>
        </w:tabs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  <w:highlight w:val="white"/>
        </w:rPr>
      </w:r>
      <w:r>
        <w:rPr>
          <w:rFonts w:ascii="PT Astra Serif" w:hAnsi="PT Astra Serif" w:cs="PT Astra Serif"/>
          <w:color w:val="000000" w:themeColor="text1"/>
          <w:highlight w:val="white"/>
        </w:rPr>
      </w:r>
      <w:r>
        <w:rPr>
          <w:rFonts w:ascii="PT Astra Serif" w:hAnsi="PT Astra Serif" w:cs="PT Astra Serif"/>
          <w:color w:val="000000" w:themeColor="text1"/>
          <w:highlight w:val="white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Приложение № 3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к Контракту № ____ от __________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center"/>
        <w:tabs>
          <w:tab w:val="left" w:pos="6094" w:leader="none"/>
        </w:tabs>
        <w:rPr>
          <w:rFonts w:ascii="PT Astra Serif" w:hAnsi="PT Astra Serif" w:cs="PT Astra Serif"/>
          <w:b/>
          <w:bCs/>
          <w:color w:val="000000" w:themeColor="text1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</w:rPr>
        <w:t xml:space="preserve">Список работников,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2"/>
          <w:szCs w:val="22"/>
          <w:shd w:val="clear" w:color="auto" w:fill="ffffff"/>
        </w:rPr>
        <w:t xml:space="preserve">подлежащих периодическим осмотрам.</w:t>
      </w:r>
      <w:r>
        <w:rPr>
          <w:rFonts w:ascii="PT Astra Serif" w:hAnsi="PT Astra Serif" w:cs="PT Astra Serif"/>
          <w:b/>
          <w:bCs/>
          <w:color w:val="000000" w:themeColor="text1"/>
        </w:rPr>
      </w:r>
      <w:r>
        <w:rPr>
          <w:rFonts w:ascii="PT Astra Serif" w:hAnsi="PT Astra Serif" w:cs="PT Astra Serif"/>
          <w:b/>
          <w:bCs/>
          <w:color w:val="000000" w:themeColor="text1"/>
        </w:rPr>
      </w:r>
    </w:p>
    <w:p>
      <w:pPr>
        <w:jc w:val="center"/>
        <w:tabs>
          <w:tab w:val="left" w:pos="6094" w:leader="none"/>
        </w:tabs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tbl>
      <w:tblPr>
        <w:tblW w:w="976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701"/>
        <w:gridCol w:w="600"/>
        <w:gridCol w:w="1559"/>
        <w:gridCol w:w="5319"/>
      </w:tblGrid>
      <w:tr>
        <w:tblPrEx/>
        <w:trPr>
          <w:trHeight w:val="210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t xml:space="preserve">наименование профессии (должности) работника согласно штатному расписанию</w:t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widowControl/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t xml:space="preserve">Кол-во человек</w:t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t xml:space="preserve">Пункт вредного производственного фактора, работ в соответствии с Приложением к Порядку</w:t>
            </w:r>
            <w:r>
              <w:rPr>
                <w:rStyle w:val="954"/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footnoteReference w:id="2"/>
            </w:r>
            <w:r>
              <w:rPr>
                <w:rFonts w:ascii="PT Astra Serif" w:hAnsi="PT Astra Serif" w:cs="PT Astra Serif"/>
                <w:color w:val="000000" w:themeColor="text1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 w:themeColor="text1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t xml:space="preserve">Наименования вредных производственных факторов, работ в соответствии с Приложением к Порядку</w:t>
            </w:r>
            <w:r>
              <w:rPr>
                <w:rStyle w:val="954"/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footnoteReference w:id="3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18"/>
                <w:szCs w:val="18"/>
                <w:lang w:bidi="ar-SA"/>
              </w:rPr>
              <w:t xml:space="preserve">, а также вредных производственных факторов, установленных в результате специальной оценки условий труда</w:t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  <w:lang w:bidi="ar-SA"/>
              </w:rPr>
              <w:t xml:space="preserve">1</w:t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  <w:lang w:bidi="ar-SA"/>
              </w:rPr>
              <w:t xml:space="preserve">2</w:t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  <w:lang w:bidi="ar-SA"/>
              </w:rPr>
              <w:t xml:space="preserve">3</w:t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  <w:lang w:bidi="ar-SA"/>
              </w:rPr>
              <w:t xml:space="preserve">4</w:t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  <w:lang w:bidi="ar-SA"/>
              </w:rPr>
              <w:t xml:space="preserve">5</w:t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  <w:r>
              <w:rPr>
                <w:rFonts w:ascii="PT Astra Serif" w:hAnsi="PT Astra Serif" w:cs="PT Astra Serif"/>
                <w:bCs/>
                <w:i/>
                <w:color w:val="000000" w:themeColor="text1"/>
                <w:sz w:val="16"/>
                <w:szCs w:val="16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Старший воспитатель / ВРИО заведующего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trHeight w:val="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заведующий хозяйством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воспитатель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16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музыкальный руководитель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кастелянша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25,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помощник воспитателя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7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25, п. 5.1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hd w:val="clear" w:color="auto" w:fill="ffffff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Тяжесть трудового процесса Под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ъем, перемещение, удержание груза вручную Стереотипные рабочие движения. 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поднятыми выше уровня плеч руками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, с неудобным размещением ног, с невозможностью изменения взаимного положения различных частей тела относительно друг друга, длительное перемещение работника в пространстве) Работы, связанные с постоянной ходьбой и работой стоя в течение всего рабочего дня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 кухонный рабочий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25, 23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5.1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Работы, где имеется контакт с пищевыми продуктами в процессе их производства, хранения, транспортировки и реализации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 (в организациях пищевых и перерабатывающих отраслей промышленности, сельского хозяйства, пунктах, базах, складах хранения и реализации, в транспортных организациях, организациях торговли, общественного питания, на пищеблоках всех учреждений и организаций)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Тяжесть трудового процесса Подъем, перемещение, удержание груза вручную Стереотипные рабочие движения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поднятыми выше уровня плеч руками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, с неудобным размещением ног, с невозможностью изменения взаимного положения различных частей тела относительно друг друга, длительное перемещение работника в пространстве) Работы, связанные с постоянной ходьбой и работой стоя в течение всего рабочего дня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ab/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кладовщик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25, п. 5.1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</w:p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поднятыми выше уровня плеч руками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, с неудобным размещением ног, с невозможностью изменения взаимного положения различных частей тела относительно друг друга, длительное перемещение работника в пространстве) Работы, связанные с постоянной ходьбой и работой стоя в течение всего рабочего дня</w:t>
            </w:r>
            <w:r/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уборщик территории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25, п. 5.1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shd w:val="clear" w:color="auto" w:fill="ffffff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Тяжесть трудового процесса Подъем, перемещение, удержание груза вручную Стереотипные рабочие движения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поднятыми выше уровня плеч руками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, с неудобным размещением ног, с невозможностью изменения взаимного положения различных частей тела относительно друг друга, длительное перемещение работника в пространстве) Работы, связанные с постоянной ходьбой и работой стоя в течение всего рабочего дня</w:t>
            </w:r>
            <w:r/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shd w:val="clear" w:color="auto" w:fill="ffffff"/>
              </w:rPr>
            </w:r>
          </w:p>
        </w:tc>
      </w:tr>
      <w:tr>
        <w:tblPrEx/>
        <w:trPr>
          <w:trHeight w:val="17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2" w:type="dxa"/>
            <w:vAlign w:val="center"/>
            <w:vMerge w:val="restart"/>
            <w:textDirection w:val="lrTb"/>
            <w:noWrap w:val="false"/>
          </w:tcPr>
          <w:p>
            <w:pPr>
              <w:pStyle w:val="988"/>
              <w:numPr>
                <w:ilvl w:val="0"/>
                <w:numId w:val="7"/>
              </w:numPr>
              <w:jc w:val="center"/>
              <w:widowControl/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i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повар</w:t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  <w:r>
              <w:rPr>
                <w:rFonts w:ascii="PT Astra Serif" w:hAnsi="PT Astra Serif" w:cs="PT Astra Serif"/>
                <w:color w:val="000000" w:themeColor="text1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25, 23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п. 4.8, 5.1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  <w:t xml:space="preserve">Работы в организациях, деятельность которых связана с воспитанием и обучением детей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Работы, где имеется контакт с пищевыми продуктами в процессе их производства, хранения, транспортировки и реализации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 (в организациях пищевых и перерабатывающих отраслей промышленности, сельского хозяйства, пунктах, базах, складах хранения и реализации, в транспортных организациях, организациях торговли, общественного питания, на пищеблоках всех учреждений и организаций)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lang w:bidi="ar-SA"/>
              </w:rPr>
              <w:t xml:space="preserve">Параметры нагревающего микроклимата (температура, индекс тепловой нагрузки среды, влажность, тепловое излучение)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Тяжесть трудового процесса Подъем, перемещение, удержание груза вручную Стереотипные рабочие движения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pStyle w:val="993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поднятыми выше уровня плеч руками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, с неудобным размещением ног, с невозможностью изменения взаимного положения различных частей тела относительно друг друга, длительное перемещение работника в пространстве) Работы, связанные с постоянной ходьбой и работой стоя в течение всего рабочего дня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hd w:val="clear" w:color="auto" w:fill="ffffff"/>
              </w:rPr>
            </w:r>
          </w:p>
        </w:tc>
      </w:tr>
      <w:tr>
        <w:tblPrEx/>
        <w:trPr>
          <w:trHeight w:val="230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3" w:type="dxa"/>
            <w:vAlign w:val="center"/>
            <w:vMerge w:val="restart"/>
            <w:textDirection w:val="lrTb"/>
            <w:noWrap w:val="false"/>
          </w:tcPr>
          <w:p>
            <w:pPr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ВСЕГО: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  <w:t xml:space="preserve">31</w:t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3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PT Astra Serif" w:hAnsi="PT Astra Serif" w:cs="PT Astra Serif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</w:tbl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88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tabs>
          <w:tab w:val="left" w:pos="8097" w:leader="none"/>
          <w:tab w:val="right" w:pos="10064" w:leader="none"/>
        </w:tabs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</w:p>
    <w:sectPr>
      <w:footerReference w:type="default" r:id="rId9"/>
      <w:footnotePr/>
      <w:endnotePr/>
      <w:type w:val="nextPage"/>
      <w:pgSz w:w="11906" w:h="16838" w:orient="portrait"/>
      <w:pgMar w:top="568" w:right="850" w:bottom="709" w:left="1134" w:header="720" w:footer="7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2030504020204"/>
  </w:font>
  <w:font w:name="Tahoma">
    <w:panose1 w:val="020B0604030504040204"/>
  </w:font>
  <w:font w:name="Lucida Sans">
    <w:panose1 w:val="020B0602030504020204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Symbol">
    <w:panose1 w:val="05050102010706020507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ru-RU"/>
      </w:rPr>
      <w:t xml:space="preserve">15</w:t>
    </w:r>
    <w:r>
      <w:fldChar w:fldCharType="end"/>
    </w:r>
    <w:r/>
  </w:p>
  <w:p>
    <w:pPr>
      <w:pStyle w:val="98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64"/>
      </w:pPr>
      <w:r>
        <w:rPr>
          <w:rStyle w:val="954"/>
        </w:rPr>
        <w:footnoteRef/>
      </w:r>
      <w:r>
        <w:t xml:space="preserve"> Приложение к Порядку проведения обяза</w:t>
      </w:r>
      <w:r>
        <w:t xml:space="preserve">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Министерства здравоохранения Российской Федерации от 28 января 2021 г. N 29н</w:t>
      </w:r>
      <w:r/>
    </w:p>
  </w:footnote>
  <w:footnote w:id="3">
    <w:p>
      <w:pPr>
        <w:pStyle w:val="964"/>
      </w:pPr>
      <w:r>
        <w:rPr>
          <w:rStyle w:val="954"/>
        </w:rPr>
        <w:footnoteRef/>
      </w:r>
      <w:r>
        <w:t xml:space="preserve"> Приложение к Порядку проведения обяза</w:t>
      </w:r>
      <w:r>
        <w:t xml:space="preserve">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Министерства здравоохранения Российской Федерации от 28 января 2021 г. N 29н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  <w:rPr>
        <w:rFonts w:hint="default"/>
        <w:b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283" w:leader="none"/>
        </w:tabs>
      </w:pPr>
      <w:rPr>
        <w:rFonts w:hint="default"/>
        <w:b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96" w:hanging="720"/>
        <w:tabs>
          <w:tab w:val="num" w:pos="0" w:leader="none"/>
        </w:tabs>
      </w:pPr>
      <w:rPr>
        <w:rFonts w:hint="default"/>
        <w:b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04" w:hanging="720"/>
        <w:tabs>
          <w:tab w:val="num" w:pos="0" w:leader="none"/>
        </w:tabs>
      </w:pPr>
      <w:rPr>
        <w:rFonts w:hint="default"/>
        <w:b/>
        <w:sz w:val="24"/>
        <w:szCs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72" w:hanging="1080"/>
        <w:tabs>
          <w:tab w:val="num" w:pos="0" w:leader="none"/>
        </w:tabs>
      </w:pPr>
      <w:rPr>
        <w:rFonts w:hint="default"/>
        <w:b/>
        <w:sz w:val="24"/>
        <w:szCs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480" w:hanging="1080"/>
        <w:tabs>
          <w:tab w:val="num" w:pos="0" w:leader="none"/>
        </w:tabs>
      </w:pPr>
      <w:rPr>
        <w:rFonts w:hint="default"/>
        <w:b/>
        <w:sz w:val="24"/>
        <w:szCs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48" w:hanging="1440"/>
        <w:tabs>
          <w:tab w:val="num" w:pos="0" w:leader="none"/>
        </w:tabs>
      </w:pPr>
      <w:rPr>
        <w:rFonts w:hint="default"/>
        <w:b/>
        <w:sz w:val="24"/>
        <w:szCs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56" w:hanging="1440"/>
        <w:tabs>
          <w:tab w:val="num" w:pos="0" w:leader="none"/>
        </w:tabs>
      </w:pPr>
      <w:rPr>
        <w:rFonts w:hint="default"/>
        <w:b/>
        <w:sz w:val="24"/>
        <w:szCs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824" w:hanging="1800"/>
        <w:tabs>
          <w:tab w:val="num" w:pos="0" w:leader="none"/>
        </w:tabs>
      </w:pPr>
      <w:rPr>
        <w:rFonts w:hint="default"/>
        <w:b/>
        <w:sz w:val="24"/>
        <w:szCs w:val="24"/>
      </w:r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color w:val="000000"/>
        <w:spacing w:val="-1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1637" w:hanging="360"/>
        <w:tabs>
          <w:tab w:val="num" w:pos="1637" w:leader="none"/>
        </w:tabs>
      </w:pPr>
      <w:rPr>
        <w:rFonts w:hint="default"/>
        <w:color w:val="000000"/>
        <w:spacing w:val="-1"/>
        <w:sz w:val="22"/>
        <w:szCs w:val="22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730" w:hanging="720"/>
        <w:tabs>
          <w:tab w:val="num" w:pos="2730" w:leader="none"/>
        </w:tabs>
      </w:pPr>
      <w:rPr>
        <w:rFonts w:hint="default"/>
        <w:color w:val="000000"/>
        <w:spacing w:val="-1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735" w:hanging="720"/>
        <w:tabs>
          <w:tab w:val="num" w:pos="3735" w:leader="none"/>
        </w:tabs>
      </w:pPr>
      <w:rPr>
        <w:rFonts w:hint="default"/>
        <w:color w:val="000000"/>
        <w:spacing w:val="-1"/>
        <w:sz w:val="24"/>
        <w:szCs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100" w:hanging="1080"/>
        <w:tabs>
          <w:tab w:val="num" w:pos="5100" w:leader="none"/>
        </w:tabs>
      </w:pPr>
      <w:rPr>
        <w:rFonts w:hint="default"/>
        <w:color w:val="000000"/>
        <w:spacing w:val="-1"/>
        <w:sz w:val="24"/>
        <w:szCs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105" w:hanging="1080"/>
        <w:tabs>
          <w:tab w:val="num" w:pos="6105" w:leader="none"/>
        </w:tabs>
      </w:pPr>
      <w:rPr>
        <w:rFonts w:hint="default"/>
        <w:color w:val="000000"/>
        <w:spacing w:val="-1"/>
        <w:sz w:val="24"/>
        <w:szCs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470" w:hanging="1440"/>
        <w:tabs>
          <w:tab w:val="num" w:pos="7470" w:leader="none"/>
        </w:tabs>
      </w:pPr>
      <w:rPr>
        <w:rFonts w:hint="default"/>
        <w:color w:val="000000"/>
        <w:spacing w:val="-1"/>
        <w:sz w:val="24"/>
        <w:szCs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475" w:hanging="1440"/>
        <w:tabs>
          <w:tab w:val="num" w:pos="8475" w:leader="none"/>
        </w:tabs>
      </w:pPr>
      <w:rPr>
        <w:rFonts w:hint="default"/>
        <w:color w:val="000000"/>
        <w:spacing w:val="-1"/>
        <w:sz w:val="24"/>
        <w:szCs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840" w:hanging="1800"/>
        <w:tabs>
          <w:tab w:val="num" w:pos="9840" w:leader="none"/>
        </w:tabs>
      </w:pPr>
      <w:rPr>
        <w:rFonts w:hint="default"/>
        <w:color w:val="000000"/>
        <w:spacing w:val="-1"/>
        <w:sz w:val="24"/>
        <w:szCs w:val="24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4.%2.%3."/>
      <w:lvlJc w:val="left"/>
      <w:pPr>
        <w:ind w:left="1224" w:hanging="504"/>
        <w:tabs>
          <w:tab w:val="num" w:pos="1440" w:leader="none"/>
        </w:tabs>
      </w:pPr>
      <w:rPr>
        <w:rFonts w:hint="default"/>
        <w:color w:val="00000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  <w:color w:val="000000"/>
        <w:sz w:val="24"/>
        <w:szCs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  <w:color w:val="000000"/>
        <w:sz w:val="24"/>
        <w:szCs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  <w:color w:val="000000"/>
        <w:sz w:val="24"/>
        <w:szCs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  <w:color w:val="000000"/>
        <w:sz w:val="24"/>
        <w:szCs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  <w:color w:val="000000"/>
        <w:sz w:val="24"/>
        <w:szCs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  <w:color w:val="000000"/>
        <w:sz w:val="24"/>
        <w:szCs w:val="24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69" w:firstLine="851"/>
        <w:tabs>
          <w:tab w:val="num" w:pos="1903" w:leader="none"/>
        </w:tabs>
      </w:pPr>
      <w:rPr>
        <w:rFonts w:hint="default" w:ascii="Symbol" w:hAnsi="Symbol" w:cs="Symbol"/>
        <w:color w:val="000000"/>
        <w:spacing w:val="-1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1.%1. "/>
      <w:lvlJc w:val="right"/>
      <w:pPr>
        <w:ind w:left="1004" w:hanging="360"/>
      </w:pPr>
      <w:rPr>
        <w:rFonts w:ascii="PT Astra Serif" w:hAnsi="PT Astra Serif" w:eastAsia="PT Astra Serif" w:cs="PT Astra Serif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1.3.%1. "/>
      <w:lvlJc w:val="left"/>
      <w:pPr>
        <w:ind w:left="709" w:hanging="360"/>
      </w:pPr>
      <w:rPr>
        <w:rFonts w:ascii="PT Astra Serif" w:hAnsi="PT Astra Serif" w:eastAsia="PT Astra Serif" w:cs="PT Astra Serif"/>
        <w:b w:val="0"/>
        <w:i/>
        <w:color w:val="00206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1440" w:hanging="360"/>
      </w:pPr>
      <w:rPr>
        <w:rFonts w:hint="default" w:ascii="Wingdings" w:hAnsi="Wingdings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1.%1. "/>
      <w:lvlJc w:val="right"/>
      <w:pPr>
        <w:ind w:left="1004" w:hanging="360"/>
      </w:pPr>
      <w:rPr>
        <w:rFonts w:ascii="PT Astra Serif" w:hAnsi="PT Astra Serif" w:eastAsia="PT Astra Serif" w:cs="PT Astra Serif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1.%1. "/>
      <w:lvlJc w:val="right"/>
      <w:pPr>
        <w:ind w:left="1004" w:hanging="360"/>
      </w:pPr>
      <w:rPr>
        <w:rFonts w:ascii="PT Astra Serif" w:hAnsi="PT Astra Serif" w:eastAsia="PT Astra Serif" w:cs="PT Astra Serif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1.%1. "/>
      <w:lvlJc w:val="right"/>
      <w:pPr>
        <w:ind w:left="1004" w:hanging="360"/>
      </w:pPr>
      <w:rPr>
        <w:rFonts w:ascii="PT Astra Serif" w:hAnsi="PT Astra Serif" w:eastAsia="PT Astra Serif" w:cs="PT Astra Serif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>
    <w:name w:val="Heading 1"/>
    <w:basedOn w:val="894"/>
    <w:next w:val="894"/>
    <w:link w:val="72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6">
    <w:name w:val="Heading 1 Char"/>
    <w:basedOn w:val="895"/>
    <w:link w:val="725"/>
    <w:uiPriority w:val="9"/>
    <w:rPr>
      <w:rFonts w:ascii="Arial" w:hAnsi="Arial" w:eastAsia="Arial" w:cs="Arial"/>
      <w:sz w:val="40"/>
      <w:szCs w:val="40"/>
    </w:rPr>
  </w:style>
  <w:style w:type="paragraph" w:styleId="727">
    <w:name w:val="Heading 2"/>
    <w:basedOn w:val="894"/>
    <w:next w:val="894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8">
    <w:name w:val="Heading 2 Char"/>
    <w:basedOn w:val="895"/>
    <w:link w:val="727"/>
    <w:uiPriority w:val="9"/>
    <w:rPr>
      <w:rFonts w:ascii="Arial" w:hAnsi="Arial" w:eastAsia="Arial" w:cs="Arial"/>
      <w:sz w:val="34"/>
    </w:rPr>
  </w:style>
  <w:style w:type="paragraph" w:styleId="729">
    <w:name w:val="Heading 3"/>
    <w:basedOn w:val="894"/>
    <w:next w:val="894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0">
    <w:name w:val="Heading 3 Char"/>
    <w:basedOn w:val="895"/>
    <w:link w:val="729"/>
    <w:uiPriority w:val="9"/>
    <w:rPr>
      <w:rFonts w:ascii="Arial" w:hAnsi="Arial" w:eastAsia="Arial" w:cs="Arial"/>
      <w:sz w:val="30"/>
      <w:szCs w:val="30"/>
    </w:rPr>
  </w:style>
  <w:style w:type="paragraph" w:styleId="731">
    <w:name w:val="Heading 4"/>
    <w:basedOn w:val="894"/>
    <w:next w:val="894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2">
    <w:name w:val="Heading 4 Char"/>
    <w:basedOn w:val="895"/>
    <w:link w:val="731"/>
    <w:uiPriority w:val="9"/>
    <w:rPr>
      <w:rFonts w:ascii="Arial" w:hAnsi="Arial" w:eastAsia="Arial" w:cs="Arial"/>
      <w:b/>
      <w:bCs/>
      <w:sz w:val="26"/>
      <w:szCs w:val="26"/>
    </w:rPr>
  </w:style>
  <w:style w:type="paragraph" w:styleId="733">
    <w:name w:val="Heading 5"/>
    <w:basedOn w:val="894"/>
    <w:next w:val="894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4">
    <w:name w:val="Heading 5 Char"/>
    <w:basedOn w:val="895"/>
    <w:link w:val="733"/>
    <w:uiPriority w:val="9"/>
    <w:rPr>
      <w:rFonts w:ascii="Arial" w:hAnsi="Arial" w:eastAsia="Arial" w:cs="Arial"/>
      <w:b/>
      <w:bCs/>
      <w:sz w:val="24"/>
      <w:szCs w:val="24"/>
    </w:rPr>
  </w:style>
  <w:style w:type="paragraph" w:styleId="735">
    <w:name w:val="Heading 6"/>
    <w:basedOn w:val="894"/>
    <w:next w:val="894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6">
    <w:name w:val="Heading 6 Char"/>
    <w:basedOn w:val="895"/>
    <w:link w:val="735"/>
    <w:uiPriority w:val="9"/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894"/>
    <w:next w:val="894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8">
    <w:name w:val="Heading 7 Char"/>
    <w:basedOn w:val="895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894"/>
    <w:next w:val="894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0">
    <w:name w:val="Heading 8 Char"/>
    <w:basedOn w:val="895"/>
    <w:link w:val="739"/>
    <w:uiPriority w:val="9"/>
    <w:rPr>
      <w:rFonts w:ascii="Arial" w:hAnsi="Arial" w:eastAsia="Arial" w:cs="Arial"/>
      <w:i/>
      <w:iCs/>
      <w:sz w:val="22"/>
      <w:szCs w:val="22"/>
    </w:rPr>
  </w:style>
  <w:style w:type="paragraph" w:styleId="741">
    <w:name w:val="Heading 9"/>
    <w:basedOn w:val="894"/>
    <w:next w:val="894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2">
    <w:name w:val="Heading 9 Char"/>
    <w:basedOn w:val="895"/>
    <w:link w:val="741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Title"/>
    <w:basedOn w:val="894"/>
    <w:next w:val="894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895"/>
    <w:link w:val="743"/>
    <w:uiPriority w:val="10"/>
    <w:rPr>
      <w:sz w:val="48"/>
      <w:szCs w:val="48"/>
    </w:rPr>
  </w:style>
  <w:style w:type="paragraph" w:styleId="745">
    <w:name w:val="Subtitle"/>
    <w:basedOn w:val="894"/>
    <w:next w:val="894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895"/>
    <w:link w:val="745"/>
    <w:uiPriority w:val="11"/>
    <w:rPr>
      <w:sz w:val="24"/>
      <w:szCs w:val="24"/>
    </w:rPr>
  </w:style>
  <w:style w:type="paragraph" w:styleId="747">
    <w:name w:val="Quote"/>
    <w:basedOn w:val="894"/>
    <w:next w:val="894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4"/>
    <w:next w:val="894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895"/>
    <w:link w:val="979"/>
    <w:uiPriority w:val="99"/>
  </w:style>
  <w:style w:type="character" w:styleId="752">
    <w:name w:val="Footer Char"/>
    <w:basedOn w:val="895"/>
    <w:link w:val="980"/>
    <w:uiPriority w:val="99"/>
  </w:style>
  <w:style w:type="character" w:styleId="753">
    <w:name w:val="Caption Char"/>
    <w:basedOn w:val="895"/>
    <w:link w:val="960"/>
    <w:uiPriority w:val="35"/>
    <w:rPr>
      <w:b/>
      <w:bCs/>
      <w:color w:val="4f81bd" w:themeColor="accent1"/>
      <w:sz w:val="18"/>
      <w:szCs w:val="18"/>
    </w:rPr>
  </w:style>
  <w:style w:type="table" w:styleId="754">
    <w:name w:val="Table Grid"/>
    <w:basedOn w:val="89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54">
    <w:name w:val="List Table 7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5">
    <w:name w:val="List Table 7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6">
    <w:name w:val="List Table 7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57">
    <w:name w:val="List Table 7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58">
    <w:name w:val="List Table 7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59">
    <w:name w:val="Lined - Accent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1">
    <w:name w:val="Lined - Accent 2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2">
    <w:name w:val="Lined - Accent 3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3">
    <w:name w:val="Lined - Accent 4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4">
    <w:name w:val="Lined - Accent 5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5">
    <w:name w:val="Lined - Accent 6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6">
    <w:name w:val="Bordered &amp; Lined - Accent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8">
    <w:name w:val="Bordered &amp; Lined - Accent 2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9">
    <w:name w:val="Bordered &amp; Lined - Accent 3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0">
    <w:name w:val="Bordered &amp; Lined - Accent 4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1">
    <w:name w:val="Bordered &amp; Lined - Accent 5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2">
    <w:name w:val="Bordered &amp; Lined - Accent 6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3">
    <w:name w:val="Bordered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Footnote Text Char"/>
    <w:link w:val="964"/>
    <w:uiPriority w:val="99"/>
    <w:rPr>
      <w:sz w:val="18"/>
    </w:rPr>
  </w:style>
  <w:style w:type="paragraph" w:styleId="881">
    <w:name w:val="endnote text"/>
    <w:basedOn w:val="894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paragraph" w:styleId="883">
    <w:name w:val="toc 1"/>
    <w:basedOn w:val="894"/>
    <w:next w:val="894"/>
    <w:uiPriority w:val="39"/>
    <w:unhideWhenUsed/>
    <w:pPr>
      <w:ind w:left="0" w:right="0" w:firstLine="0"/>
      <w:spacing w:after="57"/>
    </w:pPr>
  </w:style>
  <w:style w:type="paragraph" w:styleId="884">
    <w:name w:val="toc 2"/>
    <w:basedOn w:val="894"/>
    <w:next w:val="894"/>
    <w:uiPriority w:val="39"/>
    <w:unhideWhenUsed/>
    <w:pPr>
      <w:ind w:left="283" w:right="0" w:firstLine="0"/>
      <w:spacing w:after="57"/>
    </w:pPr>
  </w:style>
  <w:style w:type="paragraph" w:styleId="885">
    <w:name w:val="toc 3"/>
    <w:basedOn w:val="894"/>
    <w:next w:val="894"/>
    <w:uiPriority w:val="39"/>
    <w:unhideWhenUsed/>
    <w:pPr>
      <w:ind w:left="567" w:right="0" w:firstLine="0"/>
      <w:spacing w:after="57"/>
    </w:pPr>
  </w:style>
  <w:style w:type="paragraph" w:styleId="886">
    <w:name w:val="toc 4"/>
    <w:basedOn w:val="894"/>
    <w:next w:val="894"/>
    <w:uiPriority w:val="39"/>
    <w:unhideWhenUsed/>
    <w:pPr>
      <w:ind w:left="850" w:right="0" w:firstLine="0"/>
      <w:spacing w:after="57"/>
    </w:pPr>
  </w:style>
  <w:style w:type="paragraph" w:styleId="887">
    <w:name w:val="toc 5"/>
    <w:basedOn w:val="894"/>
    <w:next w:val="894"/>
    <w:uiPriority w:val="39"/>
    <w:unhideWhenUsed/>
    <w:pPr>
      <w:ind w:left="1134" w:right="0" w:firstLine="0"/>
      <w:spacing w:after="57"/>
    </w:pPr>
  </w:style>
  <w:style w:type="paragraph" w:styleId="888">
    <w:name w:val="toc 6"/>
    <w:basedOn w:val="894"/>
    <w:next w:val="894"/>
    <w:uiPriority w:val="39"/>
    <w:unhideWhenUsed/>
    <w:pPr>
      <w:ind w:left="1417" w:right="0" w:firstLine="0"/>
      <w:spacing w:after="57"/>
    </w:pPr>
  </w:style>
  <w:style w:type="paragraph" w:styleId="889">
    <w:name w:val="toc 7"/>
    <w:basedOn w:val="894"/>
    <w:next w:val="894"/>
    <w:uiPriority w:val="39"/>
    <w:unhideWhenUsed/>
    <w:pPr>
      <w:ind w:left="1701" w:right="0" w:firstLine="0"/>
      <w:spacing w:after="57"/>
    </w:pPr>
  </w:style>
  <w:style w:type="paragraph" w:styleId="890">
    <w:name w:val="toc 8"/>
    <w:basedOn w:val="894"/>
    <w:next w:val="894"/>
    <w:uiPriority w:val="39"/>
    <w:unhideWhenUsed/>
    <w:pPr>
      <w:ind w:left="1984" w:right="0" w:firstLine="0"/>
      <w:spacing w:after="57"/>
    </w:pPr>
  </w:style>
  <w:style w:type="paragraph" w:styleId="891">
    <w:name w:val="toc 9"/>
    <w:basedOn w:val="894"/>
    <w:next w:val="894"/>
    <w:uiPriority w:val="39"/>
    <w:unhideWhenUsed/>
    <w:pPr>
      <w:ind w:left="2268" w:right="0" w:firstLine="0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894"/>
    <w:next w:val="894"/>
    <w:uiPriority w:val="99"/>
    <w:unhideWhenUsed/>
    <w:pPr>
      <w:spacing w:after="0" w:afterAutospacing="0"/>
    </w:pPr>
  </w:style>
  <w:style w:type="paragraph" w:styleId="894" w:default="1">
    <w:name w:val="Normal"/>
    <w:qFormat/>
    <w:rPr>
      <w:sz w:val="26"/>
      <w:szCs w:val="26"/>
      <w:lang w:eastAsia="zh-CN"/>
    </w:rPr>
  </w:style>
  <w:style w:type="character" w:styleId="895" w:default="1">
    <w:name w:val="Default Paragraph Font"/>
    <w:uiPriority w:val="1"/>
    <w:semiHidden/>
    <w:unhideWhenUsed/>
  </w:style>
  <w:style w:type="table" w:styleId="8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7" w:default="1">
    <w:name w:val="No List"/>
    <w:uiPriority w:val="99"/>
    <w:semiHidden/>
    <w:unhideWhenUsed/>
  </w:style>
  <w:style w:type="character" w:styleId="898" w:customStyle="1">
    <w:name w:val="WW8Num1z0"/>
  </w:style>
  <w:style w:type="character" w:styleId="899" w:customStyle="1">
    <w:name w:val="WW8Num2z0"/>
    <w:rPr>
      <w:rFonts w:ascii="Symbol" w:hAnsi="Symbol" w:cs="Symbol"/>
      <w:b/>
    </w:rPr>
  </w:style>
  <w:style w:type="character" w:styleId="900" w:customStyle="1">
    <w:name w:val="WW8Num3z0"/>
    <w:rPr>
      <w:rFonts w:ascii="Symbol" w:hAnsi="Symbol" w:cs="Symbol"/>
      <w:b/>
    </w:rPr>
  </w:style>
  <w:style w:type="character" w:styleId="901" w:customStyle="1">
    <w:name w:val="WW8Num4z0"/>
    <w:rPr>
      <w:rFonts w:hint="default"/>
    </w:rPr>
  </w:style>
  <w:style w:type="character" w:styleId="902" w:customStyle="1">
    <w:name w:val="WW8Num5z0"/>
    <w:rPr>
      <w:rFonts w:hint="default"/>
    </w:rPr>
  </w:style>
  <w:style w:type="character" w:styleId="903" w:customStyle="1">
    <w:name w:val="WW8Num6z0"/>
    <w:rPr>
      <w:rFonts w:hint="default"/>
    </w:rPr>
  </w:style>
  <w:style w:type="character" w:styleId="904" w:customStyle="1">
    <w:name w:val="WW8Num7z0"/>
    <w:rPr>
      <w:rFonts w:hint="default" w:ascii="Times New Roman" w:hAnsi="Times New Roman" w:cs="Times New Roman"/>
      <w:i w:val="0"/>
      <w:sz w:val="24"/>
      <w:szCs w:val="24"/>
    </w:rPr>
  </w:style>
  <w:style w:type="character" w:styleId="905" w:customStyle="1">
    <w:name w:val="WW8Num8z0"/>
    <w:rPr>
      <w:rFonts w:hint="default" w:ascii="Symbol" w:hAnsi="Symbol" w:cs="Symbol"/>
    </w:rPr>
  </w:style>
  <w:style w:type="character" w:styleId="906" w:customStyle="1">
    <w:name w:val="WW8Num8z1"/>
    <w:rPr>
      <w:rFonts w:hint="default" w:ascii="Courier New" w:hAnsi="Courier New" w:cs="Courier New"/>
    </w:rPr>
  </w:style>
  <w:style w:type="character" w:styleId="907" w:customStyle="1">
    <w:name w:val="WW8Num8z2"/>
    <w:rPr>
      <w:rFonts w:hint="default" w:ascii="Wingdings" w:hAnsi="Wingdings" w:cs="Wingdings"/>
    </w:rPr>
  </w:style>
  <w:style w:type="character" w:styleId="908" w:customStyle="1">
    <w:name w:val="WW8Num9z0"/>
    <w:rPr>
      <w:rFonts w:hint="default"/>
    </w:rPr>
  </w:style>
  <w:style w:type="character" w:styleId="909" w:customStyle="1">
    <w:name w:val="WW8Num10z0"/>
    <w:rPr>
      <w:rFonts w:hint="default"/>
      <w:b/>
      <w:sz w:val="24"/>
      <w:szCs w:val="24"/>
    </w:rPr>
  </w:style>
  <w:style w:type="character" w:styleId="910" w:customStyle="1">
    <w:name w:val="WW8Num11z0"/>
    <w:rPr>
      <w:rFonts w:hint="default"/>
      <w:color w:val="000000"/>
      <w:spacing w:val="-1"/>
      <w:sz w:val="24"/>
      <w:szCs w:val="24"/>
    </w:rPr>
  </w:style>
  <w:style w:type="character" w:styleId="911" w:customStyle="1">
    <w:name w:val="WW8Num12z0"/>
    <w:rPr>
      <w:rFonts w:hint="default" w:ascii="Times New Roman" w:hAnsi="Times New Roman" w:cs="Times New Roman"/>
    </w:rPr>
  </w:style>
  <w:style w:type="character" w:styleId="912" w:customStyle="1">
    <w:name w:val="WW8Num13z0"/>
    <w:rPr>
      <w:rFonts w:hint="default"/>
    </w:rPr>
  </w:style>
  <w:style w:type="character" w:styleId="913" w:customStyle="1">
    <w:name w:val="WW8Num13z1"/>
  </w:style>
  <w:style w:type="character" w:styleId="914" w:customStyle="1">
    <w:name w:val="WW8Num13z2"/>
  </w:style>
  <w:style w:type="character" w:styleId="915" w:customStyle="1">
    <w:name w:val="WW8Num13z3"/>
  </w:style>
  <w:style w:type="character" w:styleId="916" w:customStyle="1">
    <w:name w:val="WW8Num13z4"/>
  </w:style>
  <w:style w:type="character" w:styleId="917" w:customStyle="1">
    <w:name w:val="WW8Num13z5"/>
  </w:style>
  <w:style w:type="character" w:styleId="918" w:customStyle="1">
    <w:name w:val="WW8Num13z6"/>
  </w:style>
  <w:style w:type="character" w:styleId="919" w:customStyle="1">
    <w:name w:val="WW8Num13z7"/>
  </w:style>
  <w:style w:type="character" w:styleId="920" w:customStyle="1">
    <w:name w:val="WW8Num13z8"/>
  </w:style>
  <w:style w:type="character" w:styleId="921" w:customStyle="1">
    <w:name w:val="WW8Num14z0"/>
  </w:style>
  <w:style w:type="character" w:styleId="922" w:customStyle="1">
    <w:name w:val="WW8Num14z1"/>
  </w:style>
  <w:style w:type="character" w:styleId="923" w:customStyle="1">
    <w:name w:val="WW8Num14z2"/>
  </w:style>
  <w:style w:type="character" w:styleId="924" w:customStyle="1">
    <w:name w:val="WW8Num14z3"/>
  </w:style>
  <w:style w:type="character" w:styleId="925" w:customStyle="1">
    <w:name w:val="WW8Num14z4"/>
  </w:style>
  <w:style w:type="character" w:styleId="926" w:customStyle="1">
    <w:name w:val="WW8Num14z5"/>
  </w:style>
  <w:style w:type="character" w:styleId="927" w:customStyle="1">
    <w:name w:val="WW8Num14z6"/>
  </w:style>
  <w:style w:type="character" w:styleId="928" w:customStyle="1">
    <w:name w:val="WW8Num14z7"/>
  </w:style>
  <w:style w:type="character" w:styleId="929" w:customStyle="1">
    <w:name w:val="WW8Num14z8"/>
  </w:style>
  <w:style w:type="character" w:styleId="930" w:customStyle="1">
    <w:name w:val="WW8Num15z0"/>
    <w:rPr>
      <w:rFonts w:hint="default"/>
      <w:color w:val="000000"/>
      <w:sz w:val="24"/>
      <w:szCs w:val="24"/>
    </w:rPr>
  </w:style>
  <w:style w:type="character" w:styleId="931" w:customStyle="1">
    <w:name w:val="WW8Num16z0"/>
  </w:style>
  <w:style w:type="character" w:styleId="932" w:customStyle="1">
    <w:name w:val="WW8Num16z1"/>
    <w:rPr>
      <w:rFonts w:hint="default"/>
    </w:rPr>
  </w:style>
  <w:style w:type="character" w:styleId="933" w:customStyle="1">
    <w:name w:val="WW8Num17z0"/>
    <w:rPr>
      <w:rFonts w:hint="default"/>
    </w:rPr>
  </w:style>
  <w:style w:type="character" w:styleId="934" w:customStyle="1">
    <w:name w:val="WW8Num18z0"/>
    <w:rPr>
      <w:rFonts w:hint="default" w:ascii="Symbol" w:hAnsi="Symbol" w:cs="Symbol"/>
      <w:color w:val="000000"/>
      <w:spacing w:val="-1"/>
      <w:sz w:val="24"/>
      <w:szCs w:val="24"/>
    </w:rPr>
  </w:style>
  <w:style w:type="character" w:styleId="935" w:customStyle="1">
    <w:name w:val="WW8Num18z1"/>
    <w:rPr>
      <w:rFonts w:hint="default" w:ascii="Courier New" w:hAnsi="Courier New" w:cs="Courier New"/>
    </w:rPr>
  </w:style>
  <w:style w:type="character" w:styleId="936" w:customStyle="1">
    <w:name w:val="WW8Num18z2"/>
    <w:rPr>
      <w:rFonts w:hint="default" w:ascii="Wingdings" w:hAnsi="Wingdings" w:cs="Wingdings"/>
    </w:rPr>
  </w:style>
  <w:style w:type="character" w:styleId="937" w:customStyle="1">
    <w:name w:val="WW8Num19z0"/>
    <w:rPr>
      <w:rFonts w:hint="default"/>
    </w:rPr>
  </w:style>
  <w:style w:type="character" w:styleId="938" w:customStyle="1">
    <w:name w:val="WW8Num20z0"/>
    <w:rPr>
      <w:rFonts w:hint="default"/>
    </w:rPr>
  </w:style>
  <w:style w:type="character" w:styleId="939" w:customStyle="1">
    <w:name w:val="WW8Num21z0"/>
    <w:rPr>
      <w:rFonts w:hint="default"/>
    </w:rPr>
  </w:style>
  <w:style w:type="character" w:styleId="940" w:customStyle="1">
    <w:name w:val="WW8Num21z1"/>
  </w:style>
  <w:style w:type="character" w:styleId="941" w:customStyle="1">
    <w:name w:val="WW8Num21z2"/>
  </w:style>
  <w:style w:type="character" w:styleId="942" w:customStyle="1">
    <w:name w:val="WW8Num21z3"/>
  </w:style>
  <w:style w:type="character" w:styleId="943" w:customStyle="1">
    <w:name w:val="WW8Num21z4"/>
  </w:style>
  <w:style w:type="character" w:styleId="944" w:customStyle="1">
    <w:name w:val="WW8Num21z5"/>
  </w:style>
  <w:style w:type="character" w:styleId="945" w:customStyle="1">
    <w:name w:val="WW8Num21z6"/>
  </w:style>
  <w:style w:type="character" w:styleId="946" w:customStyle="1">
    <w:name w:val="WW8Num21z7"/>
  </w:style>
  <w:style w:type="character" w:styleId="947" w:customStyle="1">
    <w:name w:val="WW8Num21z8"/>
  </w:style>
  <w:style w:type="character" w:styleId="948" w:customStyle="1">
    <w:name w:val="WW8NumSt10z0"/>
    <w:rPr>
      <w:rFonts w:hint="default" w:ascii="Times New Roman" w:hAnsi="Times New Roman" w:cs="Times New Roman"/>
    </w:rPr>
  </w:style>
  <w:style w:type="character" w:styleId="949" w:customStyle="1">
    <w:name w:val="Основной шрифт абзаца1"/>
  </w:style>
  <w:style w:type="character" w:styleId="950" w:customStyle="1">
    <w:name w:val="Символ сноски"/>
    <w:rPr>
      <w:vertAlign w:val="superscript"/>
    </w:rPr>
  </w:style>
  <w:style w:type="character" w:styleId="951" w:customStyle="1">
    <w:name w:val="ConsNormal Знак"/>
    <w:rPr>
      <w:rFonts w:ascii="Arial" w:hAnsi="Arial" w:cs="Arial"/>
      <w:sz w:val="22"/>
      <w:szCs w:val="22"/>
      <w:lang w:val="ru-RU" w:bidi="ar-SA"/>
    </w:rPr>
  </w:style>
  <w:style w:type="character" w:styleId="952" w:customStyle="1">
    <w:name w:val="Верхний колонтитул Знак"/>
    <w:rPr>
      <w:sz w:val="26"/>
      <w:szCs w:val="26"/>
    </w:rPr>
  </w:style>
  <w:style w:type="character" w:styleId="953" w:customStyle="1">
    <w:name w:val="Нижний колонтитул Знак"/>
    <w:uiPriority w:val="99"/>
    <w:rPr>
      <w:sz w:val="26"/>
      <w:szCs w:val="26"/>
    </w:rPr>
  </w:style>
  <w:style w:type="character" w:styleId="954">
    <w:name w:val="footnote reference"/>
    <w:rPr>
      <w:vertAlign w:val="superscript"/>
    </w:rPr>
  </w:style>
  <w:style w:type="character" w:styleId="955">
    <w:name w:val="endnote reference"/>
    <w:rPr>
      <w:vertAlign w:val="superscript"/>
    </w:rPr>
  </w:style>
  <w:style w:type="character" w:styleId="956" w:customStyle="1">
    <w:name w:val="Символ концевой сноски"/>
  </w:style>
  <w:style w:type="paragraph" w:styleId="957" w:customStyle="1">
    <w:name w:val="Заголовок1"/>
    <w:basedOn w:val="894"/>
    <w:next w:val="958"/>
    <w:pPr>
      <w:jc w:val="center"/>
    </w:pPr>
    <w:rPr>
      <w:sz w:val="44"/>
      <w:szCs w:val="20"/>
    </w:rPr>
  </w:style>
  <w:style w:type="paragraph" w:styleId="958">
    <w:name w:val="Body Text"/>
    <w:basedOn w:val="894"/>
    <w:pPr>
      <w:spacing w:after="140" w:line="276" w:lineRule="auto"/>
    </w:pPr>
  </w:style>
  <w:style w:type="paragraph" w:styleId="959">
    <w:name w:val="List"/>
    <w:basedOn w:val="958"/>
    <w:rPr>
      <w:rFonts w:cs="Lucida Sans"/>
    </w:rPr>
  </w:style>
  <w:style w:type="paragraph" w:styleId="960">
    <w:name w:val="Caption"/>
    <w:basedOn w:val="894"/>
    <w:link w:val="753"/>
    <w:qFormat/>
    <w:pPr>
      <w:spacing w:before="120" w:after="120"/>
      <w:suppressLineNumbers/>
    </w:pPr>
    <w:rPr>
      <w:rFonts w:cs="Lucida Sans"/>
      <w:i/>
      <w:iCs/>
      <w:sz w:val="24"/>
      <w:szCs w:val="24"/>
    </w:rPr>
  </w:style>
  <w:style w:type="paragraph" w:styleId="961" w:customStyle="1">
    <w:name w:val="Указатель1"/>
    <w:basedOn w:val="894"/>
    <w:pPr>
      <w:suppressLineNumbers/>
    </w:pPr>
    <w:rPr>
      <w:rFonts w:cs="Lucida Sans"/>
    </w:rPr>
  </w:style>
  <w:style w:type="paragraph" w:styleId="962">
    <w:name w:val="Balloon Text"/>
    <w:basedOn w:val="894"/>
    <w:rPr>
      <w:rFonts w:ascii="Tahoma" w:hAnsi="Tahoma" w:cs="Tahoma"/>
      <w:sz w:val="16"/>
      <w:szCs w:val="16"/>
    </w:rPr>
  </w:style>
  <w:style w:type="paragraph" w:styleId="963" w:customStyle="1">
    <w:name w:val="Основной текст 21"/>
    <w:basedOn w:val="894"/>
    <w:pPr>
      <w:spacing w:after="120" w:line="480" w:lineRule="auto"/>
      <w:widowControl w:val="off"/>
    </w:pPr>
    <w:rPr>
      <w:rFonts w:ascii="Arial" w:hAnsi="Arial" w:cs="Arial"/>
      <w:sz w:val="18"/>
      <w:szCs w:val="18"/>
    </w:rPr>
  </w:style>
  <w:style w:type="paragraph" w:styleId="964">
    <w:name w:val="footnote text"/>
    <w:basedOn w:val="894"/>
    <w:rPr>
      <w:sz w:val="20"/>
      <w:szCs w:val="20"/>
    </w:rPr>
  </w:style>
  <w:style w:type="paragraph" w:styleId="965" w:customStyle="1">
    <w:name w:val="Знак"/>
    <w:basedOn w:val="894"/>
    <w:pPr>
      <w:jc w:val="right"/>
      <w:spacing w:after="160" w:line="240" w:lineRule="exact"/>
      <w:widowControl w:val="off"/>
    </w:pPr>
    <w:rPr>
      <w:sz w:val="20"/>
      <w:szCs w:val="20"/>
      <w:lang w:val="en-GB"/>
    </w:rPr>
  </w:style>
  <w:style w:type="paragraph" w:styleId="966">
    <w:name w:val="Body Text Indent"/>
    <w:basedOn w:val="894"/>
    <w:pPr>
      <w:ind w:left="283"/>
      <w:spacing w:after="120"/>
    </w:pPr>
    <w:rPr>
      <w:sz w:val="24"/>
      <w:szCs w:val="24"/>
    </w:rPr>
  </w:style>
  <w:style w:type="paragraph" w:styleId="967" w:customStyle="1">
    <w:name w:val="FR2"/>
    <w:pPr>
      <w:ind w:firstLine="660"/>
      <w:jc w:val="both"/>
      <w:spacing w:before="620" w:line="278" w:lineRule="auto"/>
      <w:widowControl w:val="off"/>
    </w:pPr>
    <w:rPr>
      <w:lang w:eastAsia="zh-CN"/>
    </w:rPr>
  </w:style>
  <w:style w:type="paragraph" w:styleId="968" w:customStyle="1">
    <w:name w:val="ConsPlusNormal"/>
    <w:link w:val="982"/>
    <w:pPr>
      <w:ind w:firstLine="720"/>
    </w:pPr>
    <w:rPr>
      <w:rFonts w:ascii="Arial" w:hAnsi="Arial" w:cs="Arial"/>
      <w:lang w:eastAsia="zh-CN"/>
    </w:rPr>
  </w:style>
  <w:style w:type="paragraph" w:styleId="969" w:customStyle="1">
    <w:name w:val="ConsNormal"/>
    <w:pPr>
      <w:ind w:right="19772" w:firstLine="720"/>
      <w:widowControl w:val="off"/>
    </w:pPr>
    <w:rPr>
      <w:rFonts w:ascii="Arial" w:hAnsi="Arial" w:cs="Arial"/>
      <w:sz w:val="22"/>
      <w:szCs w:val="22"/>
      <w:lang w:eastAsia="zh-CN"/>
    </w:rPr>
  </w:style>
  <w:style w:type="paragraph" w:styleId="970" w:customStyle="1">
    <w:name w:val="ConsPlusNonformat"/>
    <w:link w:val="987"/>
    <w:rPr>
      <w:rFonts w:ascii="Courier New" w:hAnsi="Courier New" w:cs="Courier New"/>
      <w:lang w:eastAsia="zh-CN"/>
    </w:rPr>
  </w:style>
  <w:style w:type="paragraph" w:styleId="971" w:customStyle="1">
    <w:name w:val="ConsPlusTitle"/>
    <w:rPr>
      <w:rFonts w:ascii="Arial" w:hAnsi="Arial" w:cs="Arial"/>
      <w:b/>
      <w:bCs/>
      <w:lang w:eastAsia="zh-CN"/>
    </w:rPr>
  </w:style>
  <w:style w:type="paragraph" w:styleId="972" w:customStyle="1">
    <w:name w:val="Знак Знак Знак Знак Знак Знак Знак Знак Знак1 Знак Знак Знак"/>
    <w:basedOn w:val="894"/>
    <w:pPr>
      <w:jc w:val="right"/>
      <w:spacing w:after="160" w:line="240" w:lineRule="exact"/>
      <w:widowControl w:val="off"/>
    </w:pPr>
    <w:rPr>
      <w:rFonts w:ascii="Arial" w:hAnsi="Arial" w:cs="Arial"/>
      <w:sz w:val="20"/>
      <w:szCs w:val="20"/>
      <w:lang w:val="en-GB"/>
    </w:rPr>
  </w:style>
  <w:style w:type="paragraph" w:styleId="973" w:customStyle="1">
    <w:name w:val="FR1"/>
    <w:pPr>
      <w:jc w:val="both"/>
      <w:spacing w:before="240"/>
      <w:widowControl w:val="off"/>
    </w:pPr>
    <w:rPr>
      <w:rFonts w:ascii="Arial" w:hAnsi="Arial" w:cs="Arial"/>
      <w:sz w:val="16"/>
      <w:lang w:eastAsia="zh-CN"/>
    </w:rPr>
  </w:style>
  <w:style w:type="paragraph" w:styleId="974" w:customStyle="1">
    <w:name w:val="Текст1"/>
    <w:basedOn w:val="894"/>
    <w:rPr>
      <w:rFonts w:ascii="Courier New" w:hAnsi="Courier New" w:cs="Courier New"/>
      <w:sz w:val="20"/>
      <w:szCs w:val="20"/>
    </w:rPr>
  </w:style>
  <w:style w:type="paragraph" w:styleId="975" w:customStyle="1">
    <w:name w:val="Normal1"/>
    <w:pPr>
      <w:ind w:left="440"/>
      <w:widowControl w:val="off"/>
    </w:pPr>
    <w:rPr>
      <w:rFonts w:eastAsia="Arial"/>
      <w:sz w:val="22"/>
      <w:lang w:eastAsia="zh-CN"/>
    </w:rPr>
  </w:style>
  <w:style w:type="paragraph" w:styleId="976" w:customStyle="1">
    <w:name w:val="Содержимое таблицы"/>
    <w:basedOn w:val="894"/>
    <w:pPr>
      <w:widowControl w:val="off"/>
      <w:suppressLineNumbers/>
    </w:pPr>
    <w:rPr>
      <w:rFonts w:ascii="Arial" w:hAnsi="Arial" w:eastAsia="Lucida Sans Unicode" w:cs="Arial"/>
      <w:sz w:val="20"/>
      <w:szCs w:val="24"/>
    </w:rPr>
  </w:style>
  <w:style w:type="paragraph" w:styleId="977" w:customStyle="1">
    <w:name w:val="Знак1"/>
    <w:basedOn w:val="894"/>
    <w:pPr>
      <w:jc w:val="right"/>
      <w:spacing w:after="160" w:line="240" w:lineRule="exact"/>
      <w:widowControl w:val="off"/>
    </w:pPr>
    <w:rPr>
      <w:sz w:val="20"/>
      <w:szCs w:val="20"/>
      <w:lang w:val="en-GB"/>
    </w:rPr>
  </w:style>
  <w:style w:type="paragraph" w:styleId="978" w:customStyle="1">
    <w:name w:val="Верхний и нижний колонтитулы"/>
    <w:basedOn w:val="894"/>
    <w:pPr>
      <w:tabs>
        <w:tab w:val="center" w:pos="4819" w:leader="none"/>
        <w:tab w:val="right" w:pos="9638" w:leader="none"/>
      </w:tabs>
      <w:suppressLineNumbers/>
    </w:pPr>
  </w:style>
  <w:style w:type="paragraph" w:styleId="979">
    <w:name w:val="Header"/>
    <w:basedOn w:val="894"/>
    <w:pPr>
      <w:tabs>
        <w:tab w:val="center" w:pos="4677" w:leader="none"/>
        <w:tab w:val="right" w:pos="9355" w:leader="none"/>
      </w:tabs>
    </w:pPr>
  </w:style>
  <w:style w:type="paragraph" w:styleId="980">
    <w:name w:val="Footer"/>
    <w:basedOn w:val="894"/>
    <w:uiPriority w:val="99"/>
    <w:pPr>
      <w:tabs>
        <w:tab w:val="center" w:pos="4677" w:leader="none"/>
        <w:tab w:val="right" w:pos="9355" w:leader="none"/>
      </w:tabs>
    </w:pPr>
  </w:style>
  <w:style w:type="paragraph" w:styleId="981" w:customStyle="1">
    <w:name w:val="Заголовок таблицы"/>
    <w:basedOn w:val="976"/>
    <w:pPr>
      <w:jc w:val="center"/>
    </w:pPr>
    <w:rPr>
      <w:b/>
      <w:bCs/>
    </w:rPr>
  </w:style>
  <w:style w:type="character" w:styleId="982" w:customStyle="1">
    <w:name w:val="ConsPlusNormal Знак"/>
    <w:link w:val="968"/>
    <w:rPr>
      <w:rFonts w:ascii="Arial" w:hAnsi="Arial" w:cs="Arial"/>
      <w:lang w:eastAsia="zh-CN"/>
    </w:rPr>
  </w:style>
  <w:style w:type="character" w:styleId="983">
    <w:name w:val="Hyperlink"/>
    <w:rPr>
      <w:rFonts w:cs="Times New Roman"/>
      <w:color w:val="0000ff"/>
      <w:u w:val="single"/>
    </w:rPr>
  </w:style>
  <w:style w:type="paragraph" w:styleId="984" w:customStyle="1">
    <w:name w:val="paragraph"/>
    <w:basedOn w:val="894"/>
    <w:qFormat/>
    <w:pPr>
      <w:spacing w:before="280" w:after="280"/>
    </w:pPr>
    <w:rPr>
      <w:rFonts w:eastAsia="Calibri"/>
      <w:sz w:val="24"/>
      <w:szCs w:val="24"/>
    </w:rPr>
  </w:style>
  <w:style w:type="paragraph" w:styleId="985">
    <w:name w:val="Normal (Web)"/>
    <w:basedOn w:val="894"/>
    <w:link w:val="986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986" w:customStyle="1">
    <w:name w:val="Обычный (веб) Знак"/>
    <w:link w:val="985"/>
    <w:uiPriority w:val="99"/>
    <w:rPr>
      <w:sz w:val="24"/>
      <w:szCs w:val="24"/>
    </w:rPr>
  </w:style>
  <w:style w:type="character" w:styleId="987" w:customStyle="1">
    <w:name w:val="ConsPlusNonformat Знак"/>
    <w:link w:val="970"/>
    <w:rPr>
      <w:rFonts w:ascii="Courier New" w:hAnsi="Courier New" w:cs="Courier New"/>
      <w:lang w:eastAsia="zh-CN"/>
    </w:rPr>
  </w:style>
  <w:style w:type="paragraph" w:styleId="988">
    <w:name w:val="List Paragraph"/>
    <w:basedOn w:val="894"/>
    <w:link w:val="989"/>
    <w:uiPriority w:val="34"/>
    <w:qFormat/>
    <w:pPr>
      <w:contextualSpacing/>
      <w:ind w:left="720"/>
    </w:pPr>
  </w:style>
  <w:style w:type="character" w:styleId="989" w:customStyle="1">
    <w:name w:val="Абзац списка Знак"/>
    <w:link w:val="988"/>
    <w:uiPriority w:val="34"/>
    <w:qFormat/>
    <w:rPr>
      <w:sz w:val="26"/>
      <w:szCs w:val="26"/>
      <w:lang w:eastAsia="zh-CN"/>
    </w:rPr>
  </w:style>
  <w:style w:type="paragraph" w:styleId="990" w:customStyle="1">
    <w:name w:val="dt-p"/>
    <w:basedOn w:val="894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991">
    <w:name w:val="No Spacing"/>
    <w:link w:val="992"/>
    <w:uiPriority w:val="1"/>
    <w:qFormat/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92" w:customStyle="1">
    <w:name w:val="Без интервала Знак"/>
    <w:link w:val="991"/>
    <w:uiPriority w:val="1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993" w:customStyle="1">
    <w:name w:val="align_left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94" w:customStyle="1">
    <w:name w:val="Гипертекстовая ссылка"/>
    <w:uiPriority w:val="99"/>
    <w:rPr>
      <w:rFonts w:cs="Times New Roman"/>
      <w:b w:val="0"/>
      <w:color w:val="106bb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://dou35@kirov.spb.ru" TargetMode="External"/><Relationship Id="rId11" Type="http://schemas.openxmlformats.org/officeDocument/2006/relationships/hyperlink" Target="http://ivo.garant.ru/document/redirect/12191967/3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cb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Руководителям структурных подразделений администрации</dc:title>
  <dc:subject/>
  <dc:creator>portti</dc:creator>
  <cp:keywords/>
  <cp:lastModifiedBy>1</cp:lastModifiedBy>
  <cp:revision>47</cp:revision>
  <dcterms:created xsi:type="dcterms:W3CDTF">2025-02-12T08:33:00Z</dcterms:created>
  <dcterms:modified xsi:type="dcterms:W3CDTF">2026-05-13T07:01:48Z</dcterms:modified>
</cp:coreProperties>
</file>