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9000000">
      <w:pPr>
        <w:widowControl w:val="1"/>
        <w:ind/>
        <w:jc w:val="center"/>
        <w:rPr>
          <w:rFonts w:ascii="Times New Roman" w:hAnsi="Times New Roman"/>
          <w:i w:val="1"/>
          <w:sz w:val="22"/>
        </w:rPr>
      </w:pPr>
      <w:bookmarkStart w:id="1" w:name="_Hlk164966453"/>
      <w:bookmarkEnd w:id="1"/>
      <w:r>
        <w:rPr>
          <w:rFonts w:ascii="Times New Roman" w:hAnsi="Times New Roman"/>
          <w:sz w:val="22"/>
        </w:rPr>
        <w:t>ПРОЕКТ КО</w:t>
      </w:r>
      <w:r>
        <w:rPr>
          <w:rFonts w:ascii="Times New Roman" w:hAnsi="Times New Roman"/>
          <w:sz w:val="22"/>
        </w:rPr>
        <w:t>Н</w:t>
      </w:r>
      <w:r>
        <w:rPr>
          <w:rFonts w:ascii="Times New Roman" w:hAnsi="Times New Roman"/>
          <w:sz w:val="22"/>
        </w:rPr>
        <w:t>ТРАКТА №</w:t>
      </w:r>
      <w:r>
        <w:rPr>
          <w:rFonts w:ascii="Times New Roman" w:hAnsi="Times New Roman"/>
          <w:sz w:val="22"/>
        </w:rPr>
        <w:t xml:space="preserve"> _</w:t>
      </w:r>
    </w:p>
    <w:p w14:paraId="0A000000">
      <w:pPr>
        <w:widowControl w:val="1"/>
        <w:ind/>
        <w:jc w:val="center"/>
        <w:rPr>
          <w:rFonts w:ascii="Times New Roman" w:hAnsi="Times New Roman"/>
          <w:sz w:val="22"/>
        </w:rPr>
      </w:pPr>
      <w:r>
        <w:rPr>
          <w:rFonts w:ascii="Times New Roman" w:hAnsi="Times New Roman"/>
          <w:sz w:val="22"/>
        </w:rPr>
        <w:t xml:space="preserve">ИКЗ - </w:t>
      </w:r>
      <w:r>
        <w:rPr>
          <w:rFonts w:ascii="Times New Roman" w:hAnsi="Times New Roman"/>
          <w:b w:val="0"/>
          <w:i w:val="0"/>
          <w:caps w:val="0"/>
          <w:color w:val="000000"/>
          <w:spacing w:val="0"/>
          <w:sz w:val="22"/>
        </w:rPr>
        <w:t>262781615741878160100100020000000244</w:t>
      </w:r>
    </w:p>
    <w:p w14:paraId="0B000000">
      <w:pPr>
        <w:widowControl w:val="1"/>
        <w:ind/>
        <w:jc w:val="center"/>
        <w:rPr>
          <w:sz w:val="22"/>
        </w:rPr>
      </w:pPr>
    </w:p>
    <w:p w14:paraId="0C000000">
      <w:pPr>
        <w:widowControl w:val="1"/>
        <w:ind/>
        <w:jc w:val="center"/>
        <w:rPr>
          <w:sz w:val="22"/>
        </w:rPr>
      </w:pPr>
      <w:r>
        <w:rPr>
          <w:sz w:val="22"/>
        </w:rPr>
        <w:t xml:space="preserve">Санкт-Петербург                                </w:t>
      </w:r>
      <w:r>
        <w:rPr>
          <w:sz w:val="22"/>
        </w:rPr>
        <w:t xml:space="preserve">        </w:t>
      </w:r>
      <w:r>
        <w:rPr>
          <w:sz w:val="22"/>
        </w:rPr>
        <w:t xml:space="preserve">                                                 «_</w:t>
      </w:r>
      <w:r>
        <w:rPr>
          <w:sz w:val="22"/>
        </w:rPr>
        <w:t>» _ 2026</w:t>
      </w:r>
      <w:r>
        <w:rPr>
          <w:sz w:val="22"/>
        </w:rPr>
        <w:t xml:space="preserve"> г.</w:t>
      </w:r>
    </w:p>
    <w:p w14:paraId="0D000000">
      <w:pPr>
        <w:widowControl w:val="1"/>
        <w:tabs>
          <w:tab w:leader="none" w:pos="426" w:val="left"/>
        </w:tabs>
        <w:ind w:firstLine="567"/>
        <w:jc w:val="both"/>
        <w:rPr>
          <w:sz w:val="22"/>
        </w:rPr>
      </w:pPr>
    </w:p>
    <w:p w14:paraId="0E000000">
      <w:pPr>
        <w:widowControl w:val="1"/>
        <w:ind w:firstLine="360"/>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w:t>
      </w:r>
      <w:r>
        <w:rPr>
          <w:sz w:val="22"/>
        </w:rPr>
        <w:t xml:space="preserve">мое в дальнейшем Заказчик, с одной стороны, и </w:t>
      </w:r>
      <w:r>
        <w:rPr>
          <w:sz w:val="22"/>
        </w:rPr>
        <w:t>_, в лице _, действующего на основании _</w:t>
      </w:r>
      <w:r>
        <w:rPr>
          <w:sz w:val="22"/>
        </w:rPr>
        <w:t>, именуемое в дальнейшем Под</w:t>
      </w:r>
      <w:r>
        <w:rPr>
          <w:sz w:val="22"/>
        </w:rPr>
        <w:t>рядчик, с др</w:t>
      </w:r>
      <w:r>
        <w:rPr>
          <w:sz w:val="22"/>
        </w:rPr>
        <w:t xml:space="preserve">угой стороны (далее - стороны), </w:t>
      </w:r>
      <w:r>
        <w:rPr>
          <w:sz w:val="22"/>
        </w:rPr>
        <w:t xml:space="preserve">в соответствии с </w:t>
      </w:r>
      <w:r>
        <w:rPr>
          <w:sz w:val="22"/>
        </w:rPr>
        <w:t>пунктом 5 части 1 статьи 93</w:t>
      </w:r>
      <w:r>
        <w:rPr>
          <w:sz w:val="22"/>
        </w:rPr>
        <w:t xml:space="preserve"> Федерального закона </w:t>
      </w:r>
      <w:r>
        <w:rPr>
          <w:sz w:val="22"/>
        </w:rPr>
        <w:t xml:space="preserve">«О контрактной системе в сфере закупок товаров, работ, услуг для государственных и муниципальных нужд» </w:t>
      </w:r>
      <w:r>
        <w:rPr>
          <w:sz w:val="22"/>
        </w:rPr>
        <w:t xml:space="preserve">от 05.04.2013 г. № 44-ФЗ, </w:t>
      </w:r>
      <w:r>
        <w:rPr>
          <w:sz w:val="22"/>
        </w:rPr>
        <w:t>заключили настоящий контракт (далее - Контракт) о нижеследующем</w:t>
      </w:r>
      <w:r>
        <w:rPr>
          <w:sz w:val="22"/>
        </w:rPr>
        <w:t>:</w:t>
      </w:r>
    </w:p>
    <w:p w14:paraId="0F000000">
      <w:pPr>
        <w:widowControl w:val="1"/>
        <w:numPr>
          <w:ilvl w:val="0"/>
          <w:numId w:val="1"/>
        </w:numPr>
        <w:tabs>
          <w:tab w:leader="none" w:pos="426" w:val="left"/>
        </w:tabs>
        <w:ind w:left="0"/>
        <w:jc w:val="center"/>
        <w:rPr>
          <w:sz w:val="22"/>
        </w:rPr>
      </w:pPr>
      <w:r>
        <w:rPr>
          <w:sz w:val="22"/>
        </w:rPr>
        <w:t>ПРЕДМЕТ КОНТРАКТА</w:t>
      </w:r>
    </w:p>
    <w:p w14:paraId="10000000">
      <w:pPr>
        <w:pStyle w:val="Style_4"/>
        <w:widowControl w:val="1"/>
        <w:ind/>
        <w:jc w:val="both"/>
        <w:rPr>
          <w:sz w:val="22"/>
        </w:rPr>
      </w:pPr>
      <w:r>
        <w:rPr>
          <w:sz w:val="22"/>
        </w:rPr>
        <w:t xml:space="preserve">1.1. По </w:t>
      </w:r>
      <w:r>
        <w:rPr>
          <w:sz w:val="22"/>
        </w:rPr>
        <w:t>настоящему Контракту Подрядчик обязуется в установленный срок по заданию З</w:t>
      </w:r>
      <w:r>
        <w:rPr>
          <w:sz w:val="22"/>
        </w:rPr>
        <w:t>а</w:t>
      </w:r>
      <w:r>
        <w:rPr>
          <w:sz w:val="22"/>
        </w:rPr>
        <w:t xml:space="preserve">казчика выполнить </w:t>
      </w:r>
      <w:r>
        <w:rPr>
          <w:sz w:val="22"/>
        </w:rPr>
        <w:t xml:space="preserve">работы </w:t>
      </w:r>
      <w:r>
        <w:rPr>
          <w:sz w:val="22"/>
        </w:rPr>
        <w:t>по восстановлению системы дымоудаления</w:t>
      </w:r>
      <w:r>
        <w:rPr>
          <w:sz w:val="22"/>
        </w:rPr>
        <w:t xml:space="preserve"> </w:t>
      </w:r>
      <w:r>
        <w:rPr>
          <w:sz w:val="22"/>
        </w:rPr>
        <w:t xml:space="preserve">здания </w:t>
      </w:r>
      <w:r>
        <w:rPr>
          <w:sz w:val="22"/>
        </w:rPr>
        <w:t xml:space="preserve">по адресу: </w:t>
      </w:r>
      <w:r>
        <w:rPr>
          <w:sz w:val="22"/>
        </w:rPr>
        <w:t>192288, Санкт-Петербург, улица Малая Бухарестская, дом 12, корпус 2, стр.1</w:t>
      </w:r>
      <w:r>
        <w:rPr>
          <w:sz w:val="22"/>
        </w:rPr>
        <w:t xml:space="preserve"> </w:t>
      </w:r>
      <w:r>
        <w:rPr>
          <w:sz w:val="22"/>
        </w:rPr>
        <w:t xml:space="preserve">(далее – Объект), </w:t>
      </w:r>
      <w:r>
        <w:rPr>
          <w:sz w:val="22"/>
        </w:rPr>
        <w:t>а Заказчик обязуется обеспечить оплату выполненных работ, предусмотренных настоящим Контрактом.</w:t>
      </w:r>
    </w:p>
    <w:p w14:paraId="11000000">
      <w:pPr>
        <w:widowControl w:val="1"/>
        <w:tabs>
          <w:tab w:leader="underscore" w:pos="4339" w:val="left"/>
          <w:tab w:leader="underscore" w:pos="9787" w:val="left"/>
        </w:tabs>
        <w:ind/>
        <w:jc w:val="both"/>
        <w:rPr>
          <w:sz w:val="22"/>
        </w:rPr>
      </w:pPr>
      <w:r>
        <w:rPr>
          <w:sz w:val="22"/>
        </w:rPr>
        <w:t>1.2.</w:t>
      </w:r>
      <w:r>
        <w:rPr>
          <w:sz w:val="22"/>
        </w:rPr>
        <w:t xml:space="preserve"> Подряд</w:t>
      </w:r>
      <w:r>
        <w:rPr>
          <w:sz w:val="22"/>
        </w:rPr>
        <w:t>чик выполняе</w:t>
      </w:r>
      <w:r>
        <w:rPr>
          <w:sz w:val="22"/>
        </w:rPr>
        <w:t xml:space="preserve">т работы в соответствии </w:t>
      </w:r>
      <w:r>
        <w:rPr>
          <w:sz w:val="22"/>
        </w:rPr>
        <w:t>с Техническим заданием</w:t>
      </w:r>
      <w:r>
        <w:rPr>
          <w:sz w:val="22"/>
        </w:rPr>
        <w:t xml:space="preserve"> </w:t>
      </w:r>
      <w:r>
        <w:rPr>
          <w:sz w:val="22"/>
        </w:rPr>
        <w:t>(Приложение</w:t>
      </w:r>
      <w:r>
        <w:rPr>
          <w:sz w:val="22"/>
        </w:rPr>
        <w:t xml:space="preserve"> № 1</w:t>
      </w:r>
      <w:r>
        <w:rPr>
          <w:sz w:val="22"/>
        </w:rPr>
        <w:t>) и Расчетом цены Контракта (Приложение № 2),</w:t>
      </w:r>
      <w:r>
        <w:rPr>
          <w:sz w:val="22"/>
        </w:rPr>
        <w:t xml:space="preserve"> </w:t>
      </w:r>
      <w:r>
        <w:rPr>
          <w:sz w:val="22"/>
        </w:rPr>
        <w:t>определяющими объем, содержание работ, стоимость работ и другие, предъявляемые к ним требования, обеспечив их надлежащее качество,</w:t>
      </w:r>
      <w:r>
        <w:rPr>
          <w:color w:val="000000"/>
          <w:spacing w:val="1"/>
          <w:sz w:val="22"/>
        </w:rPr>
        <w:t xml:space="preserve"> действующими строительными и противопожарными нормами и правилами, </w:t>
      </w:r>
      <w:r>
        <w:rPr>
          <w:sz w:val="22"/>
        </w:rPr>
        <w:t>а также</w:t>
      </w:r>
      <w:r>
        <w:rPr>
          <w:sz w:val="22"/>
        </w:rPr>
        <w:t xml:space="preserve"> условиями Контра</w:t>
      </w:r>
      <w:r>
        <w:rPr>
          <w:sz w:val="22"/>
        </w:rPr>
        <w:t>к</w:t>
      </w:r>
      <w:r>
        <w:rPr>
          <w:sz w:val="22"/>
        </w:rPr>
        <w:t>та</w:t>
      </w:r>
      <w:r>
        <w:rPr>
          <w:sz w:val="22"/>
        </w:rPr>
        <w:t>.</w:t>
      </w:r>
    </w:p>
    <w:p w14:paraId="12000000">
      <w:pPr>
        <w:widowControl w:val="1"/>
        <w:numPr>
          <w:ilvl w:val="0"/>
          <w:numId w:val="1"/>
        </w:numPr>
        <w:ind w:left="0"/>
        <w:jc w:val="center"/>
        <w:rPr>
          <w:sz w:val="22"/>
        </w:rPr>
      </w:pPr>
      <w:r>
        <w:rPr>
          <w:sz w:val="22"/>
        </w:rPr>
        <w:t>СРОК ВЫПОЛНЕНИЯ РАБОТ</w:t>
      </w:r>
    </w:p>
    <w:p w14:paraId="13000000">
      <w:pPr>
        <w:pStyle w:val="Style_4"/>
        <w:widowControl w:val="1"/>
        <w:ind w:firstLine="360"/>
        <w:jc w:val="both"/>
        <w:rPr>
          <w:color w:val="000000"/>
          <w:sz w:val="22"/>
        </w:rPr>
      </w:pPr>
      <w:r>
        <w:rPr>
          <w:color w:val="000000"/>
          <w:sz w:val="22"/>
        </w:rPr>
        <w:t xml:space="preserve">2.1. </w:t>
      </w:r>
      <w:r>
        <w:rPr>
          <w:color w:val="000000"/>
          <w:sz w:val="22"/>
        </w:rPr>
        <w:t>Срок выполнения работ: в течение 15 рабочих дней с даты заключения Контракта.</w:t>
      </w:r>
    </w:p>
    <w:p w14:paraId="14000000">
      <w:pPr>
        <w:pStyle w:val="Style_4"/>
        <w:widowControl w:val="1"/>
        <w:ind w:firstLine="360"/>
        <w:jc w:val="both"/>
        <w:rPr>
          <w:color w:val="000000"/>
          <w:sz w:val="22"/>
        </w:rPr>
      </w:pPr>
    </w:p>
    <w:p w14:paraId="15000000">
      <w:pPr>
        <w:widowControl w:val="1"/>
        <w:numPr>
          <w:ilvl w:val="0"/>
          <w:numId w:val="1"/>
        </w:numPr>
        <w:ind w:firstLine="360" w:left="0"/>
        <w:jc w:val="center"/>
        <w:rPr>
          <w:sz w:val="22"/>
        </w:rPr>
      </w:pPr>
      <w:r>
        <w:rPr>
          <w:sz w:val="22"/>
        </w:rPr>
        <w:t>ЦЕНА КОНТРАКТА</w:t>
      </w:r>
      <w:r>
        <w:rPr>
          <w:sz w:val="22"/>
        </w:rPr>
        <w:t xml:space="preserve"> И ПОРЯДОК РАСЧЕТОВ</w:t>
      </w:r>
    </w:p>
    <w:p w14:paraId="16000000">
      <w:pPr>
        <w:widowControl w:val="1"/>
        <w:ind w:firstLine="360"/>
        <w:jc w:val="both"/>
        <w:rPr>
          <w:sz w:val="22"/>
        </w:rPr>
      </w:pPr>
      <w:r>
        <w:rPr>
          <w:sz w:val="22"/>
        </w:rPr>
        <w:t xml:space="preserve">3.1. </w:t>
      </w:r>
      <w:r>
        <w:rPr>
          <w:sz w:val="22"/>
        </w:rPr>
        <w:t>Цена контракта</w:t>
      </w:r>
      <w:r>
        <w:rPr>
          <w:sz w:val="22"/>
        </w:rPr>
        <w:t xml:space="preserve"> составляет _ ру</w:t>
      </w:r>
      <w:r>
        <w:rPr>
          <w:sz w:val="22"/>
        </w:rPr>
        <w:t>б</w:t>
      </w:r>
      <w:r>
        <w:rPr>
          <w:sz w:val="22"/>
        </w:rPr>
        <w:t>лей</w:t>
      </w:r>
      <w:r>
        <w:rPr>
          <w:sz w:val="22"/>
        </w:rPr>
        <w:t xml:space="preserve"> _ копеек</w:t>
      </w:r>
      <w:r>
        <w:rPr>
          <w:sz w:val="22"/>
        </w:rPr>
        <w:t xml:space="preserve">, </w:t>
      </w:r>
      <w:r>
        <w:rPr>
          <w:sz w:val="22"/>
        </w:rPr>
        <w:t xml:space="preserve">включая </w:t>
      </w:r>
      <w:r>
        <w:rPr>
          <w:sz w:val="22"/>
        </w:rPr>
        <w:t>НДС</w:t>
      </w:r>
      <w:r>
        <w:rPr>
          <w:sz w:val="22"/>
        </w:rPr>
        <w:t xml:space="preserve"> </w:t>
      </w:r>
      <w:r>
        <w:rPr>
          <w:sz w:val="22"/>
        </w:rPr>
        <w:t>_</w:t>
      </w:r>
      <w:r>
        <w:rPr>
          <w:sz w:val="22"/>
        </w:rPr>
        <w:t xml:space="preserve"> </w:t>
      </w:r>
      <w:r>
        <w:rPr>
          <w:sz w:val="22"/>
        </w:rPr>
        <w:t>рублей _</w:t>
      </w:r>
      <w:r>
        <w:rPr>
          <w:sz w:val="22"/>
        </w:rPr>
        <w:t xml:space="preserve"> </w:t>
      </w:r>
      <w:r>
        <w:rPr>
          <w:sz w:val="22"/>
        </w:rPr>
        <w:t>копеек</w:t>
      </w:r>
      <w:r>
        <w:rPr>
          <w:rStyle w:val="Style_5_ch"/>
          <w:sz w:val="22"/>
        </w:rPr>
        <w:footnoteReference w:id="1"/>
      </w:r>
      <w:r>
        <w:rPr>
          <w:sz w:val="22"/>
        </w:rPr>
        <w:t>.</w:t>
      </w:r>
      <w:r>
        <w:rPr>
          <w:sz w:val="22"/>
        </w:rPr>
        <w:t xml:space="preserve"> (НДС не облагается,</w:t>
      </w:r>
      <w:r>
        <w:rPr>
          <w:sz w:val="22"/>
        </w:rPr>
        <w:t xml:space="preserve"> </w:t>
      </w:r>
      <w:r>
        <w:rPr>
          <w:sz w:val="22"/>
        </w:rPr>
        <w:t>основание</w:t>
      </w:r>
      <w:r>
        <w:rPr>
          <w:sz w:val="22"/>
        </w:rPr>
        <w:t xml:space="preserve"> – </w:t>
      </w:r>
      <w:r>
        <w:rPr>
          <w:sz w:val="22"/>
        </w:rPr>
        <w:t>_</w:t>
      </w:r>
      <w:r>
        <w:rPr>
          <w:sz w:val="22"/>
        </w:rPr>
        <w:t>)</w:t>
      </w:r>
      <w:r>
        <w:rPr>
          <w:rStyle w:val="Style_5_ch"/>
          <w:sz w:val="22"/>
        </w:rPr>
        <w:footnoteReference w:id="2"/>
      </w:r>
      <w:r>
        <w:rPr>
          <w:sz w:val="22"/>
        </w:rPr>
        <w:t xml:space="preserve"> в соответствии с Расчетом цены Контракта (Приложение № 2). </w:t>
      </w:r>
    </w:p>
    <w:p w14:paraId="17000000">
      <w:pPr>
        <w:widowControl w:val="1"/>
        <w:ind w:firstLine="360"/>
        <w:jc w:val="both"/>
        <w:rPr>
          <w:sz w:val="22"/>
        </w:rPr>
      </w:pPr>
      <w:r>
        <w:rPr>
          <w:sz w:val="22"/>
        </w:rPr>
        <w:t>3.</w:t>
      </w:r>
      <w:r>
        <w:rPr>
          <w:sz w:val="22"/>
        </w:rPr>
        <w:t>2</w:t>
      </w:r>
      <w:r>
        <w:rPr>
          <w:sz w:val="22"/>
        </w:rPr>
        <w:t>.</w:t>
      </w:r>
      <w:r>
        <w:rPr>
          <w:sz w:val="22"/>
        </w:rPr>
        <w:t xml:space="preserve"> </w:t>
      </w:r>
      <w:r>
        <w:rPr>
          <w:sz w:val="22"/>
        </w:rPr>
        <w:t xml:space="preserve">Цена контракта является твердой </w:t>
      </w:r>
      <w:r>
        <w:rPr>
          <w:sz w:val="22"/>
        </w:rPr>
        <w:t>и</w:t>
      </w:r>
      <w:r>
        <w:rPr>
          <w:sz w:val="22"/>
        </w:rPr>
        <w:t xml:space="preserve"> определяется на весь срок исполнения контракта</w:t>
      </w:r>
      <w:r>
        <w:rPr>
          <w:sz w:val="22"/>
        </w:rPr>
        <w:t>.</w:t>
      </w:r>
      <w:r>
        <w:rPr>
          <w:sz w:val="22"/>
        </w:rPr>
        <w:t xml:space="preserve"> </w:t>
      </w:r>
      <w:r>
        <w:rPr>
          <w:sz w:val="22"/>
        </w:rPr>
        <w:t>Сумма, подлежащая уплате Заказчиком юридическому</w:t>
      </w:r>
      <w:r>
        <w:rPr>
          <w:sz w:val="22"/>
        </w:rPr>
        <w:t xml:space="preserve"> лицу </w:t>
      </w:r>
      <w:r>
        <w:rPr>
          <w:sz w:val="22"/>
        </w:rPr>
        <w:t xml:space="preserve"> или физическому лицу, в том числе зарегистрированному в качестве индивидуальног</w:t>
      </w:r>
      <w:r>
        <w:rPr>
          <w:sz w:val="22"/>
        </w:rPr>
        <w:t>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w:t>
      </w:r>
      <w:r>
        <w:rPr>
          <w:sz w:val="22"/>
        </w:rPr>
        <w:t>твом Российс</w:t>
      </w:r>
      <w:r>
        <w:rPr>
          <w:sz w:val="22"/>
        </w:rPr>
        <w:t xml:space="preserve">кой Федерации о налогах и сборах такие </w:t>
      </w:r>
      <w:r>
        <w:rPr>
          <w:sz w:val="22"/>
        </w:rPr>
        <w:t>налоги, сборы и иные обязательные платежи подлежат уплате в бюджеты бюджетной системы Российской Федерации Заказчиком.</w:t>
      </w:r>
    </w:p>
    <w:p w14:paraId="18000000">
      <w:pPr>
        <w:widowControl w:val="1"/>
        <w:ind w:firstLine="360"/>
        <w:jc w:val="both"/>
        <w:rPr>
          <w:sz w:val="22"/>
        </w:rPr>
      </w:pPr>
      <w:r>
        <w:rPr>
          <w:sz w:val="22"/>
        </w:rPr>
        <w:t>3.</w:t>
      </w:r>
      <w:r>
        <w:rPr>
          <w:sz w:val="22"/>
        </w:rPr>
        <w:t>3</w:t>
      </w:r>
      <w:r>
        <w:rPr>
          <w:sz w:val="22"/>
        </w:rPr>
        <w:t>.</w:t>
      </w:r>
      <w:r>
        <w:rPr>
          <w:sz w:val="22"/>
        </w:rPr>
        <w:t xml:space="preserve"> Авансирование </w:t>
      </w:r>
      <w:r>
        <w:rPr>
          <w:sz w:val="22"/>
        </w:rPr>
        <w:t xml:space="preserve">по Контракту не </w:t>
      </w:r>
      <w:r>
        <w:rPr>
          <w:sz w:val="22"/>
        </w:rPr>
        <w:t xml:space="preserve">предусматривается. </w:t>
      </w:r>
    </w:p>
    <w:p w14:paraId="19000000">
      <w:pPr>
        <w:widowControl w:val="1"/>
        <w:ind w:firstLine="360"/>
        <w:jc w:val="both"/>
        <w:rPr>
          <w:sz w:val="22"/>
        </w:rPr>
      </w:pPr>
      <w:r>
        <w:rPr>
          <w:sz w:val="22"/>
        </w:rPr>
        <w:t>3.</w:t>
      </w:r>
      <w:r>
        <w:rPr>
          <w:sz w:val="22"/>
        </w:rPr>
        <w:t>4</w:t>
      </w:r>
      <w:r>
        <w:rPr>
          <w:sz w:val="22"/>
        </w:rPr>
        <w:t xml:space="preserve">. Оплата </w:t>
      </w:r>
      <w:r>
        <w:rPr>
          <w:sz w:val="22"/>
        </w:rPr>
        <w:t>по контракту</w:t>
      </w:r>
      <w:r>
        <w:rPr>
          <w:sz w:val="22"/>
        </w:rPr>
        <w:t xml:space="preserve"> осуществляется в безналич</w:t>
      </w:r>
      <w:r>
        <w:rPr>
          <w:sz w:val="22"/>
        </w:rPr>
        <w:t>ной форме путём перечисления денежных средств на расчётный счёт Подря</w:t>
      </w:r>
      <w:r>
        <w:rPr>
          <w:sz w:val="22"/>
        </w:rPr>
        <w:t>д</w:t>
      </w:r>
      <w:r>
        <w:rPr>
          <w:sz w:val="22"/>
        </w:rPr>
        <w:t>чика.</w:t>
      </w:r>
    </w:p>
    <w:p w14:paraId="1A000000">
      <w:pPr>
        <w:widowControl w:val="1"/>
        <w:ind w:firstLine="360"/>
        <w:jc w:val="both"/>
        <w:rPr>
          <w:sz w:val="22"/>
        </w:rPr>
      </w:pPr>
      <w:r>
        <w:rPr>
          <w:sz w:val="22"/>
        </w:rPr>
        <w:t>3.</w:t>
      </w:r>
      <w:r>
        <w:rPr>
          <w:sz w:val="22"/>
        </w:rPr>
        <w:t>5</w:t>
      </w:r>
      <w:r>
        <w:rPr>
          <w:sz w:val="22"/>
        </w:rPr>
        <w:t xml:space="preserve">. </w:t>
      </w:r>
      <w:r>
        <w:rPr>
          <w:sz w:val="22"/>
        </w:rPr>
        <w:t>Оплата</w:t>
      </w:r>
      <w:r>
        <w:rPr>
          <w:sz w:val="22"/>
        </w:rPr>
        <w:t xml:space="preserve"> полностью</w:t>
      </w:r>
      <w:r>
        <w:rPr>
          <w:sz w:val="22"/>
        </w:rPr>
        <w:t xml:space="preserve"> </w:t>
      </w:r>
      <w:r>
        <w:rPr>
          <w:sz w:val="22"/>
        </w:rPr>
        <w:t xml:space="preserve">выполненных Подрядчиком работ </w:t>
      </w:r>
      <w:r>
        <w:rPr>
          <w:sz w:val="22"/>
        </w:rPr>
        <w:t>осуществляется на основании</w:t>
      </w:r>
      <w:r>
        <w:rPr>
          <w:sz w:val="22"/>
        </w:rPr>
        <w:t xml:space="preserve"> счета, счета-фактуры</w:t>
      </w:r>
      <w:r>
        <w:rPr>
          <w:rStyle w:val="Style_5_ch"/>
          <w:sz w:val="22"/>
        </w:rPr>
        <w:footnoteReference w:id="3"/>
      </w:r>
      <w:r>
        <w:rPr>
          <w:sz w:val="22"/>
        </w:rPr>
        <w:t>, представленных Подрядчиком</w:t>
      </w:r>
      <w:r>
        <w:rPr>
          <w:sz w:val="22"/>
        </w:rPr>
        <w:t xml:space="preserve">, </w:t>
      </w:r>
      <w:r>
        <w:rPr>
          <w:sz w:val="22"/>
        </w:rPr>
        <w:t>акт</w:t>
      </w:r>
      <w:r>
        <w:rPr>
          <w:sz w:val="22"/>
        </w:rPr>
        <w:t>а</w:t>
      </w:r>
      <w:r>
        <w:rPr>
          <w:sz w:val="22"/>
        </w:rPr>
        <w:t xml:space="preserve"> </w:t>
      </w:r>
      <w:r>
        <w:rPr>
          <w:sz w:val="22"/>
        </w:rPr>
        <w:t xml:space="preserve">о </w:t>
      </w:r>
      <w:r>
        <w:rPr>
          <w:sz w:val="22"/>
        </w:rPr>
        <w:t xml:space="preserve"> приемк</w:t>
      </w:r>
      <w:r>
        <w:rPr>
          <w:sz w:val="22"/>
        </w:rPr>
        <w:t>е</w:t>
      </w:r>
      <w:r>
        <w:rPr>
          <w:sz w:val="22"/>
        </w:rPr>
        <w:t xml:space="preserve"> выполне</w:t>
      </w:r>
      <w:r>
        <w:rPr>
          <w:sz w:val="22"/>
        </w:rPr>
        <w:t>н</w:t>
      </w:r>
      <w:r>
        <w:rPr>
          <w:sz w:val="22"/>
        </w:rPr>
        <w:t>ных</w:t>
      </w:r>
      <w:r>
        <w:rPr>
          <w:sz w:val="22"/>
        </w:rPr>
        <w:t xml:space="preserve"> работ</w:t>
      </w:r>
      <w:r>
        <w:rPr>
          <w:sz w:val="22"/>
        </w:rPr>
        <w:t xml:space="preserve">, </w:t>
      </w:r>
      <w:r>
        <w:rPr>
          <w:sz w:val="22"/>
        </w:rPr>
        <w:t>подписанны</w:t>
      </w:r>
      <w:r>
        <w:rPr>
          <w:sz w:val="22"/>
        </w:rPr>
        <w:t>х</w:t>
      </w:r>
      <w:r>
        <w:rPr>
          <w:sz w:val="22"/>
        </w:rPr>
        <w:t xml:space="preserve"> Заказчиком и Подрядчиком в порядке, предусмотренном п. 6 насто</w:t>
      </w:r>
      <w:r>
        <w:rPr>
          <w:sz w:val="22"/>
        </w:rPr>
        <w:t>я</w:t>
      </w:r>
      <w:r>
        <w:rPr>
          <w:sz w:val="22"/>
        </w:rPr>
        <w:t>щего контракта</w:t>
      </w:r>
      <w:r>
        <w:rPr>
          <w:sz w:val="22"/>
        </w:rPr>
        <w:t xml:space="preserve">, </w:t>
      </w:r>
      <w:r>
        <w:rPr>
          <w:sz w:val="22"/>
        </w:rPr>
        <w:t>с учетом удержанных сумм неисполненных Подрядчиком требований Заказчика об уплате неустоек (штрафов, пеней) (</w:t>
      </w:r>
      <w:r>
        <w:rPr>
          <w:sz w:val="22"/>
        </w:rPr>
        <w:t>при наличии обстоятельств, предусмотренных п. 7 настоящего контракта)</w:t>
      </w:r>
      <w:r>
        <w:rPr>
          <w:sz w:val="22"/>
        </w:rPr>
        <w:t xml:space="preserve"> в течение</w:t>
      </w:r>
      <w:r>
        <w:rPr>
          <w:sz w:val="22"/>
        </w:rPr>
        <w:t xml:space="preserve"> </w:t>
      </w:r>
      <w:r>
        <w:rPr>
          <w:sz w:val="22"/>
        </w:rPr>
        <w:t>7</w:t>
      </w:r>
      <w:r>
        <w:rPr>
          <w:sz w:val="22"/>
        </w:rPr>
        <w:t xml:space="preserve"> рабочих</w:t>
      </w:r>
      <w:r>
        <w:rPr>
          <w:sz w:val="22"/>
        </w:rPr>
        <w:t xml:space="preserve"> дней </w:t>
      </w:r>
      <w:r>
        <w:rPr>
          <w:sz w:val="22"/>
        </w:rPr>
        <w:t>с даты подписания Заказчиком</w:t>
      </w:r>
      <w:r>
        <w:rPr>
          <w:sz w:val="22"/>
        </w:rPr>
        <w:t xml:space="preserve"> акта о приемке выполненных работ.</w:t>
      </w:r>
    </w:p>
    <w:p w14:paraId="1B000000">
      <w:pPr>
        <w:widowControl w:val="1"/>
        <w:ind w:firstLine="426"/>
        <w:jc w:val="both"/>
        <w:rPr>
          <w:sz w:val="22"/>
        </w:rPr>
      </w:pPr>
      <w:r>
        <w:rPr>
          <w:sz w:val="22"/>
        </w:rPr>
        <w:t xml:space="preserve">3.6. Суммы неисполненных Подрядчиком </w:t>
      </w:r>
      <w:r>
        <w:rPr>
          <w:sz w:val="22"/>
        </w:rPr>
        <w:t>требований о</w:t>
      </w:r>
      <w:r>
        <w:rPr>
          <w:sz w:val="22"/>
        </w:rPr>
        <w:t>б уплате неустоек (штрафов, пеней), предъявленных Заказчиком в соответствии с Федеральны</w:t>
      </w:r>
      <w:r>
        <w:rPr>
          <w:sz w:val="22"/>
        </w:rPr>
        <w:t>м</w:t>
      </w:r>
      <w:r>
        <w:rPr>
          <w:sz w:val="22"/>
        </w:rPr>
        <w:t xml:space="preserve"> закон</w:t>
      </w:r>
      <w:r>
        <w:rPr>
          <w:sz w:val="22"/>
        </w:rPr>
        <w:t>ом</w:t>
      </w:r>
      <w:r>
        <w:rPr>
          <w:sz w:val="22"/>
        </w:rPr>
        <w:t xml:space="preserve"> № 44-ФЗ и контрактом, удерживаются Заказчиком из суммы, подлежащей оплате Подрядчику.</w:t>
      </w:r>
    </w:p>
    <w:p w14:paraId="1C000000">
      <w:pPr>
        <w:widowControl w:val="1"/>
        <w:ind w:firstLine="360"/>
        <w:jc w:val="both"/>
        <w:rPr>
          <w:sz w:val="22"/>
        </w:rPr>
      </w:pPr>
      <w:r>
        <w:rPr>
          <w:sz w:val="22"/>
        </w:rPr>
        <w:t>3.</w:t>
      </w:r>
      <w:r>
        <w:rPr>
          <w:sz w:val="22"/>
        </w:rPr>
        <w:t>7</w:t>
      </w:r>
      <w:r>
        <w:rPr>
          <w:sz w:val="22"/>
        </w:rPr>
        <w:t>. Работы, выполненные Подрядчиком с отклонениями от требований контракта, норм</w:t>
      </w:r>
      <w:r>
        <w:rPr>
          <w:sz w:val="22"/>
        </w:rPr>
        <w:t>а</w:t>
      </w:r>
      <w:r>
        <w:rPr>
          <w:sz w:val="22"/>
        </w:rPr>
        <w:t xml:space="preserve">тивно-правовых актов и иных исходных данных или иными недостатками </w:t>
      </w:r>
      <w:r>
        <w:rPr>
          <w:sz w:val="22"/>
        </w:rPr>
        <w:br/>
      </w:r>
      <w:r>
        <w:rPr>
          <w:sz w:val="22"/>
        </w:rPr>
        <w:t>не подлежат оплате Заказчиком до устранения Подрядчиком обнаруженных недостатков.</w:t>
      </w:r>
    </w:p>
    <w:p w14:paraId="1D000000">
      <w:pPr>
        <w:widowControl w:val="1"/>
        <w:ind w:firstLine="360"/>
        <w:jc w:val="both"/>
        <w:rPr>
          <w:sz w:val="22"/>
        </w:rPr>
      </w:pPr>
      <w:r>
        <w:rPr>
          <w:sz w:val="22"/>
        </w:rPr>
        <w:t>3.</w:t>
      </w:r>
      <w:r>
        <w:rPr>
          <w:sz w:val="22"/>
        </w:rPr>
        <w:t>8</w:t>
      </w:r>
      <w:r>
        <w:rPr>
          <w:sz w:val="22"/>
        </w:rPr>
        <w:t>.</w:t>
      </w:r>
      <w:r>
        <w:rPr>
          <w:sz w:val="22"/>
        </w:rPr>
        <w:t xml:space="preserve"> Источник финансирования: </w:t>
      </w:r>
      <w:r>
        <w:rPr>
          <w:sz w:val="22"/>
        </w:rPr>
        <w:t>в</w:t>
      </w:r>
      <w:r>
        <w:rPr>
          <w:sz w:val="22"/>
        </w:rPr>
        <w:t>небюджетные средства, средства бюджетных учреждений.</w:t>
      </w:r>
    </w:p>
    <w:p w14:paraId="1E000000">
      <w:pPr>
        <w:widowControl w:val="1"/>
        <w:ind w:firstLine="420"/>
        <w:jc w:val="both"/>
        <w:rPr>
          <w:sz w:val="22"/>
        </w:rPr>
      </w:pPr>
    </w:p>
    <w:p w14:paraId="1F000000">
      <w:pPr>
        <w:widowControl w:val="1"/>
        <w:ind w:firstLine="420"/>
        <w:jc w:val="center"/>
        <w:rPr>
          <w:sz w:val="22"/>
        </w:rPr>
      </w:pPr>
      <w:r>
        <w:rPr>
          <w:sz w:val="22"/>
        </w:rPr>
        <w:t>4. ПРАВА И</w:t>
      </w:r>
      <w:r>
        <w:rPr>
          <w:sz w:val="22"/>
        </w:rPr>
        <w:t xml:space="preserve"> ОБЯЗАННОСТИ СТОРОН</w:t>
      </w:r>
    </w:p>
    <w:p w14:paraId="20000000">
      <w:pPr>
        <w:widowControl w:val="1"/>
        <w:ind w:firstLine="360"/>
        <w:jc w:val="both"/>
        <w:rPr>
          <w:sz w:val="22"/>
        </w:rPr>
      </w:pPr>
      <w:r>
        <w:rPr>
          <w:sz w:val="22"/>
        </w:rPr>
        <w:t>4.1. Заказчик обязан:</w:t>
      </w:r>
    </w:p>
    <w:p w14:paraId="21000000">
      <w:pPr>
        <w:widowControl w:val="1"/>
        <w:ind w:firstLine="360"/>
        <w:jc w:val="both"/>
        <w:rPr>
          <w:sz w:val="22"/>
        </w:rPr>
      </w:pPr>
      <w:r>
        <w:rPr>
          <w:sz w:val="22"/>
        </w:rPr>
        <w:t xml:space="preserve">4.1.1. Передать Подрядчику объект, указанный в пункте 1.1 настоящего Контракта, </w:t>
      </w:r>
      <w:r>
        <w:rPr>
          <w:sz w:val="22"/>
        </w:rPr>
        <w:br/>
      </w:r>
      <w:r>
        <w:rPr>
          <w:sz w:val="22"/>
        </w:rPr>
        <w:t>по акту передачи объекта для выполнения работ</w:t>
      </w:r>
      <w:r>
        <w:rPr>
          <w:color w:val="000000"/>
          <w:sz w:val="22"/>
        </w:rPr>
        <w:t>.</w:t>
      </w:r>
    </w:p>
    <w:p w14:paraId="22000000">
      <w:pPr>
        <w:widowControl w:val="1"/>
        <w:ind w:firstLine="360"/>
        <w:jc w:val="both"/>
        <w:rPr>
          <w:sz w:val="22"/>
        </w:rPr>
      </w:pPr>
      <w:r>
        <w:rPr>
          <w:sz w:val="22"/>
        </w:rPr>
        <w:t xml:space="preserve">4.1.2. </w:t>
      </w:r>
      <w:r>
        <w:rPr>
          <w:sz w:val="22"/>
        </w:rPr>
        <w:t>Осуществлять контроль и надзор за ходом и качеством выполняемых работ, соблюдением сроков их выполн</w:t>
      </w:r>
      <w:r>
        <w:rPr>
          <w:sz w:val="22"/>
        </w:rPr>
        <w:t>ения и соответствием у</w:t>
      </w:r>
      <w:r>
        <w:rPr>
          <w:sz w:val="22"/>
        </w:rPr>
        <w:t>с</w:t>
      </w:r>
      <w:r>
        <w:rPr>
          <w:sz w:val="22"/>
        </w:rPr>
        <w:t>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p>
    <w:p w14:paraId="23000000">
      <w:pPr>
        <w:widowControl w:val="1"/>
        <w:ind w:firstLine="360"/>
        <w:jc w:val="both"/>
        <w:rPr>
          <w:sz w:val="22"/>
        </w:rPr>
      </w:pPr>
      <w:r>
        <w:rPr>
          <w:sz w:val="22"/>
        </w:rPr>
        <w:t>4.1.3. При обн</w:t>
      </w:r>
      <w:r>
        <w:rPr>
          <w:sz w:val="22"/>
        </w:rPr>
        <w:t>аружении в х</w:t>
      </w:r>
      <w:r>
        <w:rPr>
          <w:sz w:val="22"/>
        </w:rPr>
        <w:t>оде выполнения работ отступлений от условий настоящего контракта, которые могут ухудшить качество выполненных работ, или иных недостатков, н</w:t>
      </w:r>
      <w:r>
        <w:rPr>
          <w:sz w:val="22"/>
        </w:rPr>
        <w:t>е</w:t>
      </w:r>
      <w:r>
        <w:rPr>
          <w:sz w:val="22"/>
        </w:rPr>
        <w:t>медленно заявить об этом Подрядчику в письменной форме, назначив срок их устранения.</w:t>
      </w:r>
    </w:p>
    <w:p w14:paraId="24000000">
      <w:pPr>
        <w:widowControl w:val="1"/>
        <w:ind w:firstLine="360"/>
        <w:jc w:val="both"/>
        <w:rPr>
          <w:sz w:val="22"/>
        </w:rPr>
      </w:pPr>
      <w:r>
        <w:rPr>
          <w:sz w:val="22"/>
        </w:rPr>
        <w:t>4.1.4. Принять и оплатить выполненные Подрядчиком работы</w:t>
      </w:r>
      <w:r>
        <w:rPr>
          <w:sz w:val="22"/>
        </w:rPr>
        <w:t xml:space="preserve"> на условиях настоящего Контракта. </w:t>
      </w:r>
    </w:p>
    <w:p w14:paraId="25000000">
      <w:pPr>
        <w:widowControl w:val="1"/>
        <w:ind w:firstLine="360"/>
        <w:jc w:val="both"/>
        <w:rPr>
          <w:sz w:val="22"/>
        </w:rPr>
      </w:pPr>
      <w:r>
        <w:rPr>
          <w:sz w:val="22"/>
        </w:rPr>
        <w:t xml:space="preserve">4.1.5. </w:t>
      </w:r>
      <w:r>
        <w:rPr>
          <w:sz w:val="22"/>
        </w:rPr>
        <w:t>Принять решение об одностороннем отказе от исполнения кон</w:t>
      </w:r>
      <w:r>
        <w:rPr>
          <w:sz w:val="22"/>
        </w:rPr>
        <w:t>тракта в слу</w:t>
      </w:r>
      <w:r>
        <w:rPr>
          <w:sz w:val="22"/>
        </w:rPr>
        <w:t xml:space="preserve">чае, если в ходе исполнения  контракта установлено, что Подрядчик </w:t>
      </w:r>
      <w:r>
        <w:rPr>
          <w:sz w:val="22"/>
        </w:rPr>
        <w:t xml:space="preserve">и (или) поставляемый товар </w:t>
      </w:r>
      <w:r>
        <w:rPr>
          <w:sz w:val="22"/>
        </w:rPr>
        <w:t>перестал соответствовать</w:t>
      </w:r>
      <w:r>
        <w:rPr>
          <w:sz w:val="22"/>
        </w:rPr>
        <w:t xml:space="preserve"> установленным извещением об осуществлении закупки и (или) документацией о закупке требованиям к участникам</w:t>
      </w:r>
      <w:r>
        <w:rPr>
          <w:sz w:val="22"/>
        </w:rPr>
        <w:t xml:space="preserve"> </w:t>
      </w:r>
      <w:r>
        <w:rPr>
          <w:sz w:val="22"/>
        </w:rPr>
        <w:t>закупки</w:t>
      </w:r>
      <w:r>
        <w:rPr>
          <w:sz w:val="22"/>
        </w:rPr>
        <w:t xml:space="preserve"> и (или) поставляемому товару</w:t>
      </w:r>
      <w:r>
        <w:rPr>
          <w:sz w:val="22"/>
        </w:rPr>
        <w:t xml:space="preserve">  или представил недостоверную информацию о своем соответствии</w:t>
      </w:r>
      <w:r>
        <w:rPr>
          <w:sz w:val="22"/>
        </w:rPr>
        <w:t xml:space="preserve"> и (или) соответствии поставляемого товара</w:t>
      </w:r>
      <w:r>
        <w:rPr>
          <w:sz w:val="22"/>
        </w:rPr>
        <w:t xml:space="preserve">  таким требованиям, что позволило ему стать победителем определения Подрядчика.</w:t>
      </w:r>
    </w:p>
    <w:p w14:paraId="26000000">
      <w:pPr>
        <w:widowControl w:val="1"/>
        <w:ind w:firstLine="360"/>
        <w:jc w:val="both"/>
        <w:rPr>
          <w:sz w:val="22"/>
        </w:rPr>
      </w:pPr>
      <w:r>
        <w:rPr>
          <w:sz w:val="22"/>
        </w:rPr>
        <w:t>4.2. Подрядчик обязан:</w:t>
      </w:r>
    </w:p>
    <w:p w14:paraId="27000000">
      <w:pPr>
        <w:widowControl w:val="1"/>
        <w:ind w:firstLine="360"/>
        <w:jc w:val="both"/>
        <w:rPr>
          <w:sz w:val="22"/>
        </w:rPr>
      </w:pPr>
      <w:r>
        <w:rPr>
          <w:color w:val="000000"/>
          <w:sz w:val="22"/>
        </w:rPr>
        <w:t xml:space="preserve">4.2.1. Принять от Заказчика по </w:t>
      </w:r>
      <w:r>
        <w:rPr>
          <w:color w:val="000000"/>
          <w:sz w:val="22"/>
        </w:rPr>
        <w:t xml:space="preserve">акту объект </w:t>
      </w:r>
      <w:r>
        <w:rPr>
          <w:color w:val="000000"/>
          <w:sz w:val="22"/>
        </w:rPr>
        <w:t>для выполнения работ</w:t>
      </w:r>
      <w:r>
        <w:rPr>
          <w:sz w:val="22"/>
        </w:rPr>
        <w:t>.</w:t>
      </w:r>
    </w:p>
    <w:p w14:paraId="28000000">
      <w:pPr>
        <w:widowControl w:val="1"/>
        <w:ind w:firstLine="360"/>
        <w:jc w:val="both"/>
        <w:rPr>
          <w:sz w:val="22"/>
        </w:rPr>
      </w:pPr>
      <w:r>
        <w:rPr>
          <w:sz w:val="22"/>
        </w:rPr>
        <w:t>4.2.2. Выполнить предусмотренные настоящим контрактом работы, обеспечив их надл</w:t>
      </w:r>
      <w:r>
        <w:rPr>
          <w:sz w:val="22"/>
        </w:rPr>
        <w:t>е</w:t>
      </w:r>
      <w:r>
        <w:rPr>
          <w:sz w:val="22"/>
        </w:rPr>
        <w:t>жащее качество в соответствии с Техническим заданием</w:t>
      </w:r>
      <w:r>
        <w:rPr>
          <w:sz w:val="22"/>
        </w:rPr>
        <w:t xml:space="preserve">, </w:t>
      </w:r>
      <w:r>
        <w:rPr>
          <w:sz w:val="22"/>
        </w:rPr>
        <w:t>определяющим объем, содержание работ и другие, предъявляемые к ним требования, обеспечив их надлежащее качество, а также действующими строительными и противопожарными нормами и правилами</w:t>
      </w:r>
      <w:r>
        <w:rPr>
          <w:sz w:val="22"/>
        </w:rPr>
        <w:t>, в сроки, установленные настоящим контрактом, не д</w:t>
      </w:r>
      <w:r>
        <w:rPr>
          <w:sz w:val="22"/>
        </w:rPr>
        <w:t>опуская выпо</w:t>
      </w:r>
      <w:r>
        <w:rPr>
          <w:sz w:val="22"/>
        </w:rPr>
        <w:t>лнения объемов работ сверх установленной контрактом стоимости работ.</w:t>
      </w:r>
      <w:r>
        <w:rPr>
          <w:sz w:val="22"/>
        </w:rPr>
        <w:t xml:space="preserve"> </w:t>
      </w:r>
      <w:r>
        <w:rPr>
          <w:sz w:val="22"/>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w:t>
      </w:r>
      <w:r>
        <w:rPr>
          <w:sz w:val="22"/>
        </w:rPr>
        <w:t xml:space="preserve"> подтверждающие качество материальных ресурсов.</w:t>
      </w:r>
    </w:p>
    <w:p w14:paraId="29000000">
      <w:pPr>
        <w:widowControl w:val="1"/>
        <w:ind w:firstLine="360"/>
        <w:jc w:val="both"/>
        <w:rPr>
          <w:sz w:val="22"/>
        </w:rPr>
      </w:pPr>
      <w:r>
        <w:rPr>
          <w:sz w:val="22"/>
        </w:rPr>
        <w:t>4.2.3. Применяемые По</w:t>
      </w:r>
      <w:r>
        <w:rPr>
          <w:sz w:val="22"/>
        </w:rPr>
        <w:t>дрядчиком ма</w:t>
      </w:r>
      <w:r>
        <w:rPr>
          <w:sz w:val="22"/>
        </w:rPr>
        <w:t>териалы и оборудование</w:t>
      </w:r>
      <w:r>
        <w:rPr>
          <w:sz w:val="22"/>
        </w:rPr>
        <w:t xml:space="preserve"> (подлежащие обязательной сертификации)</w:t>
      </w:r>
      <w:r>
        <w:rPr>
          <w:sz w:val="22"/>
        </w:rPr>
        <w:t xml:space="preserve"> должны быть сертифицир</w:t>
      </w:r>
      <w:r>
        <w:rPr>
          <w:sz w:val="22"/>
        </w:rPr>
        <w:t>о</w:t>
      </w:r>
      <w:r>
        <w:rPr>
          <w:sz w:val="22"/>
        </w:rPr>
        <w:t>ваны и разрешены к применению на территории Российской Федерации. Сертификаты на используемые при выполнении работ материалы и оборудование, должны быть представлены Подрядчиком Заказчику не менее чем</w:t>
      </w:r>
      <w:r>
        <w:rPr>
          <w:sz w:val="22"/>
        </w:rPr>
        <w:t xml:space="preserve"> </w:t>
      </w:r>
      <w:r>
        <w:rPr>
          <w:sz w:val="22"/>
        </w:rPr>
        <w:t>за 5 (</w:t>
      </w:r>
      <w:r>
        <w:rPr>
          <w:sz w:val="22"/>
        </w:rPr>
        <w:t>п</w:t>
      </w:r>
      <w:r>
        <w:rPr>
          <w:sz w:val="22"/>
        </w:rPr>
        <w:t xml:space="preserve">ять) дней до их использования в </w:t>
      </w:r>
      <w:r>
        <w:rPr>
          <w:sz w:val="22"/>
        </w:rPr>
        <w:t>р</w:t>
      </w:r>
      <w:r>
        <w:rPr>
          <w:sz w:val="22"/>
        </w:rPr>
        <w:t>аботах.</w:t>
      </w:r>
      <w:r>
        <w:rPr>
          <w:sz w:val="22"/>
        </w:rPr>
        <w:t xml:space="preserve"> Подрядчик при выполнении работ может использовать по письменному согласованию с Заказчиком аналогичные материалы (комплектующие и оборудование), которые с</w:t>
      </w:r>
      <w:r>
        <w:rPr>
          <w:sz w:val="22"/>
        </w:rPr>
        <w:t>оответствуют</w:t>
      </w:r>
      <w:r>
        <w:rPr>
          <w:sz w:val="22"/>
        </w:rPr>
        <w:t xml:space="preserve">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14:paraId="2A000000">
      <w:pPr>
        <w:widowControl w:val="1"/>
        <w:ind w:firstLine="360"/>
        <w:jc w:val="both"/>
        <w:rPr>
          <w:sz w:val="22"/>
        </w:rPr>
      </w:pPr>
      <w:r>
        <w:rPr>
          <w:sz w:val="22"/>
        </w:rPr>
        <w:t>4.2.4. Выполнять работы с соблюдением норм пожарной безопасности, техники безопа</w:t>
      </w:r>
      <w:r>
        <w:rPr>
          <w:sz w:val="22"/>
        </w:rPr>
        <w:t>с</w:t>
      </w:r>
      <w:r>
        <w:rPr>
          <w:sz w:val="22"/>
        </w:rPr>
        <w:t>ности,</w:t>
      </w:r>
      <w:r>
        <w:rPr>
          <w:sz w:val="22"/>
        </w:rPr>
        <w:t xml:space="preserve"> охраны окружающей среды.</w:t>
      </w:r>
    </w:p>
    <w:p w14:paraId="2B000000">
      <w:pPr>
        <w:widowControl w:val="1"/>
        <w:ind w:firstLine="360"/>
        <w:jc w:val="both"/>
        <w:rPr>
          <w:sz w:val="22"/>
        </w:rPr>
      </w:pPr>
      <w:r>
        <w:rPr>
          <w:sz w:val="22"/>
        </w:rPr>
        <w:t>4.2.5. Обеспечить уборку территории прилегающей к территории выполнения работ.</w:t>
      </w:r>
    </w:p>
    <w:p w14:paraId="2C000000">
      <w:pPr>
        <w:widowControl w:val="1"/>
        <w:ind w:firstLine="360"/>
        <w:jc w:val="both"/>
        <w:rPr>
          <w:sz w:val="22"/>
        </w:rPr>
      </w:pPr>
      <w:r>
        <w:rPr>
          <w:sz w:val="22"/>
        </w:rPr>
        <w:t xml:space="preserve">4.2.6. Немедленно письменно предупредить Заказчика при обнаружении не зависящих от Подрядчика обстоятельств, </w:t>
      </w:r>
      <w:r>
        <w:rPr>
          <w:sz w:val="22"/>
        </w:rPr>
        <w:t>которые гроз</w:t>
      </w:r>
      <w:r>
        <w:rPr>
          <w:sz w:val="22"/>
        </w:rPr>
        <w:t>ят годности или прочности результатов выполня</w:t>
      </w:r>
      <w:r>
        <w:rPr>
          <w:sz w:val="22"/>
        </w:rPr>
        <w:t>е</w:t>
      </w:r>
      <w:r>
        <w:rPr>
          <w:sz w:val="22"/>
        </w:rPr>
        <w:t>мых работ либо создают невозможность их завершения в срок.</w:t>
      </w:r>
    </w:p>
    <w:p w14:paraId="2D000000">
      <w:pPr>
        <w:widowControl w:val="1"/>
        <w:ind w:firstLine="540"/>
        <w:jc w:val="both"/>
        <w:rPr>
          <w:color w:val="000000"/>
          <w:sz w:val="22"/>
        </w:rPr>
      </w:pPr>
      <w:r>
        <w:rPr>
          <w:color w:val="000000"/>
          <w:sz w:val="22"/>
        </w:rPr>
        <w:t xml:space="preserve">Немедленно письменно предупредить Заказчика об иных сложностях, возникающих при исполнении контракта. </w:t>
      </w:r>
      <w:r>
        <w:rPr>
          <w:color w:val="000000"/>
          <w:sz w:val="22"/>
        </w:rPr>
        <w:t>П</w:t>
      </w:r>
      <w:r>
        <w:rPr>
          <w:color w:val="000000"/>
          <w:sz w:val="22"/>
        </w:rPr>
        <w:t xml:space="preserve">редоставлять </w:t>
      </w:r>
      <w:r>
        <w:rPr>
          <w:color w:val="000000"/>
          <w:sz w:val="22"/>
        </w:rPr>
        <w:t>Заказчику</w:t>
      </w:r>
      <w:r>
        <w:rPr>
          <w:color w:val="000000"/>
          <w:sz w:val="22"/>
        </w:rPr>
        <w:t xml:space="preserve"> достоверную информацию о ходе исполнени</w:t>
      </w:r>
      <w:r>
        <w:rPr>
          <w:color w:val="000000"/>
          <w:sz w:val="22"/>
        </w:rPr>
        <w:t>я своих обязательств по Контракту в течение 3 дней с момента получения запроса Заказчика.</w:t>
      </w:r>
    </w:p>
    <w:p w14:paraId="2E000000">
      <w:pPr>
        <w:widowControl w:val="1"/>
        <w:ind w:firstLine="360"/>
        <w:jc w:val="both"/>
        <w:rPr>
          <w:sz w:val="22"/>
        </w:rPr>
      </w:pPr>
      <w:r>
        <w:rPr>
          <w:sz w:val="22"/>
        </w:rPr>
        <w:t xml:space="preserve">4.2.7. </w:t>
      </w:r>
      <w:r>
        <w:rPr>
          <w:sz w:val="22"/>
        </w:rPr>
        <w:t xml:space="preserve">Обеспечивать сохранность материалов и оборудования, находящихся </w:t>
      </w:r>
      <w:r>
        <w:rPr>
          <w:sz w:val="22"/>
        </w:rPr>
        <w:br/>
      </w:r>
      <w:r>
        <w:rPr>
          <w:sz w:val="22"/>
        </w:rPr>
        <w:t xml:space="preserve">на территории выполнения работ в период выполнения работ, а также в период устранения недостатков в выполненной работе. </w:t>
      </w:r>
    </w:p>
    <w:p w14:paraId="2F000000">
      <w:pPr>
        <w:widowControl w:val="1"/>
        <w:ind w:firstLine="360"/>
        <w:jc w:val="both"/>
        <w:rPr>
          <w:sz w:val="22"/>
        </w:rPr>
      </w:pPr>
      <w:r>
        <w:rPr>
          <w:sz w:val="22"/>
        </w:rPr>
        <w:t xml:space="preserve">4.2.8. Обеспечивать Заказчику возможность контроля и надзора за ходом выполнения работ, качеством используемых материалов </w:t>
      </w:r>
      <w:r>
        <w:rPr>
          <w:sz w:val="22"/>
        </w:rPr>
        <w:t>и оборудован</w:t>
      </w:r>
      <w:r>
        <w:rPr>
          <w:sz w:val="22"/>
        </w:rPr>
        <w:t>ия, в том числе беспрепятственно д</w:t>
      </w:r>
      <w:r>
        <w:rPr>
          <w:sz w:val="22"/>
        </w:rPr>
        <w:t>о</w:t>
      </w:r>
      <w:r>
        <w:rPr>
          <w:sz w:val="22"/>
        </w:rPr>
        <w:t>пускать его представителей к любому конструктивному элементу Объекта, представлять по их треб</w:t>
      </w:r>
      <w:r>
        <w:rPr>
          <w:sz w:val="22"/>
        </w:rPr>
        <w:t>о</w:t>
      </w:r>
      <w:r>
        <w:rPr>
          <w:sz w:val="22"/>
        </w:rPr>
        <w:t>ванию отчеты о ходе выполнения работ.</w:t>
      </w:r>
    </w:p>
    <w:p w14:paraId="30000000">
      <w:pPr>
        <w:widowControl w:val="1"/>
        <w:ind w:firstLine="360"/>
        <w:jc w:val="both"/>
        <w:rPr>
          <w:sz w:val="22"/>
        </w:rPr>
      </w:pPr>
      <w:r>
        <w:rPr>
          <w:sz w:val="22"/>
        </w:rPr>
        <w:t xml:space="preserve">4.2.9. </w:t>
      </w:r>
      <w:r>
        <w:rPr>
          <w:sz w:val="22"/>
        </w:rPr>
        <w:t>Сдать результат выполненных работ Заказчику и передать при этом всю докуме</w:t>
      </w:r>
      <w:r>
        <w:rPr>
          <w:sz w:val="22"/>
        </w:rPr>
        <w:t>н</w:t>
      </w:r>
      <w:r>
        <w:rPr>
          <w:sz w:val="22"/>
        </w:rPr>
        <w:t>тацию, относящуюся к выполненным работам</w:t>
      </w:r>
      <w:r>
        <w:rPr>
          <w:sz w:val="22"/>
        </w:rPr>
        <w:t>.</w:t>
      </w:r>
    </w:p>
    <w:p w14:paraId="31000000">
      <w:pPr>
        <w:widowControl w:val="1"/>
        <w:ind w:firstLine="360"/>
        <w:jc w:val="both"/>
        <w:rPr>
          <w:color w:val="000000"/>
          <w:sz w:val="22"/>
        </w:rPr>
      </w:pPr>
      <w:r>
        <w:rPr>
          <w:sz w:val="22"/>
        </w:rPr>
        <w:t xml:space="preserve">4.2.10. Вывезти </w:t>
      </w:r>
      <w:r>
        <w:rPr>
          <w:color w:val="000000"/>
          <w:sz w:val="22"/>
        </w:rPr>
        <w:t>строительный мусор до подписания акта о приемке выполненных работ с соблюдением требований действующего законодательства.</w:t>
      </w:r>
    </w:p>
    <w:p w14:paraId="32000000">
      <w:pPr>
        <w:widowControl w:val="1"/>
        <w:ind w:firstLine="360"/>
        <w:jc w:val="both"/>
        <w:rPr>
          <w:sz w:val="22"/>
        </w:rPr>
      </w:pPr>
      <w:r>
        <w:rPr>
          <w:sz w:val="22"/>
        </w:rPr>
        <w:t>4.2.11. Обеспечить соответствие выполненных работ условиям настоящего контракта о качестве в течение всего гарантийного срока на выполненные работы по контракту, который составляет 36</w:t>
      </w:r>
      <w:r>
        <w:rPr>
          <w:color w:val="000000"/>
          <w:sz w:val="22"/>
        </w:rPr>
        <w:t xml:space="preserve"> календарных месяцев</w:t>
      </w:r>
      <w:r>
        <w:rPr>
          <w:sz w:val="22"/>
        </w:rPr>
        <w:t xml:space="preserve"> </w:t>
      </w:r>
      <w:r>
        <w:rPr>
          <w:sz w:val="22"/>
        </w:rPr>
        <w:t>с момента размещения в ЕИС акта выполненных работ (документа о приемке), подписанного Заказчиком. Гарантии к</w:t>
      </w:r>
      <w:r>
        <w:rPr>
          <w:sz w:val="22"/>
        </w:rPr>
        <w:t xml:space="preserve">ачества распространяются на все конструктивные элементы и работы, производимые Подрядчиком на объекте, а также на применяемые материалы и оборудование. </w:t>
      </w:r>
      <w:r>
        <w:rPr>
          <w:sz w:val="22"/>
        </w:rPr>
        <w:t xml:space="preserve">В случае обнаружения недостатков (дефектов) </w:t>
      </w:r>
      <w:r>
        <w:rPr>
          <w:sz w:val="22"/>
        </w:rPr>
        <w:t>в выполненны</w:t>
      </w:r>
      <w:r>
        <w:rPr>
          <w:sz w:val="22"/>
        </w:rPr>
        <w:t>х и принятых Заказчиком работах в течение гарантийного срока устранить недостатки (дефекты) за свой счет и в срок, установленный Заказчиком.</w:t>
      </w:r>
    </w:p>
    <w:p w14:paraId="33000000">
      <w:pPr>
        <w:widowControl w:val="1"/>
        <w:ind w:firstLine="360"/>
        <w:jc w:val="both"/>
        <w:rPr>
          <w:sz w:val="22"/>
        </w:rPr>
      </w:pPr>
      <w:r>
        <w:rPr>
          <w:sz w:val="22"/>
        </w:rPr>
        <w:t xml:space="preserve">4.3. </w:t>
      </w:r>
      <w:r>
        <w:rPr>
          <w:sz w:val="22"/>
        </w:rPr>
        <w:t>Заказчик:</w:t>
      </w:r>
    </w:p>
    <w:p w14:paraId="34000000">
      <w:pPr>
        <w:widowControl w:val="1"/>
        <w:ind w:firstLine="360"/>
        <w:jc w:val="both"/>
        <w:rPr>
          <w:sz w:val="22"/>
        </w:rPr>
      </w:pPr>
      <w:r>
        <w:rPr>
          <w:sz w:val="22"/>
        </w:rPr>
        <w:t xml:space="preserve"> 4.3.1. </w:t>
      </w:r>
      <w:r>
        <w:rPr>
          <w:sz w:val="22"/>
        </w:rPr>
        <w:t>Обеспечивает проведение</w:t>
      </w:r>
      <w:r>
        <w:rPr>
          <w:sz w:val="22"/>
        </w:rPr>
        <w:t xml:space="preserve"> экспертиз</w:t>
      </w:r>
      <w:r>
        <w:rPr>
          <w:sz w:val="22"/>
        </w:rPr>
        <w:t>ы</w:t>
      </w:r>
      <w:r>
        <w:rPr>
          <w:sz w:val="22"/>
        </w:rPr>
        <w:t xml:space="preserve"> выполненных работ</w:t>
      </w:r>
      <w:r>
        <w:rPr>
          <w:sz w:val="22"/>
        </w:rPr>
        <w:t>.</w:t>
      </w:r>
    </w:p>
    <w:p w14:paraId="35000000">
      <w:pPr>
        <w:widowControl w:val="1"/>
        <w:ind w:firstLine="360"/>
        <w:jc w:val="both"/>
        <w:rPr>
          <w:sz w:val="22"/>
        </w:rPr>
      </w:pPr>
      <w:r>
        <w:rPr>
          <w:sz w:val="22"/>
        </w:rPr>
        <w:t xml:space="preserve">4.3.2.  </w:t>
      </w:r>
      <w:r>
        <w:rPr>
          <w:sz w:val="22"/>
        </w:rPr>
        <w:t>Вправе</w:t>
      </w:r>
      <w:r>
        <w:rPr>
          <w:sz w:val="22"/>
        </w:rPr>
        <w:t xml:space="preserve"> </w:t>
      </w:r>
      <w:r>
        <w:rPr>
          <w:sz w:val="22"/>
        </w:rPr>
        <w:t>т</w:t>
      </w:r>
      <w:r>
        <w:rPr>
          <w:sz w:val="22"/>
        </w:rPr>
        <w:t>ре</w:t>
      </w:r>
      <w:r>
        <w:rPr>
          <w:sz w:val="22"/>
        </w:rPr>
        <w:t>бовать надле</w:t>
      </w:r>
      <w:r>
        <w:rPr>
          <w:sz w:val="22"/>
        </w:rPr>
        <w:t>жащего выполнения условий настоящего контра</w:t>
      </w:r>
      <w:r>
        <w:rPr>
          <w:sz w:val="22"/>
        </w:rPr>
        <w:t>к</w:t>
      </w:r>
      <w:r>
        <w:rPr>
          <w:sz w:val="22"/>
        </w:rPr>
        <w:t>та.</w:t>
      </w:r>
    </w:p>
    <w:p w14:paraId="36000000">
      <w:pPr>
        <w:widowControl w:val="1"/>
        <w:ind w:firstLine="360"/>
        <w:jc w:val="both"/>
        <w:rPr>
          <w:sz w:val="22"/>
        </w:rPr>
      </w:pPr>
      <w:r>
        <w:rPr>
          <w:sz w:val="22"/>
        </w:rPr>
        <w:t xml:space="preserve">4.3.3. </w:t>
      </w:r>
      <w:r>
        <w:rPr>
          <w:sz w:val="22"/>
        </w:rPr>
        <w:t>В случае неисполнения Подрядчиком обязательства по контракту выполнить работу, а также при не устранении Подрядчиком дефектов в работах в установленный Заказчиком срок в период действия гарантийного срока на выполненные работы, Заказчик вправе поручить выполнение работ третьим лицам и потребовать от Подрядчика возмещения понесенных необходимых расходов и других убытков.</w:t>
      </w:r>
    </w:p>
    <w:p w14:paraId="37000000">
      <w:pPr>
        <w:widowControl w:val="1"/>
        <w:ind w:firstLine="360"/>
        <w:jc w:val="both"/>
        <w:rPr>
          <w:sz w:val="22"/>
        </w:rPr>
      </w:pPr>
      <w:r>
        <w:rPr>
          <w:sz w:val="22"/>
        </w:rPr>
        <w:t xml:space="preserve">4.4. </w:t>
      </w:r>
      <w:r>
        <w:rPr>
          <w:sz w:val="22"/>
        </w:rPr>
        <w:t xml:space="preserve">Подрядчик вправе: </w:t>
      </w:r>
    </w:p>
    <w:p w14:paraId="38000000">
      <w:pPr>
        <w:widowControl w:val="1"/>
        <w:ind w:firstLine="360"/>
        <w:jc w:val="both"/>
        <w:rPr>
          <w:sz w:val="22"/>
        </w:rPr>
      </w:pPr>
      <w:r>
        <w:rPr>
          <w:sz w:val="22"/>
        </w:rPr>
        <w:t xml:space="preserve">4.4.1. Требовать оплаты по настоящему контракту </w:t>
      </w:r>
      <w:r>
        <w:rPr>
          <w:sz w:val="22"/>
        </w:rPr>
        <w:t>в случае пол</w:t>
      </w:r>
      <w:r>
        <w:rPr>
          <w:sz w:val="22"/>
        </w:rPr>
        <w:t>ного и</w:t>
      </w:r>
      <w:r>
        <w:rPr>
          <w:sz w:val="22"/>
        </w:rPr>
        <w:t>с</w:t>
      </w:r>
      <w:r>
        <w:rPr>
          <w:sz w:val="22"/>
        </w:rPr>
        <w:t>полнения обязательств по настоящему контракту.</w:t>
      </w:r>
    </w:p>
    <w:p w14:paraId="39000000">
      <w:pPr>
        <w:widowControl w:val="1"/>
        <w:ind/>
        <w:jc w:val="center"/>
        <w:rPr>
          <w:sz w:val="22"/>
        </w:rPr>
      </w:pPr>
    </w:p>
    <w:p w14:paraId="3A000000">
      <w:pPr>
        <w:widowControl w:val="1"/>
        <w:ind/>
        <w:jc w:val="center"/>
        <w:rPr>
          <w:sz w:val="22"/>
        </w:rPr>
      </w:pPr>
      <w:r>
        <w:rPr>
          <w:sz w:val="22"/>
        </w:rPr>
        <w:t>5. ТРЕБОВАНИЯ К КАЧЕСТВУ И БЕЗОПАСНОСТИ РАБОТ</w:t>
      </w:r>
    </w:p>
    <w:p w14:paraId="3B000000">
      <w:pPr>
        <w:pStyle w:val="Style_4"/>
        <w:widowControl w:val="1"/>
        <w:ind/>
        <w:jc w:val="both"/>
        <w:rPr>
          <w:sz w:val="22"/>
        </w:rPr>
      </w:pPr>
      <w:r>
        <w:rPr>
          <w:sz w:val="22"/>
        </w:rPr>
        <w:t xml:space="preserve">        5.1. 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w:t>
      </w:r>
      <w:r>
        <w:rPr>
          <w:sz w:val="22"/>
        </w:rPr>
        <w:t>ю</w:t>
      </w:r>
      <w:r>
        <w:rPr>
          <w:sz w:val="22"/>
        </w:rPr>
        <w:t>щих на территории Российской Федерации.</w:t>
      </w:r>
    </w:p>
    <w:p w14:paraId="3C000000">
      <w:pPr>
        <w:pStyle w:val="Style_4"/>
        <w:widowControl w:val="1"/>
        <w:ind/>
        <w:jc w:val="both"/>
        <w:rPr>
          <w:sz w:val="22"/>
        </w:rPr>
      </w:pPr>
      <w:r>
        <w:rPr>
          <w:sz w:val="22"/>
        </w:rPr>
        <w:t xml:space="preserve">        5.2. Качество выполняемых работ, используемых материалов (комплектующих и оборудования) должно соответствовать нормативно-технической и методическо</w:t>
      </w:r>
      <w:r>
        <w:rPr>
          <w:sz w:val="22"/>
        </w:rPr>
        <w:t>й документац</w:t>
      </w:r>
      <w:r>
        <w:rPr>
          <w:sz w:val="22"/>
        </w:rPr>
        <w:t>ии:</w:t>
      </w:r>
    </w:p>
    <w:p w14:paraId="3D000000">
      <w:pPr>
        <w:widowControl w:val="1"/>
        <w:ind/>
        <w:jc w:val="both"/>
        <w:rPr>
          <w:sz w:val="22"/>
        </w:rPr>
      </w:pPr>
      <w:r>
        <w:rPr>
          <w:sz w:val="22"/>
        </w:rPr>
        <w:t>Гражданский кодекс Российской Федерации (часть вторая) статья 721 от 26.01.1996 г. № 14-ФЗ</w:t>
      </w:r>
      <w:r>
        <w:rPr>
          <w:sz w:val="22"/>
        </w:rPr>
        <w:t>,</w:t>
      </w:r>
    </w:p>
    <w:p w14:paraId="3E000000">
      <w:pPr>
        <w:widowControl w:val="1"/>
        <w:tabs>
          <w:tab w:leader="none" w:pos="284" w:val="left"/>
        </w:tabs>
        <w:ind/>
        <w:contextualSpacing w:val="1"/>
        <w:jc w:val="both"/>
        <w:rPr>
          <w:sz w:val="22"/>
        </w:rPr>
      </w:pPr>
      <w:r>
        <w:rPr>
          <w:sz w:val="22"/>
        </w:rPr>
        <w:t>Градостроительный кодекс Российской Федерации от 29.12.2004 № 190-ФЗ</w:t>
      </w:r>
      <w:r>
        <w:rPr>
          <w:sz w:val="22"/>
        </w:rPr>
        <w:t>,</w:t>
      </w:r>
    </w:p>
    <w:p w14:paraId="3F000000">
      <w:pPr>
        <w:widowControl w:val="1"/>
        <w:tabs>
          <w:tab w:leader="none" w:pos="284" w:val="left"/>
        </w:tabs>
        <w:ind/>
        <w:contextualSpacing w:val="1"/>
        <w:jc w:val="both"/>
        <w:rPr>
          <w:color w:val="000000"/>
          <w:sz w:val="22"/>
        </w:rPr>
      </w:pPr>
      <w:r>
        <w:rPr>
          <w:sz w:val="22"/>
        </w:rPr>
        <w:t>Федеральный закон от 27.12.2002 № 184-ФЗ «О технич</w:t>
      </w:r>
      <w:r>
        <w:rPr>
          <w:color w:val="000000"/>
          <w:sz w:val="22"/>
        </w:rPr>
        <w:t>еском регулировании»</w:t>
      </w:r>
      <w:r>
        <w:rPr>
          <w:color w:val="000000"/>
          <w:sz w:val="22"/>
        </w:rPr>
        <w:t>,</w:t>
      </w:r>
    </w:p>
    <w:p w14:paraId="40000000">
      <w:pPr>
        <w:widowControl w:val="1"/>
        <w:tabs>
          <w:tab w:leader="none" w:pos="284" w:val="left"/>
        </w:tabs>
        <w:ind/>
        <w:contextualSpacing w:val="1"/>
        <w:rPr>
          <w:color w:val="000000"/>
          <w:sz w:val="22"/>
        </w:rPr>
      </w:pPr>
      <w:r>
        <w:rPr>
          <w:color w:val="000000"/>
          <w:sz w:val="22"/>
        </w:rPr>
        <w:t>Федеральный закон от 24.</w:t>
      </w:r>
      <w:r>
        <w:rPr>
          <w:color w:val="000000"/>
          <w:sz w:val="22"/>
        </w:rPr>
        <w:t>06.1998 N 89-ФЗ «Об отходах производства и потребления»</w:t>
      </w:r>
      <w:r>
        <w:rPr>
          <w:color w:val="000000"/>
          <w:sz w:val="22"/>
        </w:rPr>
        <w:t>,</w:t>
      </w:r>
    </w:p>
    <w:p w14:paraId="41000000">
      <w:pPr>
        <w:pStyle w:val="Style_4"/>
        <w:rPr>
          <w:rFonts w:ascii="Times New Roman" w:hAnsi="Times New Roman"/>
          <w:color w:val="000000"/>
          <w:sz w:val="22"/>
        </w:rPr>
      </w:pPr>
      <w:r>
        <w:rPr>
          <w:color w:val="000000"/>
          <w:sz w:val="22"/>
        </w:rPr>
        <w:t>СП 118</w:t>
      </w:r>
      <w:r>
        <w:rPr>
          <w:rFonts w:ascii="Times New Roman" w:hAnsi="Times New Roman"/>
          <w:color w:val="000000"/>
          <w:sz w:val="22"/>
        </w:rPr>
        <w:t>.13330.2022 Общественные здания и сооружения</w:t>
      </w:r>
      <w:r>
        <w:rPr>
          <w:rFonts w:ascii="Times New Roman" w:hAnsi="Times New Roman"/>
          <w:color w:val="000000"/>
          <w:sz w:val="22"/>
        </w:rPr>
        <w:t>,</w:t>
      </w:r>
    </w:p>
    <w:p w14:paraId="42000000">
      <w:pPr>
        <w:widowControl w:val="0"/>
        <w:tabs>
          <w:tab w:leader="none" w:pos="284" w:val="left"/>
        </w:tabs>
        <w:ind/>
        <w:contextualSpacing w:val="1"/>
        <w:jc w:val="both"/>
        <w:rPr>
          <w:rFonts w:ascii="Times New Roman" w:hAnsi="Times New Roman"/>
          <w:color w:val="000000"/>
          <w:sz w:val="22"/>
        </w:rPr>
      </w:pPr>
      <w:r>
        <w:rPr>
          <w:rFonts w:ascii="Times New Roman" w:hAnsi="Times New Roman"/>
          <w:color w:val="000000"/>
          <w:sz w:val="22"/>
        </w:rPr>
        <w:t>СП 68.13330.2017 Приемка в эксплуатацию законченных строительством объектов</w:t>
      </w:r>
      <w:r>
        <w:rPr>
          <w:rFonts w:ascii="Times New Roman" w:hAnsi="Times New Roman"/>
          <w:color w:val="000000"/>
          <w:sz w:val="22"/>
        </w:rPr>
        <w:t>,</w:t>
      </w:r>
    </w:p>
    <w:p w14:paraId="43000000">
      <w:pPr>
        <w:widowControl w:val="1"/>
        <w:spacing w:after="232" w:before="0"/>
        <w:ind w:firstLine="0" w:left="0" w:right="0"/>
        <w:jc w:val="left"/>
        <w:rPr>
          <w:rFonts w:ascii="Times New Roman" w:hAnsi="Times New Roman"/>
          <w:b w:val="0"/>
          <w:i w:val="0"/>
          <w:caps w:val="0"/>
          <w:color w:val="000000"/>
          <w:spacing w:val="0"/>
          <w:sz w:val="22"/>
          <w:highlight w:val="white"/>
        </w:rPr>
      </w:pPr>
      <w:r>
        <w:rPr>
          <w:rFonts w:ascii="Times New Roman" w:hAnsi="Times New Roman"/>
          <w:b w:val="0"/>
          <w:i w:val="0"/>
          <w:caps w:val="0"/>
          <w:color w:val="000000"/>
          <w:spacing w:val="0"/>
          <w:sz w:val="22"/>
          <w:highlight w:val="white"/>
        </w:rPr>
        <w:t xml:space="preserve">Свод правил СП 7.13130.2013 </w:t>
      </w:r>
      <w:r>
        <w:rPr>
          <w:rFonts w:ascii="Times New Roman" w:hAnsi="Times New Roman"/>
          <w:b w:val="0"/>
          <w:i w:val="0"/>
          <w:caps w:val="0"/>
          <w:color w:val="000000"/>
          <w:spacing w:val="0"/>
          <w:sz w:val="22"/>
          <w:highlight w:val="white"/>
        </w:rPr>
        <w:t xml:space="preserve">"Отопление, вентиляция и кондиционирование. </w:t>
      </w:r>
      <w:r>
        <w:rPr>
          <w:rFonts w:ascii="Times New Roman" w:hAnsi="Times New Roman"/>
          <w:b w:val="0"/>
          <w:i w:val="0"/>
          <w:caps w:val="0"/>
          <w:color w:val="000000"/>
          <w:spacing w:val="0"/>
          <w:sz w:val="22"/>
          <w:highlight w:val="white"/>
        </w:rPr>
        <w:t>Требования пожарной безопасности".</w:t>
      </w:r>
    </w:p>
    <w:p w14:paraId="44000000">
      <w:pPr>
        <w:widowControl w:val="1"/>
        <w:ind/>
        <w:jc w:val="both"/>
        <w:rPr>
          <w:rFonts w:ascii="Times New Roman" w:hAnsi="Times New Roman"/>
          <w:color w:val="000000"/>
          <w:sz w:val="22"/>
        </w:rPr>
      </w:pPr>
      <w:r>
        <w:rPr>
          <w:rFonts w:ascii="Times New Roman" w:hAnsi="Times New Roman"/>
          <w:color w:val="000000"/>
          <w:sz w:val="22"/>
        </w:rPr>
        <w:t xml:space="preserve">         5</w:t>
      </w:r>
      <w:r>
        <w:rPr>
          <w:rFonts w:ascii="Times New Roman" w:hAnsi="Times New Roman"/>
          <w:color w:val="000000"/>
          <w:sz w:val="22"/>
        </w:rPr>
        <w:t>.3. Во время выполнения работ подрядчик обязан:</w:t>
      </w:r>
    </w:p>
    <w:p w14:paraId="45000000">
      <w:pPr>
        <w:widowControl w:val="1"/>
        <w:ind/>
        <w:jc w:val="both"/>
        <w:rPr>
          <w:color w:val="000000"/>
          <w:sz w:val="22"/>
        </w:rPr>
      </w:pPr>
      <w:r>
        <w:rPr>
          <w:rFonts w:ascii="Times New Roman" w:hAnsi="Times New Roman"/>
          <w:color w:val="000000"/>
          <w:sz w:val="22"/>
        </w:rPr>
        <w:t>-  содержать зону производства работ в соответствии</w:t>
      </w:r>
      <w:r>
        <w:rPr>
          <w:color w:val="000000"/>
          <w:sz w:val="22"/>
        </w:rPr>
        <w:t xml:space="preserve"> с действующим законодательством</w:t>
      </w:r>
      <w:r>
        <w:rPr>
          <w:color w:val="000000"/>
          <w:sz w:val="22"/>
        </w:rPr>
        <w:t>;</w:t>
      </w:r>
    </w:p>
    <w:p w14:paraId="46000000">
      <w:pPr>
        <w:widowControl w:val="1"/>
        <w:ind/>
        <w:jc w:val="both"/>
        <w:rPr>
          <w:color w:val="000000"/>
          <w:sz w:val="22"/>
        </w:rPr>
      </w:pPr>
      <w:r>
        <w:rPr>
          <w:color w:val="000000"/>
          <w:sz w:val="22"/>
        </w:rPr>
        <w:t>- вывезти со строительной площадки строительный мусор до подписания акта о приемке выполненных работ с соблюдением требований действующего законодательства;</w:t>
      </w:r>
    </w:p>
    <w:p w14:paraId="47000000">
      <w:pPr>
        <w:widowControl w:val="1"/>
        <w:ind/>
        <w:jc w:val="both"/>
        <w:rPr>
          <w:color w:val="000000"/>
          <w:sz w:val="22"/>
        </w:rPr>
      </w:pPr>
      <w:r>
        <w:rPr>
          <w:color w:val="000000"/>
          <w:sz w:val="22"/>
        </w:rPr>
        <w:t>- в случаи привлечения иностранной рабочей силы руководствоваться Федеральным законом от 25 июля 200</w:t>
      </w:r>
      <w:r>
        <w:rPr>
          <w:color w:val="000000"/>
          <w:sz w:val="22"/>
        </w:rPr>
        <w:t>2 года № 115-ФЗ «О правовом положении иностранных граждан в Российской Федерации».</w:t>
      </w:r>
    </w:p>
    <w:p w14:paraId="48000000">
      <w:pPr>
        <w:pStyle w:val="Style_6"/>
        <w:widowControl w:val="1"/>
        <w:ind w:firstLine="0" w:right="0"/>
        <w:jc w:val="both"/>
        <w:rPr>
          <w:rFonts w:ascii="Times New Roman" w:hAnsi="Times New Roman"/>
          <w:color w:val="000000"/>
          <w:spacing w:val="-3"/>
          <w:sz w:val="22"/>
        </w:rPr>
      </w:pPr>
      <w:r>
        <w:rPr>
          <w:rFonts w:ascii="Times New Roman" w:hAnsi="Times New Roman"/>
          <w:color w:val="000000"/>
          <w:spacing w:val="-3"/>
          <w:sz w:val="22"/>
        </w:rPr>
        <w:t xml:space="preserve">           5</w:t>
      </w:r>
      <w:r>
        <w:rPr>
          <w:rFonts w:ascii="Times New Roman" w:hAnsi="Times New Roman"/>
          <w:color w:val="000000"/>
          <w:spacing w:val="-3"/>
          <w:sz w:val="22"/>
        </w:rPr>
        <w:t>.4. Используемые при производстве работ материалы, оборудование, конструкции и детали должны соответствов</w:t>
      </w:r>
      <w:r>
        <w:rPr>
          <w:rFonts w:ascii="Times New Roman" w:hAnsi="Times New Roman"/>
          <w:color w:val="000000"/>
          <w:spacing w:val="-3"/>
          <w:sz w:val="22"/>
        </w:rPr>
        <w:t>ать государс</w:t>
      </w:r>
      <w:r>
        <w:rPr>
          <w:rFonts w:ascii="Times New Roman" w:hAnsi="Times New Roman"/>
          <w:color w:val="000000"/>
          <w:spacing w:val="-3"/>
          <w:sz w:val="22"/>
        </w:rPr>
        <w:t>твенным стандартам и технологическим условиям.</w:t>
      </w:r>
    </w:p>
    <w:p w14:paraId="49000000">
      <w:pPr>
        <w:pStyle w:val="Style_4"/>
        <w:widowControl w:val="1"/>
        <w:ind/>
        <w:jc w:val="both"/>
        <w:rPr>
          <w:color w:val="000000"/>
          <w:spacing w:val="-3"/>
          <w:sz w:val="22"/>
        </w:rPr>
      </w:pPr>
      <w:r>
        <w:rPr>
          <w:color w:val="000000"/>
          <w:spacing w:val="-3"/>
          <w:sz w:val="22"/>
        </w:rPr>
        <w:t xml:space="preserve">           5</w:t>
      </w:r>
      <w:r>
        <w:rPr>
          <w:color w:val="000000"/>
          <w:spacing w:val="-3"/>
          <w:sz w:val="22"/>
        </w:rPr>
        <w:t>.5. 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14:paraId="4A000000">
      <w:pPr>
        <w:widowControl w:val="1"/>
        <w:ind/>
        <w:jc w:val="both"/>
        <w:rPr>
          <w:sz w:val="22"/>
        </w:rPr>
      </w:pPr>
      <w:r>
        <w:rPr>
          <w:sz w:val="22"/>
        </w:rPr>
        <w:t xml:space="preserve">          5</w:t>
      </w:r>
      <w:r>
        <w:rPr>
          <w:sz w:val="22"/>
        </w:rPr>
        <w:t>.6. Подрядчик по контракту обязуется обеспечить безопасность выполненных работ для жизни и здоровья потребителей и третьих лиц,</w:t>
      </w:r>
      <w:r>
        <w:rPr>
          <w:sz w:val="22"/>
        </w:rPr>
        <w:t xml:space="preserve"> а также пре</w:t>
      </w:r>
      <w:r>
        <w:rPr>
          <w:sz w:val="22"/>
        </w:rPr>
        <w:t>дотвращение причинения вреда имуществу указанных лиц на протяжении установленного гарантийного срока.</w:t>
      </w:r>
    </w:p>
    <w:p w14:paraId="4B000000">
      <w:pPr>
        <w:pStyle w:val="Style_4"/>
        <w:widowControl w:val="1"/>
        <w:ind/>
        <w:jc w:val="both"/>
        <w:rPr>
          <w:sz w:val="22"/>
        </w:rPr>
      </w:pPr>
      <w:r>
        <w:rPr>
          <w:sz w:val="22"/>
        </w:rPr>
        <w:t xml:space="preserve">          5</w:t>
      </w:r>
      <w:r>
        <w:rPr>
          <w:sz w:val="22"/>
        </w:rPr>
        <w:t>.7.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4C000000">
      <w:pPr>
        <w:widowControl w:val="1"/>
        <w:ind/>
        <w:jc w:val="both"/>
        <w:rPr>
          <w:sz w:val="22"/>
        </w:rPr>
      </w:pPr>
      <w:r>
        <w:rPr>
          <w:sz w:val="22"/>
        </w:rPr>
        <w:t>- СП 49.13330.2010 «Безопасность труда в строительстве»;</w:t>
      </w:r>
    </w:p>
    <w:p w14:paraId="4D000000">
      <w:pPr>
        <w:widowControl w:val="1"/>
        <w:ind/>
        <w:jc w:val="both"/>
        <w:rPr>
          <w:sz w:val="22"/>
        </w:rPr>
      </w:pPr>
      <w:r>
        <w:rPr>
          <w:sz w:val="22"/>
        </w:rPr>
        <w:t>- Федеральный закон от 30.03.1999 № 52-ФЗ «О санитарно-эпидемиологическом благополучии населения»;</w:t>
      </w:r>
    </w:p>
    <w:p w14:paraId="4E000000">
      <w:pPr>
        <w:widowControl w:val="1"/>
        <w:ind/>
        <w:jc w:val="both"/>
        <w:rPr>
          <w:sz w:val="22"/>
        </w:rPr>
      </w:pPr>
      <w:r>
        <w:rPr>
          <w:sz w:val="22"/>
        </w:rPr>
        <w:t>- Федеральный закон от 21.1</w:t>
      </w:r>
      <w:r>
        <w:rPr>
          <w:sz w:val="22"/>
        </w:rPr>
        <w:t>2.1994 № 69-ФЗ «О пожарной безопасности».</w:t>
      </w:r>
    </w:p>
    <w:p w14:paraId="4F000000">
      <w:pPr>
        <w:pStyle w:val="Style_4"/>
        <w:widowControl w:val="1"/>
        <w:ind/>
        <w:jc w:val="both"/>
        <w:rPr>
          <w:sz w:val="22"/>
        </w:rPr>
      </w:pPr>
      <w:r>
        <w:rPr>
          <w:sz w:val="22"/>
        </w:rPr>
        <w:t xml:space="preserve">          5</w:t>
      </w:r>
      <w:r>
        <w:rPr>
          <w:sz w:val="22"/>
        </w:rPr>
        <w:t>.8.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w:t>
      </w:r>
      <w:r>
        <w:rPr>
          <w:sz w:val="22"/>
        </w:rPr>
        <w:t>|</w:t>
      </w:r>
      <w:r>
        <w:rPr>
          <w:sz w:val="22"/>
        </w:rPr>
        <w:t>декларацию о соответствии и разрешены к применению на территории РФ.</w:t>
      </w:r>
    </w:p>
    <w:p w14:paraId="50000000">
      <w:pPr>
        <w:widowControl w:val="1"/>
        <w:ind w:firstLine="360"/>
        <w:jc w:val="both"/>
        <w:rPr>
          <w:color w:val="000000"/>
          <w:sz w:val="22"/>
        </w:rPr>
      </w:pPr>
      <w:r>
        <w:rPr>
          <w:color w:val="000000"/>
          <w:sz w:val="22"/>
        </w:rPr>
        <w:t xml:space="preserve">    5</w:t>
      </w:r>
      <w:r>
        <w:rPr>
          <w:color w:val="000000"/>
          <w:sz w:val="22"/>
        </w:rPr>
        <w:t xml:space="preserve">.9. В соответствии со статьей 7 </w:t>
      </w:r>
      <w:r>
        <w:rPr>
          <w:color w:val="000000"/>
          <w:sz w:val="22"/>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w:t>
      </w:r>
      <w:r>
        <w:rPr>
          <w:color w:val="000000"/>
          <w:sz w:val="22"/>
        </w:rPr>
        <w:t>зни, здоровь</w:t>
      </w:r>
      <w:r>
        <w:rPr>
          <w:color w:val="000000"/>
          <w:sz w:val="22"/>
        </w:rPr>
        <w:t>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51000000">
      <w:pPr>
        <w:pStyle w:val="Style_4"/>
        <w:widowControl w:val="1"/>
        <w:ind w:firstLine="708"/>
        <w:jc w:val="both"/>
        <w:rPr>
          <w:color w:val="000000"/>
          <w:spacing w:val="-3"/>
          <w:sz w:val="22"/>
        </w:rPr>
      </w:pPr>
    </w:p>
    <w:p w14:paraId="52000000">
      <w:pPr>
        <w:widowControl w:val="1"/>
        <w:ind w:firstLine="360"/>
        <w:jc w:val="both"/>
        <w:rPr>
          <w:sz w:val="22"/>
        </w:rPr>
      </w:pPr>
      <w:r>
        <w:rPr>
          <w:sz w:val="22"/>
        </w:rPr>
        <w:t xml:space="preserve">               </w:t>
      </w:r>
      <w:r>
        <w:rPr>
          <w:sz w:val="22"/>
        </w:rPr>
        <w:t xml:space="preserve">      </w:t>
      </w:r>
      <w:r>
        <w:rPr>
          <w:sz w:val="22"/>
        </w:rPr>
        <w:t xml:space="preserve">                    </w:t>
      </w:r>
      <w:r>
        <w:rPr>
          <w:sz w:val="22"/>
        </w:rPr>
        <w:t xml:space="preserve"> 6.</w:t>
      </w:r>
      <w:r>
        <w:rPr>
          <w:sz w:val="22"/>
        </w:rPr>
        <w:t xml:space="preserve"> ПОРЯДОК СДАЧИ И ПРИЕМКИ РАБОТ</w:t>
      </w:r>
    </w:p>
    <w:p w14:paraId="53000000">
      <w:pPr>
        <w:widowControl w:val="1"/>
        <w:ind w:firstLine="567"/>
        <w:jc w:val="both"/>
        <w:rPr>
          <w:sz w:val="22"/>
        </w:rPr>
      </w:pPr>
      <w:r>
        <w:rPr>
          <w:color w:val="000000"/>
          <w:sz w:val="22"/>
        </w:rPr>
        <w:t xml:space="preserve">6.1. </w:t>
      </w:r>
      <w:r>
        <w:rPr>
          <w:color w:val="000000"/>
          <w:sz w:val="22"/>
        </w:rPr>
        <w:t>В течение 3 рабочих дней с даты завершения работ</w:t>
      </w:r>
      <w:r>
        <w:rPr>
          <w:color w:val="000000"/>
          <w:sz w:val="22"/>
        </w:rPr>
        <w:t xml:space="preserve"> Подрядчик </w:t>
      </w:r>
      <w:r>
        <w:rPr>
          <w:color w:val="000000"/>
          <w:sz w:val="22"/>
        </w:rPr>
        <w:t xml:space="preserve">извещает Заказчика о готовности </w:t>
      </w:r>
      <w:r>
        <w:rPr>
          <w:color w:val="000000"/>
          <w:sz w:val="22"/>
        </w:rPr>
        <w:t>сдать выполненные работы (далее</w:t>
      </w:r>
      <w:r>
        <w:rPr>
          <w:color w:val="000000"/>
          <w:sz w:val="22"/>
        </w:rPr>
        <w:t xml:space="preserve"> </w:t>
      </w:r>
      <w:r>
        <w:rPr>
          <w:color w:val="000000"/>
          <w:sz w:val="22"/>
        </w:rPr>
        <w:t xml:space="preserve">- </w:t>
      </w:r>
      <w:r>
        <w:rPr>
          <w:color w:val="000000"/>
          <w:sz w:val="22"/>
        </w:rPr>
        <w:t>извещение Подрядчика).</w:t>
      </w:r>
    </w:p>
    <w:p w14:paraId="54000000">
      <w:pPr>
        <w:widowControl w:val="1"/>
        <w:ind w:firstLine="567"/>
        <w:jc w:val="both"/>
        <w:rPr>
          <w:color w:val="000000"/>
          <w:sz w:val="22"/>
        </w:rPr>
      </w:pPr>
      <w:r>
        <w:rPr>
          <w:color w:val="000000"/>
          <w:sz w:val="22"/>
        </w:rPr>
        <w:t>6.2. Заказчик</w:t>
      </w:r>
      <w:r>
        <w:rPr>
          <w:color w:val="000000"/>
          <w:sz w:val="22"/>
        </w:rPr>
        <w:t xml:space="preserve"> в срок </w:t>
      </w:r>
      <w:r>
        <w:rPr>
          <w:color w:val="000000"/>
          <w:sz w:val="22"/>
        </w:rPr>
        <w:t xml:space="preserve">до </w:t>
      </w:r>
      <w:r>
        <w:rPr>
          <w:color w:val="000000"/>
          <w:sz w:val="22"/>
        </w:rPr>
        <w:t>2</w:t>
      </w:r>
      <w:r>
        <w:rPr>
          <w:color w:val="000000"/>
          <w:sz w:val="22"/>
        </w:rPr>
        <w:t>0</w:t>
      </w:r>
      <w:r>
        <w:rPr>
          <w:color w:val="000000"/>
          <w:sz w:val="22"/>
        </w:rPr>
        <w:t xml:space="preserve"> рабочих дней</w:t>
      </w:r>
      <w:r>
        <w:rPr>
          <w:color w:val="000000"/>
          <w:sz w:val="22"/>
        </w:rPr>
        <w:t xml:space="preserve"> </w:t>
      </w:r>
      <w:r>
        <w:rPr>
          <w:color w:val="000000"/>
          <w:sz w:val="22"/>
        </w:rPr>
        <w:t>с момента получения извещения Подрядчика</w:t>
      </w:r>
      <w:r>
        <w:rPr>
          <w:color w:val="000000"/>
          <w:sz w:val="22"/>
        </w:rPr>
        <w:t xml:space="preserve"> осуществляет приемку выполненных работ,</w:t>
      </w:r>
      <w:r>
        <w:rPr>
          <w:color w:val="000000"/>
          <w:sz w:val="22"/>
        </w:rPr>
        <w:t xml:space="preserve"> в том числе в части соответствия их количества, комплектности, объема требованиям, установле</w:t>
      </w:r>
      <w:r>
        <w:rPr>
          <w:color w:val="000000"/>
          <w:sz w:val="22"/>
        </w:rPr>
        <w:t xml:space="preserve">нным Контрактом, с оформлением </w:t>
      </w:r>
      <w:r>
        <w:rPr>
          <w:color w:val="000000"/>
          <w:sz w:val="22"/>
        </w:rPr>
        <w:t>результатов такой приемки.</w:t>
      </w:r>
    </w:p>
    <w:p w14:paraId="55000000">
      <w:pPr>
        <w:widowControl w:val="1"/>
        <w:ind w:firstLine="567"/>
        <w:jc w:val="both"/>
        <w:rPr>
          <w:color w:val="000000"/>
          <w:sz w:val="22"/>
        </w:rPr>
      </w:pPr>
      <w:r>
        <w:rPr>
          <w:color w:val="000000"/>
          <w:sz w:val="22"/>
        </w:rPr>
        <w:t>6.3.</w:t>
      </w:r>
      <w:r>
        <w:rPr>
          <w:color w:val="000000"/>
          <w:sz w:val="22"/>
        </w:rPr>
        <w:t xml:space="preserve"> </w:t>
      </w:r>
      <w:r>
        <w:rPr>
          <w:color w:val="000000"/>
          <w:sz w:val="22"/>
        </w:rPr>
        <w:t>Сдача выполненных работ Подрядчиком</w:t>
      </w:r>
      <w:r>
        <w:rPr>
          <w:color w:val="000000"/>
          <w:sz w:val="22"/>
        </w:rPr>
        <w:t xml:space="preserve"> и их приемка Заказчиком оформляется </w:t>
      </w:r>
      <w:r>
        <w:rPr>
          <w:sz w:val="22"/>
        </w:rPr>
        <w:t>актом о приемке выполненных работ</w:t>
      </w:r>
      <w:r>
        <w:rPr>
          <w:color w:val="000000"/>
          <w:sz w:val="22"/>
        </w:rPr>
        <w:t xml:space="preserve">. </w:t>
      </w:r>
    </w:p>
    <w:p w14:paraId="56000000">
      <w:pPr>
        <w:widowControl w:val="1"/>
        <w:ind w:firstLine="567"/>
        <w:jc w:val="both"/>
        <w:rPr>
          <w:color w:val="000000"/>
          <w:sz w:val="22"/>
        </w:rPr>
      </w:pPr>
      <w:r>
        <w:rPr>
          <w:color w:val="000000"/>
          <w:sz w:val="22"/>
        </w:rPr>
        <w:t>6.4.</w:t>
      </w:r>
      <w:r>
        <w:rPr>
          <w:color w:val="000000"/>
          <w:sz w:val="22"/>
        </w:rPr>
        <w:t xml:space="preserve"> </w:t>
      </w:r>
      <w:r>
        <w:rPr>
          <w:color w:val="000000"/>
          <w:sz w:val="22"/>
        </w:rPr>
        <w:t>При обнаружении Заказчиком недостатков в выполненных работах Подрядчик обязан устранить все обнаруженные недостатки в указанны</w:t>
      </w:r>
      <w:r>
        <w:rPr>
          <w:color w:val="000000"/>
          <w:sz w:val="22"/>
        </w:rPr>
        <w:t>й Заказчиком срок, своими силами и за свой счет.</w:t>
      </w:r>
    </w:p>
    <w:p w14:paraId="57000000">
      <w:pPr>
        <w:widowControl w:val="1"/>
        <w:ind w:firstLine="567"/>
        <w:jc w:val="both"/>
        <w:rPr>
          <w:color w:val="000000"/>
          <w:sz w:val="22"/>
        </w:rPr>
      </w:pPr>
      <w:r>
        <w:rPr>
          <w:color w:val="000000"/>
          <w:sz w:val="22"/>
        </w:rPr>
        <w:t>6.5.</w:t>
      </w:r>
      <w:r>
        <w:rPr>
          <w:color w:val="000000"/>
          <w:sz w:val="22"/>
        </w:rPr>
        <w:t xml:space="preserve"> </w:t>
      </w:r>
      <w:r>
        <w:rPr>
          <w:color w:val="000000"/>
          <w:sz w:val="22"/>
        </w:rPr>
        <w:t>В случае отказа Заказчика от приемки выполненных работ, Заказчик направляет Подрядчику в срок, установленный п. 6.2 Контракта, письменный мотивированный отказ.</w:t>
      </w:r>
    </w:p>
    <w:p w14:paraId="58000000">
      <w:pPr>
        <w:widowControl w:val="1"/>
        <w:ind w:firstLine="360"/>
        <w:jc w:val="both"/>
        <w:rPr>
          <w:sz w:val="22"/>
        </w:rPr>
      </w:pPr>
      <w:r>
        <w:rPr>
          <w:color w:val="000000"/>
          <w:sz w:val="22"/>
        </w:rPr>
        <w:t>6.6.</w:t>
      </w:r>
      <w:r>
        <w:rPr>
          <w:color w:val="000000"/>
          <w:sz w:val="22"/>
        </w:rPr>
        <w:t xml:space="preserve"> </w:t>
      </w:r>
      <w:r>
        <w:rPr>
          <w:color w:val="000000"/>
          <w:sz w:val="22"/>
        </w:rPr>
        <w:t xml:space="preserve">Датой приемки выполненных работ является дата подписания Заказчиком </w:t>
      </w:r>
      <w:r>
        <w:rPr>
          <w:sz w:val="22"/>
        </w:rPr>
        <w:t>акта о приемке выполненных работ.</w:t>
      </w:r>
    </w:p>
    <w:p w14:paraId="59000000">
      <w:pPr>
        <w:widowControl w:val="1"/>
        <w:ind w:firstLine="360"/>
        <w:jc w:val="both"/>
        <w:rPr>
          <w:sz w:val="22"/>
        </w:rPr>
      </w:pPr>
      <w:r>
        <w:rPr>
          <w:sz w:val="22"/>
        </w:rPr>
        <w:t>6.7. Подрядчик выполняет работы с учетом того, что здание эксплуатируется.</w:t>
      </w:r>
      <w:r>
        <w:rPr>
          <w:sz w:val="22"/>
        </w:rPr>
        <w:tab/>
      </w:r>
    </w:p>
    <w:p w14:paraId="5A000000">
      <w:pPr>
        <w:widowControl w:val="1"/>
        <w:ind w:firstLine="360"/>
        <w:jc w:val="both"/>
        <w:rPr>
          <w:sz w:val="22"/>
        </w:rPr>
      </w:pPr>
      <w:r>
        <w:rPr>
          <w:sz w:val="22"/>
        </w:rPr>
        <w:t>6.8</w:t>
      </w:r>
      <w:r>
        <w:rPr>
          <w:sz w:val="22"/>
        </w:rPr>
        <w:t xml:space="preserve">. </w:t>
      </w:r>
      <w:r>
        <w:rPr>
          <w:sz w:val="22"/>
        </w:rPr>
        <w:t>Риски случайной гибели или случайного повреждения результата работ переходят от Подрядчика к Заказчику с момента подписания Заказчиком</w:t>
      </w:r>
      <w:r>
        <w:rPr>
          <w:sz w:val="22"/>
        </w:rPr>
        <w:t xml:space="preserve"> а</w:t>
      </w:r>
      <w:r>
        <w:rPr>
          <w:sz w:val="22"/>
        </w:rPr>
        <w:t>кта о приемке выполненных работ</w:t>
      </w:r>
      <w:r>
        <w:rPr>
          <w:sz w:val="22"/>
        </w:rPr>
        <w:t>.</w:t>
      </w:r>
      <w:r>
        <w:rPr>
          <w:sz w:val="22"/>
        </w:rPr>
        <w:t xml:space="preserve"> </w:t>
      </w:r>
    </w:p>
    <w:p w14:paraId="5B000000">
      <w:pPr>
        <w:widowControl w:val="1"/>
        <w:ind w:firstLine="360"/>
        <w:jc w:val="both"/>
        <w:rPr>
          <w:sz w:val="22"/>
        </w:rPr>
      </w:pPr>
    </w:p>
    <w:p w14:paraId="5C000000">
      <w:pPr>
        <w:widowControl w:val="1"/>
        <w:ind w:firstLine="360"/>
        <w:jc w:val="center"/>
        <w:rPr>
          <w:caps w:val="1"/>
          <w:sz w:val="22"/>
        </w:rPr>
      </w:pPr>
      <w:r>
        <w:rPr>
          <w:caps w:val="1"/>
          <w:sz w:val="22"/>
        </w:rPr>
        <w:t>7. Ответственность сторон и иные последствия</w:t>
      </w:r>
    </w:p>
    <w:p w14:paraId="5D000000">
      <w:pPr>
        <w:widowControl w:val="1"/>
        <w:ind w:firstLine="360"/>
        <w:jc w:val="center"/>
        <w:rPr>
          <w:caps w:val="1"/>
          <w:sz w:val="22"/>
        </w:rPr>
      </w:pPr>
      <w:r>
        <w:rPr>
          <w:caps w:val="1"/>
          <w:sz w:val="22"/>
        </w:rPr>
        <w:t>нарушения об</w:t>
      </w:r>
      <w:r>
        <w:rPr>
          <w:caps w:val="1"/>
          <w:sz w:val="22"/>
        </w:rPr>
        <w:t>я</w:t>
      </w:r>
      <w:r>
        <w:rPr>
          <w:caps w:val="1"/>
          <w:sz w:val="22"/>
        </w:rPr>
        <w:t>зательств</w:t>
      </w:r>
    </w:p>
    <w:p w14:paraId="5E000000">
      <w:pPr>
        <w:widowControl w:val="1"/>
        <w:ind w:firstLine="567"/>
        <w:jc w:val="both"/>
        <w:rPr>
          <w:color w:val="000000"/>
          <w:sz w:val="22"/>
        </w:rPr>
      </w:pPr>
      <w:r>
        <w:rPr>
          <w:color w:val="000000"/>
          <w:sz w:val="22"/>
        </w:rPr>
        <w:tab/>
      </w:r>
      <w:r>
        <w:rPr>
          <w:color w:val="000000"/>
          <w:sz w:val="22"/>
        </w:rPr>
        <w:t>7.1. В случае просрочки исполнения Подрядчиком обязательств (в том числе гарантийного обязательства), предусмотренных Контрактом, Подрядчик выплачивает Заказчику пени.</w:t>
      </w:r>
    </w:p>
    <w:p w14:paraId="5F000000">
      <w:pPr>
        <w:widowControl w:val="1"/>
        <w:ind w:firstLine="567"/>
        <w:jc w:val="both"/>
        <w:rPr>
          <w:color w:val="000000"/>
          <w:sz w:val="22"/>
        </w:rPr>
      </w:pPr>
      <w:r>
        <w:rPr>
          <w:color w:val="000000"/>
          <w:sz w:val="22"/>
        </w:rPr>
        <w:tab/>
      </w:r>
      <w:r>
        <w:rPr>
          <w:color w:val="000000"/>
          <w:sz w:val="22"/>
        </w:rPr>
        <w:t>7.2.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0000000">
      <w:pPr>
        <w:widowControl w:val="1"/>
        <w:ind w:firstLine="567"/>
        <w:jc w:val="both"/>
        <w:rPr>
          <w:color w:val="000000"/>
          <w:sz w:val="22"/>
        </w:rPr>
      </w:pPr>
      <w:r>
        <w:rPr>
          <w:color w:val="000000"/>
          <w:sz w:val="22"/>
        </w:rPr>
        <w:tab/>
      </w:r>
      <w:r>
        <w:rPr>
          <w:color w:val="000000"/>
          <w:sz w:val="22"/>
        </w:rPr>
        <w:t xml:space="preserve">7.3.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61000000">
      <w:pPr>
        <w:widowControl w:val="1"/>
        <w:ind w:firstLine="567"/>
        <w:jc w:val="both"/>
        <w:rPr>
          <w:color w:val="000000"/>
          <w:sz w:val="22"/>
        </w:rPr>
      </w:pPr>
      <w:r>
        <w:rPr>
          <w:color w:val="000000"/>
          <w:sz w:val="22"/>
        </w:rPr>
        <w:tab/>
      </w:r>
      <w:r>
        <w:rPr>
          <w:color w:val="000000"/>
          <w:sz w:val="22"/>
        </w:rPr>
        <w:t>7.3.1.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color w:val="000000"/>
          <w:sz w:val="22"/>
        </w:rPr>
        <w:t>.</w:t>
      </w:r>
    </w:p>
    <w:p w14:paraId="62000000">
      <w:pPr>
        <w:widowControl w:val="1"/>
        <w:ind w:firstLine="567"/>
        <w:jc w:val="both"/>
        <w:rPr>
          <w:color w:val="000000"/>
          <w:sz w:val="22"/>
        </w:rPr>
      </w:pPr>
      <w:r>
        <w:rPr>
          <w:color w:val="000000"/>
          <w:sz w:val="22"/>
        </w:rPr>
        <w:tab/>
      </w:r>
      <w:r>
        <w:rPr>
          <w:color w:val="000000"/>
          <w:sz w:val="22"/>
        </w:rPr>
        <w:t>7.3.2.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составляет 1 000 рублей 00 коп.</w:t>
      </w:r>
    </w:p>
    <w:p w14:paraId="63000000">
      <w:pPr>
        <w:widowControl w:val="1"/>
        <w:ind w:firstLine="567"/>
        <w:jc w:val="both"/>
        <w:rPr>
          <w:rFonts w:ascii="Times New Roman" w:hAnsi="Times New Roman"/>
          <w:sz w:val="22"/>
        </w:rPr>
      </w:pPr>
      <w:r>
        <w:rPr>
          <w:rFonts w:ascii="Times New Roman" w:hAnsi="Times New Roman"/>
          <w:sz w:val="22"/>
        </w:rPr>
        <w:tab/>
      </w:r>
      <w:r>
        <w:rPr>
          <w:rFonts w:ascii="Times New Roman" w:hAnsi="Times New Roman"/>
          <w:sz w:val="22"/>
        </w:rPr>
        <w:t>7.</w:t>
      </w:r>
      <w:r>
        <w:rPr>
          <w:rFonts w:ascii="Times New Roman" w:hAnsi="Times New Roman"/>
          <w:sz w:val="22"/>
        </w:rPr>
        <w:t>4</w:t>
      </w:r>
      <w:r>
        <w:rPr>
          <w:rFonts w:ascii="Times New Roman" w:hAnsi="Times New Roman"/>
          <w:sz w:val="22"/>
        </w:rPr>
        <w:t>. Общая сумма начисленн</w:t>
      </w:r>
      <w:r>
        <w:rPr>
          <w:rFonts w:ascii="Times New Roman" w:hAnsi="Times New Roman"/>
          <w:sz w:val="22"/>
        </w:rPr>
        <w:t xml:space="preserve">ых </w:t>
      </w:r>
      <w:r>
        <w:rPr>
          <w:rFonts w:ascii="Times New Roman" w:hAnsi="Times New Roman"/>
          <w:sz w:val="22"/>
        </w:rPr>
        <w:t>штрафов за неисполнение или ненадлежащее исполнение Подрядчиком</w:t>
      </w:r>
      <w:r>
        <w:rPr>
          <w:rFonts w:ascii="Times New Roman" w:hAnsi="Times New Roman"/>
          <w:sz w:val="22"/>
        </w:rPr>
        <w:t xml:space="preserve"> обязательств, предусмотренных контрактом, не может превышать цену контракта.</w:t>
      </w:r>
    </w:p>
    <w:p w14:paraId="64000000">
      <w:pPr>
        <w:widowControl w:val="1"/>
        <w:ind w:firstLine="709"/>
        <w:jc w:val="both"/>
        <w:rPr>
          <w:sz w:val="22"/>
        </w:rPr>
      </w:pPr>
      <w:r>
        <w:rPr>
          <w:sz w:val="22"/>
        </w:rPr>
        <w:t>7.</w:t>
      </w:r>
      <w:r>
        <w:rPr>
          <w:sz w:val="22"/>
        </w:rPr>
        <w:t>5</w:t>
      </w:r>
      <w:r>
        <w:rPr>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000000">
      <w:pPr>
        <w:widowControl w:val="1"/>
        <w:ind w:firstLine="709"/>
        <w:jc w:val="both"/>
        <w:rPr>
          <w:sz w:val="22"/>
        </w:rPr>
      </w:pPr>
      <w:r>
        <w:rPr>
          <w:sz w:val="22"/>
        </w:rPr>
        <w:t>7.</w:t>
      </w:r>
      <w:r>
        <w:rPr>
          <w:sz w:val="22"/>
        </w:rPr>
        <w:t>6</w:t>
      </w:r>
      <w:r>
        <w:rPr>
          <w:sz w:val="22"/>
        </w:rPr>
        <w:t>. Факт неисполнения или ненадлежащего исполнения Подрядчиком обязательств по Контракту, а также расчет пени, штрафа определяется актом и требованием Заказчика об уплате неустоек (штрафов, пеней).</w:t>
      </w:r>
    </w:p>
    <w:p w14:paraId="66000000">
      <w:pPr>
        <w:widowControl w:val="1"/>
        <w:ind w:firstLine="709"/>
        <w:jc w:val="both"/>
        <w:rPr>
          <w:sz w:val="22"/>
        </w:rPr>
      </w:pPr>
      <w:r>
        <w:rPr>
          <w:sz w:val="22"/>
        </w:rPr>
        <w:t>Заказчик направляет Подрядчику требование об уплате неустоек (штрафов, пеней), содержащее расчет примененных мер ответственности.</w:t>
      </w:r>
    </w:p>
    <w:p w14:paraId="67000000">
      <w:pPr>
        <w:widowControl w:val="1"/>
        <w:ind w:firstLine="709"/>
        <w:jc w:val="both"/>
        <w:rPr>
          <w:sz w:val="22"/>
        </w:rPr>
      </w:pPr>
      <w:r>
        <w:rPr>
          <w:sz w:val="22"/>
        </w:rPr>
        <w:t>7.</w:t>
      </w:r>
      <w:r>
        <w:rPr>
          <w:sz w:val="22"/>
        </w:rPr>
        <w:t>7</w:t>
      </w:r>
      <w:r>
        <w:rPr>
          <w:sz w:val="22"/>
        </w:rPr>
        <w:t>.</w:t>
      </w:r>
      <w:r>
        <w:rPr>
          <w:sz w:val="22"/>
        </w:rPr>
        <w:tab/>
      </w:r>
      <w:r>
        <w:rPr>
          <w:sz w:val="22"/>
        </w:rPr>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 Пени, штраф взимается за каждое нарушение в отдельности. </w:t>
      </w:r>
    </w:p>
    <w:p w14:paraId="68000000">
      <w:pPr>
        <w:widowControl w:val="1"/>
        <w:ind w:firstLine="709"/>
        <w:jc w:val="both"/>
        <w:rPr>
          <w:sz w:val="22"/>
        </w:rPr>
      </w:pPr>
      <w:r>
        <w:rPr>
          <w:sz w:val="22"/>
        </w:rPr>
        <w:t>7.</w:t>
      </w:r>
      <w:r>
        <w:rPr>
          <w:sz w:val="22"/>
        </w:rPr>
        <w:t>8</w:t>
      </w:r>
      <w:r>
        <w:rPr>
          <w:sz w:val="22"/>
        </w:rPr>
        <w:t>.</w:t>
      </w:r>
      <w:r>
        <w:rPr>
          <w:sz w:val="22"/>
        </w:rPr>
        <w:tab/>
      </w:r>
      <w:r>
        <w:rPr>
          <w:sz w:val="22"/>
        </w:rPr>
        <w:t>Заказчик вправе в одностороннем порядке отказаться от исполнения контракта в случае нарушения Подрядчиком условий Контракта, в том числе:</w:t>
      </w:r>
    </w:p>
    <w:p w14:paraId="69000000">
      <w:pPr>
        <w:widowControl w:val="1"/>
        <w:ind w:firstLine="709"/>
        <w:jc w:val="both"/>
        <w:rPr>
          <w:sz w:val="22"/>
        </w:rPr>
      </w:pPr>
      <w:r>
        <w:rPr>
          <w:sz w:val="22"/>
        </w:rPr>
        <w:t>7.</w:t>
      </w:r>
      <w:r>
        <w:rPr>
          <w:sz w:val="22"/>
        </w:rPr>
        <w:t>8</w:t>
      </w:r>
      <w:r>
        <w:rPr>
          <w:sz w:val="22"/>
        </w:rPr>
        <w:t>.1.</w:t>
      </w:r>
      <w:r>
        <w:rPr>
          <w:sz w:val="22"/>
        </w:rPr>
        <w:tab/>
      </w:r>
      <w:r>
        <w:rPr>
          <w:sz w:val="22"/>
        </w:rPr>
        <w:t>В случае нарушения Подрядчиком сроков оказания услуг более чем на 3 календарных дня;</w:t>
      </w:r>
    </w:p>
    <w:p w14:paraId="6A000000">
      <w:pPr>
        <w:widowControl w:val="1"/>
        <w:ind w:firstLine="709"/>
        <w:jc w:val="both"/>
        <w:rPr>
          <w:sz w:val="22"/>
        </w:rPr>
      </w:pPr>
      <w:r>
        <w:rPr>
          <w:sz w:val="22"/>
        </w:rPr>
        <w:t>7.</w:t>
      </w:r>
      <w:r>
        <w:rPr>
          <w:sz w:val="22"/>
        </w:rPr>
        <w:t>8</w:t>
      </w:r>
      <w:r>
        <w:rPr>
          <w:sz w:val="22"/>
        </w:rPr>
        <w:t>.2.</w:t>
      </w:r>
      <w:r>
        <w:rPr>
          <w:sz w:val="22"/>
        </w:rPr>
        <w:tab/>
      </w:r>
      <w:r>
        <w:rPr>
          <w:sz w:val="22"/>
        </w:rPr>
        <w:t>В случае систематического (2-х и более раз) невыполнения или ненадлежащего выполнения Подрядчиком обязательств по контракту;</w:t>
      </w:r>
    </w:p>
    <w:p w14:paraId="6B000000">
      <w:pPr>
        <w:widowControl w:val="1"/>
        <w:ind w:firstLine="709"/>
        <w:jc w:val="both"/>
        <w:rPr>
          <w:sz w:val="22"/>
        </w:rPr>
      </w:pPr>
      <w:r>
        <w:rPr>
          <w:sz w:val="22"/>
        </w:rPr>
        <w:t>7.</w:t>
      </w:r>
      <w:r>
        <w:rPr>
          <w:sz w:val="22"/>
        </w:rPr>
        <w:t>8</w:t>
      </w:r>
      <w:r>
        <w:rPr>
          <w:sz w:val="22"/>
        </w:rPr>
        <w:t>.3.</w:t>
      </w:r>
      <w:r>
        <w:rPr>
          <w:sz w:val="22"/>
        </w:rPr>
        <w:tab/>
      </w:r>
      <w:r>
        <w:rPr>
          <w:sz w:val="22"/>
        </w:rPr>
        <w:t>Если отступления в выполненных работах от условий Контракта или иные недостатки в их результате в установленные Заказчиком сроки не были устранены Подрядчиком, либо являются неустранимыми.</w:t>
      </w:r>
    </w:p>
    <w:p w14:paraId="6C000000">
      <w:pPr>
        <w:widowControl w:val="1"/>
        <w:ind w:firstLine="709"/>
        <w:jc w:val="both"/>
        <w:rPr>
          <w:sz w:val="22"/>
        </w:rPr>
      </w:pPr>
      <w:r>
        <w:rPr>
          <w:sz w:val="22"/>
        </w:rPr>
        <w:t>7.</w:t>
      </w:r>
      <w:r>
        <w:rPr>
          <w:sz w:val="22"/>
        </w:rPr>
        <w:t>8</w:t>
      </w:r>
      <w:r>
        <w:rPr>
          <w:sz w:val="22"/>
        </w:rPr>
        <w:t>.4.</w:t>
      </w:r>
      <w:r>
        <w:rPr>
          <w:sz w:val="22"/>
        </w:rPr>
        <w:tab/>
      </w:r>
      <w:r>
        <w:rPr>
          <w:sz w:val="22"/>
        </w:rPr>
        <w:t xml:space="preserve">В случае привлечения Подрядчиком иностранных работников </w:t>
      </w:r>
      <w:r>
        <w:rPr>
          <w:sz w:val="22"/>
        </w:rPr>
        <w:t>с нарушением миграционного законодательства РФ.</w:t>
      </w:r>
    </w:p>
    <w:p w14:paraId="6D000000">
      <w:pPr>
        <w:widowControl w:val="1"/>
        <w:ind w:firstLine="709"/>
        <w:jc w:val="both"/>
        <w:rPr>
          <w:sz w:val="22"/>
        </w:rPr>
      </w:pPr>
      <w:r>
        <w:rPr>
          <w:sz w:val="22"/>
        </w:rPr>
        <w:t>7.</w:t>
      </w:r>
      <w:r>
        <w:rPr>
          <w:sz w:val="22"/>
        </w:rPr>
        <w:t>8</w:t>
      </w:r>
      <w:r>
        <w:rPr>
          <w:sz w:val="22"/>
        </w:rPr>
        <w:t>.5.</w:t>
      </w:r>
      <w:r>
        <w:rPr>
          <w:sz w:val="22"/>
        </w:rPr>
        <w:tab/>
      </w:r>
      <w:r>
        <w:rPr>
          <w:sz w:val="22"/>
        </w:rPr>
        <w:t xml:space="preserve">По другим основаниям, предусмотренным гражданским законодательством </w:t>
      </w:r>
      <w:r>
        <w:rPr>
          <w:sz w:val="22"/>
        </w:rPr>
        <w:t>Российской Федерации</w:t>
      </w:r>
      <w:r>
        <w:rPr>
          <w:sz w:val="22"/>
        </w:rPr>
        <w:t>.</w:t>
      </w:r>
    </w:p>
    <w:p w14:paraId="6E000000">
      <w:pPr>
        <w:widowControl w:val="1"/>
        <w:ind/>
        <w:jc w:val="both"/>
        <w:rPr>
          <w:sz w:val="22"/>
        </w:rPr>
      </w:pPr>
    </w:p>
    <w:p w14:paraId="6F000000">
      <w:pPr>
        <w:pStyle w:val="Style_7"/>
        <w:widowControl w:val="1"/>
        <w:spacing w:after="0"/>
        <w:ind w:left="0"/>
        <w:jc w:val="center"/>
        <w:rPr>
          <w:caps w:val="1"/>
          <w:sz w:val="22"/>
        </w:rPr>
      </w:pPr>
      <w:r>
        <w:rPr>
          <w:caps w:val="1"/>
          <w:sz w:val="22"/>
        </w:rPr>
        <w:t>8. Срок действия КОНТРАКТА и</w:t>
      </w:r>
      <w:r>
        <w:rPr>
          <w:caps w:val="1"/>
          <w:sz w:val="22"/>
        </w:rPr>
        <w:t xml:space="preserve"> ПОРЯДОК </w:t>
      </w:r>
      <w:r>
        <w:rPr>
          <w:caps w:val="1"/>
          <w:sz w:val="22"/>
        </w:rPr>
        <w:t>его прекращени</w:t>
      </w:r>
      <w:r>
        <w:rPr>
          <w:caps w:val="1"/>
          <w:sz w:val="22"/>
        </w:rPr>
        <w:t>Я</w:t>
      </w:r>
    </w:p>
    <w:p w14:paraId="70000000">
      <w:pPr>
        <w:widowControl w:val="1"/>
        <w:ind w:firstLine="360"/>
        <w:jc w:val="both"/>
        <w:rPr>
          <w:sz w:val="22"/>
        </w:rPr>
      </w:pPr>
      <w:r>
        <w:rPr>
          <w:sz w:val="22"/>
        </w:rPr>
        <w:t xml:space="preserve">8.1. </w:t>
      </w:r>
      <w:r>
        <w:rPr>
          <w:sz w:val="22"/>
        </w:rPr>
        <w:t>Настоящий Контракт вступает в силу со дня заключения и действует по 31.12.2026</w:t>
      </w:r>
      <w:r>
        <w:rPr>
          <w:sz w:val="22"/>
        </w:rPr>
        <w:t xml:space="preserve"> г.</w:t>
      </w:r>
      <w:r>
        <w:rPr>
          <w:sz w:val="22"/>
        </w:rPr>
        <w:t xml:space="preserve"> </w:t>
      </w:r>
      <w:r>
        <w:rPr>
          <w:sz w:val="22"/>
        </w:rPr>
        <w:t>Окончание срока действия настоящего Контракта не освобождает стороны от исполнения принятых на себя обязательств в полном объеме.</w:t>
      </w:r>
      <w:r>
        <w:rPr>
          <w:sz w:val="22"/>
        </w:rPr>
        <w:t xml:space="preserve"> </w:t>
      </w:r>
    </w:p>
    <w:p w14:paraId="71000000">
      <w:pPr>
        <w:widowControl w:val="1"/>
        <w:ind w:firstLine="360"/>
        <w:jc w:val="both"/>
        <w:rPr>
          <w:sz w:val="22"/>
        </w:rPr>
      </w:pPr>
      <w:r>
        <w:rPr>
          <w:sz w:val="22"/>
        </w:rPr>
        <w:t>8.2.</w:t>
      </w:r>
      <w:r>
        <w:rPr>
          <w:sz w:val="22"/>
        </w:rPr>
        <w:t xml:space="preserve"> К</w:t>
      </w:r>
      <w:r>
        <w:rPr>
          <w:sz w:val="22"/>
        </w:rPr>
        <w:t>онтракт</w:t>
      </w:r>
      <w:r>
        <w:rPr>
          <w:sz w:val="22"/>
        </w:rPr>
        <w:t xml:space="preserve"> подлежит </w:t>
      </w:r>
      <w:r>
        <w:rPr>
          <w:sz w:val="22"/>
        </w:rPr>
        <w:t>регистрации</w:t>
      </w:r>
      <w:r>
        <w:rPr>
          <w:sz w:val="22"/>
        </w:rPr>
        <w:t xml:space="preserve"> в Реестр</w:t>
      </w:r>
      <w:r>
        <w:rPr>
          <w:sz w:val="22"/>
        </w:rPr>
        <w:t>е</w:t>
      </w:r>
      <w:r>
        <w:rPr>
          <w:sz w:val="22"/>
        </w:rPr>
        <w:t xml:space="preserve"> </w:t>
      </w:r>
      <w:r>
        <w:rPr>
          <w:sz w:val="22"/>
        </w:rPr>
        <w:t>к</w:t>
      </w:r>
      <w:r>
        <w:rPr>
          <w:sz w:val="22"/>
        </w:rPr>
        <w:t>онтрактов малого объема</w:t>
      </w:r>
      <w:r>
        <w:rPr>
          <w:sz w:val="22"/>
        </w:rPr>
        <w:t xml:space="preserve"> АИС ГЗ Санкт-Петербурга.</w:t>
      </w:r>
    </w:p>
    <w:p w14:paraId="72000000">
      <w:pPr>
        <w:widowControl w:val="1"/>
        <w:ind/>
        <w:jc w:val="both"/>
        <w:rPr>
          <w:sz w:val="22"/>
        </w:rPr>
      </w:pPr>
      <w:r>
        <w:rPr>
          <w:sz w:val="22"/>
        </w:rPr>
        <w:t xml:space="preserve">      8.</w:t>
      </w:r>
      <w:r>
        <w:rPr>
          <w:sz w:val="22"/>
        </w:rPr>
        <w:t>3</w:t>
      </w:r>
      <w:r>
        <w:rPr>
          <w:sz w:val="22"/>
        </w:rPr>
        <w:t>. К</w:t>
      </w:r>
      <w:r>
        <w:rPr>
          <w:sz w:val="22"/>
        </w:rPr>
        <w:t xml:space="preserve">онтракт </w:t>
      </w:r>
      <w:r>
        <w:rPr>
          <w:sz w:val="22"/>
        </w:rPr>
        <w:t>может быть расторгнут по соглашению сторон, по решению суда или в связи с односторонним отказом Заказчика от исполнения контракта, предусмотренным п.7.</w:t>
      </w:r>
      <w:r>
        <w:rPr>
          <w:sz w:val="22"/>
        </w:rPr>
        <w:t>5</w:t>
      </w:r>
      <w:r>
        <w:rPr>
          <w:sz w:val="22"/>
        </w:rPr>
        <w:t xml:space="preserve"> настоящего контракта.</w:t>
      </w:r>
      <w:r>
        <w:rPr>
          <w:sz w:val="22"/>
        </w:rPr>
        <w:t xml:space="preserve"> </w:t>
      </w:r>
      <w:r>
        <w:rPr>
          <w:sz w:val="22"/>
        </w:rPr>
        <w:t xml:space="preserve">Порядок одностороннего отказа Заказчика от исполнения контракта предусмотрен Федеральным законом № </w:t>
      </w:r>
      <w:r>
        <w:rPr>
          <w:sz w:val="22"/>
        </w:rPr>
        <w:t>4</w:t>
      </w:r>
      <w:r>
        <w:rPr>
          <w:sz w:val="22"/>
        </w:rPr>
        <w:t>4-ФЗ</w:t>
      </w:r>
      <w:r>
        <w:rPr>
          <w:sz w:val="22"/>
        </w:rPr>
        <w:t>.</w:t>
      </w:r>
    </w:p>
    <w:p w14:paraId="73000000">
      <w:pPr>
        <w:widowControl w:val="1"/>
        <w:ind/>
        <w:jc w:val="both"/>
        <w:rPr>
          <w:sz w:val="22"/>
        </w:rPr>
      </w:pPr>
    </w:p>
    <w:p w14:paraId="74000000">
      <w:pPr>
        <w:pStyle w:val="Style_8"/>
        <w:widowControl w:val="1"/>
        <w:ind w:firstLine="0"/>
        <w:jc w:val="center"/>
        <w:outlineLvl w:val="4"/>
        <w:rPr>
          <w:rFonts w:ascii="Times New Roman" w:hAnsi="Times New Roman"/>
          <w:sz w:val="22"/>
        </w:rPr>
      </w:pPr>
      <w:r>
        <w:rPr>
          <w:rFonts w:ascii="Times New Roman" w:hAnsi="Times New Roman"/>
          <w:sz w:val="22"/>
        </w:rPr>
        <w:t>9.</w:t>
      </w:r>
      <w:r>
        <w:rPr>
          <w:rFonts w:ascii="Times New Roman" w:hAnsi="Times New Roman"/>
          <w:sz w:val="22"/>
        </w:rPr>
        <w:t>Т</w:t>
      </w:r>
      <w:r>
        <w:rPr>
          <w:rFonts w:ascii="Times New Roman" w:hAnsi="Times New Roman"/>
          <w:sz w:val="22"/>
        </w:rPr>
        <w:t>РЕБОВАНИЯ К   ОБЪЕМУ ПРЕДОСТАВЛЕНИЯ ГАРАНТИИ КАЧЕСТВА РАБОТ, ОБЕСПЕЧЕНИЮ ГАРАНТИЙНЫХ ОБЯЗАТЕЛЬСТВ</w:t>
      </w:r>
    </w:p>
    <w:p w14:paraId="75000000">
      <w:pPr>
        <w:widowControl w:val="0"/>
        <w:ind w:firstLine="567"/>
        <w:contextualSpacing w:val="1"/>
        <w:jc w:val="both"/>
        <w:rPr>
          <w:sz w:val="22"/>
        </w:rPr>
      </w:pPr>
      <w:r>
        <w:rPr>
          <w:sz w:val="22"/>
        </w:rPr>
        <w:t>9</w:t>
      </w:r>
      <w:r>
        <w:rPr>
          <w:sz w:val="22"/>
        </w:rPr>
        <w:t>.1.</w:t>
      </w:r>
      <w:r>
        <w:rPr>
          <w:sz w:val="22"/>
        </w:rPr>
        <w:t xml:space="preserve"> </w:t>
      </w:r>
      <w:r>
        <w:rPr>
          <w:sz w:val="22"/>
        </w:rPr>
        <w:t>Качество и безопасность выполняемых работ должны соответствовать требованиям Контракта.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p w14:paraId="76000000">
      <w:pPr>
        <w:widowControl w:val="1"/>
        <w:ind w:firstLine="567"/>
        <w:jc w:val="both"/>
        <w:rPr>
          <w:sz w:val="22"/>
        </w:rPr>
      </w:pPr>
      <w:r>
        <w:rPr>
          <w:sz w:val="22"/>
        </w:rPr>
        <w:t>9</w:t>
      </w:r>
      <w:r>
        <w:rPr>
          <w:sz w:val="22"/>
        </w:rPr>
        <w:t>.2.</w:t>
      </w:r>
      <w:r>
        <w:rPr>
          <w:sz w:val="22"/>
        </w:rPr>
        <w:t xml:space="preserve"> </w:t>
      </w:r>
      <w:r>
        <w:rPr>
          <w:sz w:val="22"/>
        </w:rPr>
        <w:t>Гарантийный срок на выполн</w:t>
      </w:r>
      <w:r>
        <w:rPr>
          <w:sz w:val="22"/>
        </w:rPr>
        <w:t>енные работы составляет 36 календарных месяцев с даты подписания Заказчиком а</w:t>
      </w:r>
      <w:r>
        <w:rPr>
          <w:sz w:val="22"/>
        </w:rPr>
        <w:t>кта о приемке выполненных работ</w:t>
      </w:r>
      <w:r>
        <w:rPr>
          <w:sz w:val="22"/>
        </w:rPr>
        <w:t xml:space="preserve">. </w:t>
      </w:r>
      <w:r>
        <w:rPr>
          <w:sz w:val="22"/>
        </w:rPr>
        <w:t xml:space="preserve">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 В случае обнаружения недостатков (дефектов) в </w:t>
      </w:r>
      <w:r>
        <w:rPr>
          <w:sz w:val="22"/>
        </w:rPr>
        <w:t>выполненных и принятых Заказчиком работах в течение гарантийного срока устранить недо</w:t>
      </w:r>
      <w:r>
        <w:rPr>
          <w:sz w:val="22"/>
        </w:rPr>
        <w:t>статки (дефекты) за свой счет и в срок, установленный Заказчиком.</w:t>
      </w:r>
    </w:p>
    <w:p w14:paraId="77000000">
      <w:pPr>
        <w:widowControl w:val="1"/>
        <w:ind w:firstLine="567"/>
        <w:jc w:val="both"/>
        <w:rPr>
          <w:sz w:val="22"/>
        </w:rPr>
      </w:pPr>
      <w:r>
        <w:rPr>
          <w:sz w:val="22"/>
        </w:rPr>
        <w:t>9</w:t>
      </w:r>
      <w:r>
        <w:rPr>
          <w:sz w:val="22"/>
        </w:rPr>
        <w:t>.3.</w:t>
      </w:r>
      <w:r>
        <w:rPr>
          <w:sz w:val="22"/>
        </w:rPr>
        <w:t xml:space="preserve"> </w:t>
      </w:r>
      <w:r>
        <w:rPr>
          <w:sz w:val="22"/>
        </w:rPr>
        <w:t>В случае выявления недостатков в выполненной работе в течение гарантийн</w:t>
      </w:r>
      <w:r>
        <w:rPr>
          <w:sz w:val="22"/>
        </w:rPr>
        <w:t>ого срока Подрядчик устраняет их за свой счет в срок, установленный Заказчиком.</w:t>
      </w:r>
    </w:p>
    <w:p w14:paraId="78000000">
      <w:pPr>
        <w:widowControl w:val="0"/>
        <w:ind w:firstLine="567"/>
        <w:jc w:val="both"/>
        <w:rPr>
          <w:sz w:val="22"/>
        </w:rPr>
      </w:pPr>
      <w:r>
        <w:rPr>
          <w:sz w:val="22"/>
        </w:rPr>
        <w:t>9</w:t>
      </w:r>
      <w:r>
        <w:rPr>
          <w:sz w:val="22"/>
        </w:rPr>
        <w:t xml:space="preserve">.4. </w:t>
      </w:r>
      <w:r>
        <w:rPr>
          <w:sz w:val="22"/>
        </w:rPr>
        <w:t>Течение гарантийного срока прерывается на все время устранения недостатков.</w:t>
      </w:r>
    </w:p>
    <w:p w14:paraId="79000000">
      <w:pPr>
        <w:widowControl w:val="1"/>
        <w:ind/>
        <w:jc w:val="both"/>
        <w:rPr>
          <w:color w:val="000000"/>
          <w:sz w:val="22"/>
        </w:rPr>
      </w:pPr>
      <w:r>
        <w:rPr>
          <w:sz w:val="22"/>
        </w:rPr>
        <w:t xml:space="preserve">          </w:t>
      </w:r>
    </w:p>
    <w:p w14:paraId="7A000000">
      <w:pPr>
        <w:widowControl w:val="0"/>
        <w:ind/>
        <w:jc w:val="center"/>
        <w:rPr>
          <w:sz w:val="22"/>
        </w:rPr>
      </w:pPr>
      <w:r>
        <w:rPr>
          <w:sz w:val="22"/>
        </w:rPr>
        <w:t>10.</w:t>
      </w:r>
      <w:r>
        <w:rPr>
          <w:sz w:val="22"/>
        </w:rPr>
        <w:t xml:space="preserve"> </w:t>
      </w:r>
      <w:r>
        <w:rPr>
          <w:sz w:val="22"/>
        </w:rPr>
        <w:t>ФОРС-МАЖОР</w:t>
      </w:r>
    </w:p>
    <w:p w14:paraId="7B000000">
      <w:pPr>
        <w:pStyle w:val="Style_9"/>
        <w:widowControl w:val="1"/>
        <w:spacing w:after="0" w:line="240" w:lineRule="auto"/>
        <w:ind w:firstLine="420"/>
        <w:jc w:val="both"/>
        <w:rPr>
          <w:rFonts w:ascii="Times New Roman" w:hAnsi="Times New Roman"/>
          <w:sz w:val="22"/>
        </w:rPr>
      </w:pPr>
      <w:r>
        <w:rPr>
          <w:rFonts w:ascii="Times New Roman" w:hAnsi="Times New Roman"/>
          <w:sz w:val="22"/>
        </w:rPr>
        <w:t>10.</w:t>
      </w:r>
      <w:r>
        <w:rPr>
          <w:rFonts w:ascii="Times New Roman" w:hAnsi="Times New Roman"/>
          <w:sz w:val="22"/>
        </w:rPr>
        <w:t xml:space="preserve"> </w:t>
      </w:r>
      <w:r>
        <w:rPr>
          <w:rFonts w:ascii="Times New Roman" w:hAnsi="Times New Roman"/>
          <w:sz w:val="22"/>
        </w:rPr>
        <w:t>Стороны освобождаются от ответственности за частичное или по</w:t>
      </w:r>
      <w:r>
        <w:rPr>
          <w:rFonts w:ascii="Times New Roman" w:hAnsi="Times New Roman"/>
          <w:sz w:val="22"/>
        </w:rPr>
        <w:t>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w:t>
      </w:r>
      <w:r>
        <w:rPr>
          <w:rFonts w:ascii="Times New Roman" w:hAnsi="Times New Roman"/>
          <w:sz w:val="22"/>
        </w:rPr>
        <w:t>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rFonts w:ascii="Times New Roman" w:hAnsi="Times New Roman"/>
          <w:sz w:val="22"/>
        </w:rPr>
        <w:t>COVID</w:t>
      </w:r>
      <w:r>
        <w:rPr>
          <w:rFonts w:ascii="Times New Roman" w:hAnsi="Times New Roman"/>
          <w:sz w:val="22"/>
        </w:rPr>
        <w:t>-19)»</w:t>
      </w:r>
      <w:r>
        <w:rPr>
          <w:rStyle w:val="Style_5_ch"/>
          <w:rFonts w:ascii="Times New Roman" w:hAnsi="Times New Roman"/>
          <w:sz w:val="22"/>
        </w:rPr>
        <w:footnoteReference w:id="4"/>
      </w:r>
      <w:r>
        <w:rPr>
          <w:rFonts w:ascii="Times New Roman" w:hAnsi="Times New Roman"/>
          <w:sz w:val="22"/>
        </w:rPr>
        <w:t>.</w:t>
      </w:r>
    </w:p>
    <w:p w14:paraId="7C000000">
      <w:pPr>
        <w:pStyle w:val="Style_9"/>
        <w:widowControl w:val="1"/>
        <w:spacing w:after="0" w:line="240" w:lineRule="auto"/>
        <w:ind w:firstLine="420"/>
        <w:jc w:val="both"/>
        <w:rPr>
          <w:rFonts w:ascii="Times New Roman" w:hAnsi="Times New Roman"/>
          <w:sz w:val="22"/>
        </w:rPr>
      </w:pPr>
      <w:r>
        <w:rPr>
          <w:rFonts w:ascii="Times New Roman" w:hAnsi="Times New Roman"/>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w:t>
      </w:r>
      <w:r>
        <w:rPr>
          <w:rFonts w:ascii="Times New Roman" w:hAnsi="Times New Roman"/>
          <w:sz w:val="22"/>
        </w:rPr>
        <w:t>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7D000000">
      <w:pPr>
        <w:pStyle w:val="Style_9"/>
        <w:widowControl w:val="1"/>
        <w:spacing w:after="0" w:line="240" w:lineRule="auto"/>
        <w:ind w:firstLine="420"/>
        <w:jc w:val="both"/>
        <w:rPr>
          <w:rFonts w:ascii="Times New Roman" w:hAnsi="Times New Roman"/>
          <w:sz w:val="22"/>
        </w:rPr>
      </w:pPr>
    </w:p>
    <w:p w14:paraId="7E000000">
      <w:pPr>
        <w:pStyle w:val="Style_10"/>
        <w:widowControl w:val="1"/>
        <w:ind/>
        <w:jc w:val="center"/>
        <w:rPr>
          <w:sz w:val="22"/>
        </w:rPr>
      </w:pPr>
      <w:r>
        <w:rPr>
          <w:sz w:val="22"/>
        </w:rPr>
        <w:t>11. АНТИКОРРУПЦИОННАЯ ОГОВОРКА</w:t>
      </w:r>
    </w:p>
    <w:p w14:paraId="7F000000">
      <w:pPr>
        <w:pStyle w:val="Style_10"/>
        <w:widowControl w:val="1"/>
        <w:ind w:firstLine="708"/>
        <w:jc w:val="both"/>
        <w:rPr>
          <w:sz w:val="22"/>
        </w:rPr>
      </w:pPr>
      <w:r>
        <w:rPr>
          <w:sz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80000000">
      <w:pPr>
        <w:pStyle w:val="Style_10"/>
        <w:widowControl w:val="1"/>
        <w:ind w:firstLine="708"/>
        <w:jc w:val="both"/>
        <w:rPr>
          <w:sz w:val="22"/>
        </w:rPr>
      </w:pPr>
      <w:r>
        <w:rPr>
          <w:sz w:val="22"/>
        </w:rPr>
        <w:t>плати</w:t>
      </w:r>
      <w:r>
        <w:rPr>
          <w:sz w:val="22"/>
        </w:rPr>
        <w:t xml:space="preserve">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81000000">
      <w:pPr>
        <w:pStyle w:val="Style_10"/>
        <w:widowControl w:val="1"/>
        <w:ind w:firstLine="708"/>
        <w:jc w:val="both"/>
        <w:rPr>
          <w:sz w:val="22"/>
        </w:rPr>
      </w:pPr>
      <w:r>
        <w:rPr>
          <w:sz w:val="22"/>
        </w:rPr>
        <w:t>платить или предлагать уплатить денежные средства или предостави</w:t>
      </w:r>
      <w:r>
        <w:rPr>
          <w:sz w:val="22"/>
        </w:rPr>
        <w:t xml:space="preserve">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82000000">
      <w:pPr>
        <w:widowControl w:val="0"/>
        <w:ind w:firstLine="708"/>
        <w:jc w:val="both"/>
        <w:rPr>
          <w:sz w:val="22"/>
        </w:rPr>
      </w:pPr>
      <w:r>
        <w:rPr>
          <w:sz w:val="22"/>
        </w:rPr>
        <w:t>не совершать иных действий, нарушающих антикоррупционное законодательство Российской Федерации.</w:t>
      </w:r>
    </w:p>
    <w:p w14:paraId="83000000">
      <w:pPr>
        <w:widowControl w:val="1"/>
        <w:ind/>
        <w:jc w:val="center"/>
        <w:rPr>
          <w:sz w:val="22"/>
        </w:rPr>
      </w:pPr>
      <w:r>
        <w:rPr>
          <w:sz w:val="22"/>
        </w:rPr>
        <w:t>1</w:t>
      </w:r>
      <w:r>
        <w:rPr>
          <w:sz w:val="22"/>
        </w:rPr>
        <w:t>2</w:t>
      </w:r>
      <w:r>
        <w:rPr>
          <w:sz w:val="22"/>
        </w:rPr>
        <w:t>. ПРОЧИЕ УСЛОВИЯ</w:t>
      </w:r>
    </w:p>
    <w:p w14:paraId="84000000">
      <w:pPr>
        <w:widowControl w:val="1"/>
        <w:ind w:firstLine="360"/>
        <w:jc w:val="both"/>
        <w:rPr>
          <w:sz w:val="22"/>
        </w:rPr>
      </w:pPr>
      <w:r>
        <w:rPr>
          <w:sz w:val="22"/>
        </w:rPr>
        <w:t>1</w:t>
      </w:r>
      <w:r>
        <w:rPr>
          <w:sz w:val="22"/>
        </w:rPr>
        <w:t>2</w:t>
      </w:r>
      <w:r>
        <w:rPr>
          <w:sz w:val="22"/>
        </w:rPr>
        <w:t>.1. Споры по настоящему контракту подлежат рассмотрению в Арбитражном суде города Санкт-Петербу</w:t>
      </w:r>
      <w:r>
        <w:rPr>
          <w:sz w:val="22"/>
        </w:rPr>
        <w:t>рга и Ленинградской обла</w:t>
      </w:r>
      <w:r>
        <w:rPr>
          <w:sz w:val="22"/>
        </w:rPr>
        <w:t>с</w:t>
      </w:r>
      <w:r>
        <w:rPr>
          <w:sz w:val="22"/>
        </w:rPr>
        <w:t>ти.</w:t>
      </w:r>
    </w:p>
    <w:p w14:paraId="85000000">
      <w:pPr>
        <w:pStyle w:val="Style_9"/>
        <w:widowControl w:val="1"/>
        <w:spacing w:after="0" w:line="240" w:lineRule="auto"/>
        <w:ind w:firstLine="360"/>
        <w:jc w:val="both"/>
        <w:rPr>
          <w:rFonts w:ascii="Times New Roman" w:hAnsi="Times New Roman"/>
          <w:sz w:val="22"/>
        </w:rPr>
      </w:pPr>
      <w:r>
        <w:rPr>
          <w:rFonts w:ascii="Times New Roman" w:hAnsi="Times New Roman"/>
          <w:sz w:val="22"/>
        </w:rPr>
        <w:t>1</w:t>
      </w:r>
      <w:r>
        <w:rPr>
          <w:rFonts w:ascii="Times New Roman" w:hAnsi="Times New Roman"/>
          <w:sz w:val="22"/>
        </w:rPr>
        <w:t>2</w:t>
      </w:r>
      <w:r>
        <w:rPr>
          <w:rFonts w:ascii="Times New Roman" w:hAnsi="Times New Roman"/>
          <w:sz w:val="22"/>
        </w:rPr>
        <w:t>.2. Любые изменения и дополнения к настоящему Контракту действительны, если они совершены в письменной форме и подписаны ст</w:t>
      </w:r>
      <w:r>
        <w:rPr>
          <w:rFonts w:ascii="Times New Roman" w:hAnsi="Times New Roman"/>
          <w:sz w:val="22"/>
        </w:rPr>
        <w:t>о</w:t>
      </w:r>
      <w:r>
        <w:rPr>
          <w:rFonts w:ascii="Times New Roman" w:hAnsi="Times New Roman"/>
          <w:sz w:val="22"/>
        </w:rPr>
        <w:t>ронами.</w:t>
      </w:r>
    </w:p>
    <w:p w14:paraId="86000000">
      <w:pPr>
        <w:pStyle w:val="Style_9"/>
        <w:widowControl w:val="1"/>
        <w:spacing w:after="0" w:line="240" w:lineRule="auto"/>
        <w:ind w:firstLine="360"/>
        <w:jc w:val="both"/>
        <w:rPr>
          <w:rFonts w:ascii="Times New Roman" w:hAnsi="Times New Roman"/>
          <w:sz w:val="22"/>
        </w:rPr>
      </w:pPr>
      <w:r>
        <w:rPr>
          <w:rFonts w:ascii="Times New Roman" w:hAnsi="Times New Roman"/>
          <w:sz w:val="22"/>
        </w:rPr>
        <w:t>1</w:t>
      </w:r>
      <w:r>
        <w:rPr>
          <w:rFonts w:ascii="Times New Roman" w:hAnsi="Times New Roman"/>
          <w:sz w:val="22"/>
        </w:rPr>
        <w:t>2</w:t>
      </w:r>
      <w:r>
        <w:rPr>
          <w:rFonts w:ascii="Times New Roman" w:hAnsi="Times New Roman"/>
          <w:sz w:val="22"/>
        </w:rPr>
        <w:t>.3.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w:t>
      </w:r>
      <w:r>
        <w:rPr>
          <w:rFonts w:ascii="Times New Roman" w:hAnsi="Times New Roman"/>
          <w:sz w:val="22"/>
        </w:rPr>
        <w:t>о</w:t>
      </w:r>
      <w:r>
        <w:rPr>
          <w:rFonts w:ascii="Times New Roman" w:hAnsi="Times New Roman"/>
          <w:sz w:val="22"/>
        </w:rPr>
        <w:t>нов, факсов и банковских реквизитов.</w:t>
      </w:r>
    </w:p>
    <w:p w14:paraId="87000000">
      <w:pPr>
        <w:pStyle w:val="Style_9"/>
        <w:widowControl w:val="1"/>
        <w:spacing w:after="0" w:line="240" w:lineRule="auto"/>
        <w:ind w:firstLine="360"/>
        <w:jc w:val="both"/>
        <w:rPr>
          <w:rFonts w:ascii="Times New Roman" w:hAnsi="Times New Roman"/>
          <w:sz w:val="22"/>
        </w:rPr>
      </w:pPr>
      <w:r>
        <w:rPr>
          <w:rFonts w:ascii="Times New Roman" w:hAnsi="Times New Roman"/>
          <w:sz w:val="22"/>
        </w:rPr>
        <w:t>1</w:t>
      </w:r>
      <w:r>
        <w:rPr>
          <w:rFonts w:ascii="Times New Roman" w:hAnsi="Times New Roman"/>
          <w:sz w:val="22"/>
        </w:rPr>
        <w:t>2</w:t>
      </w:r>
      <w:r>
        <w:rPr>
          <w:rFonts w:ascii="Times New Roman" w:hAnsi="Times New Roman"/>
          <w:sz w:val="22"/>
        </w:rPr>
        <w:t>.4. Все, что не урегулировано настоящим Контрактом, регулируется действующим законодательством Российской Федерации.</w:t>
      </w:r>
    </w:p>
    <w:p w14:paraId="88000000">
      <w:pPr>
        <w:pStyle w:val="Style_9"/>
        <w:widowControl w:val="1"/>
        <w:spacing w:after="0" w:line="240" w:lineRule="auto"/>
        <w:ind w:firstLine="360"/>
        <w:jc w:val="both"/>
        <w:rPr>
          <w:rFonts w:ascii="Times New Roman" w:hAnsi="Times New Roman"/>
          <w:sz w:val="22"/>
        </w:rPr>
      </w:pPr>
      <w:r>
        <w:rPr>
          <w:rFonts w:ascii="Times New Roman" w:hAnsi="Times New Roman"/>
          <w:sz w:val="22"/>
        </w:rPr>
        <w:t>1</w:t>
      </w:r>
      <w:r>
        <w:rPr>
          <w:rFonts w:ascii="Times New Roman" w:hAnsi="Times New Roman"/>
          <w:sz w:val="22"/>
        </w:rPr>
        <w:t>2</w:t>
      </w:r>
      <w:r>
        <w:rPr>
          <w:rFonts w:ascii="Times New Roman" w:hAnsi="Times New Roman"/>
          <w:sz w:val="22"/>
        </w:rPr>
        <w:t>.</w:t>
      </w:r>
      <w:r>
        <w:rPr>
          <w:rFonts w:ascii="Times New Roman" w:hAnsi="Times New Roman"/>
          <w:sz w:val="22"/>
        </w:rPr>
        <w:t>5</w:t>
      </w:r>
      <w:r>
        <w:rPr>
          <w:rFonts w:ascii="Times New Roman" w:hAnsi="Times New Roman"/>
          <w:sz w:val="22"/>
        </w:rPr>
        <w:t>. Стороны вправ</w:t>
      </w:r>
      <w:r>
        <w:rPr>
          <w:rFonts w:ascii="Times New Roman" w:hAnsi="Times New Roman"/>
          <w:sz w:val="22"/>
        </w:rPr>
        <w:t>е изменить условия контракта в соответствии с положениями</w:t>
      </w:r>
      <w:r>
        <w:rPr>
          <w:rFonts w:ascii="Times New Roman" w:hAnsi="Times New Roman"/>
          <w:sz w:val="22"/>
        </w:rPr>
        <w:t xml:space="preserve"> </w:t>
      </w:r>
      <w:r>
        <w:rPr>
          <w:rFonts w:ascii="Times New Roman" w:hAnsi="Times New Roman"/>
          <w:sz w:val="22"/>
        </w:rPr>
        <w:t>ст. 95</w:t>
      </w:r>
      <w:r>
        <w:rPr>
          <w:rFonts w:ascii="Times New Roman" w:hAnsi="Times New Roman"/>
          <w:sz w:val="22"/>
        </w:rPr>
        <w:t xml:space="preserve"> </w:t>
      </w:r>
      <w:r>
        <w:rPr>
          <w:rFonts w:ascii="Times New Roman" w:hAnsi="Times New Roman"/>
          <w:sz w:val="22"/>
        </w:rPr>
        <w:t xml:space="preserve"> </w:t>
      </w:r>
      <w:r>
        <w:rPr>
          <w:rFonts w:ascii="Times New Roman" w:hAnsi="Times New Roman"/>
          <w:sz w:val="22"/>
        </w:rPr>
        <w:t xml:space="preserve"> Федерального закона 44-ФЗ,</w:t>
      </w:r>
      <w:r>
        <w:rPr>
          <w:rFonts w:ascii="Times New Roman" w:hAnsi="Times New Roman"/>
          <w:sz w:val="22"/>
        </w:rPr>
        <w:t xml:space="preserve"> ч.5 ст.78.1 Бюджетного кодекса </w:t>
      </w:r>
      <w:r>
        <w:rPr>
          <w:rFonts w:ascii="Times New Roman" w:hAnsi="Times New Roman"/>
          <w:sz w:val="22"/>
        </w:rPr>
        <w:t xml:space="preserve">РФ, </w:t>
      </w:r>
      <w:r>
        <w:rPr>
          <w:rFonts w:ascii="Times New Roman" w:hAnsi="Times New Roman"/>
          <w:sz w:val="22"/>
        </w:rPr>
        <w:t xml:space="preserve">заключив дополнительное соглашение к контракту. </w:t>
      </w:r>
    </w:p>
    <w:p w14:paraId="89000000">
      <w:pPr>
        <w:pStyle w:val="Style_9"/>
        <w:widowControl w:val="1"/>
        <w:spacing w:after="0" w:line="240" w:lineRule="auto"/>
        <w:ind w:firstLine="360"/>
        <w:jc w:val="both"/>
        <w:rPr>
          <w:rFonts w:ascii="Times New Roman" w:hAnsi="Times New Roman"/>
          <w:sz w:val="22"/>
        </w:rPr>
      </w:pPr>
      <w:r>
        <w:rPr>
          <w:rFonts w:ascii="Times New Roman" w:hAnsi="Times New Roman"/>
          <w:sz w:val="22"/>
        </w:rPr>
        <w:t>12</w:t>
      </w:r>
      <w:r>
        <w:rPr>
          <w:rFonts w:ascii="Times New Roman" w:hAnsi="Times New Roman"/>
          <w:sz w:val="22"/>
        </w:rPr>
        <w:t>.</w:t>
      </w:r>
      <w:r>
        <w:rPr>
          <w:rFonts w:ascii="Times New Roman" w:hAnsi="Times New Roman"/>
          <w:sz w:val="22"/>
        </w:rPr>
        <w:t>6</w:t>
      </w:r>
      <w:r>
        <w:rPr>
          <w:rFonts w:ascii="Times New Roman" w:hAnsi="Times New Roman"/>
          <w:sz w:val="22"/>
        </w:rPr>
        <w:t>.</w:t>
      </w:r>
      <w:r>
        <w:rPr>
          <w:rFonts w:ascii="Times New Roman" w:hAnsi="Times New Roman"/>
          <w:sz w:val="22"/>
        </w:rPr>
        <w:t xml:space="preserve"> </w:t>
      </w:r>
      <w:r>
        <w:rPr>
          <w:rFonts w:ascii="Times New Roman" w:hAnsi="Times New Roman"/>
          <w:sz w:val="22"/>
        </w:rPr>
        <w:t>К Контракту прилагаю</w:t>
      </w:r>
      <w:r>
        <w:rPr>
          <w:rFonts w:ascii="Times New Roman" w:hAnsi="Times New Roman"/>
          <w:sz w:val="22"/>
        </w:rPr>
        <w:t>т</w:t>
      </w:r>
      <w:r>
        <w:rPr>
          <w:rFonts w:ascii="Times New Roman" w:hAnsi="Times New Roman"/>
          <w:sz w:val="22"/>
        </w:rPr>
        <w:t>ся и являю</w:t>
      </w:r>
      <w:r>
        <w:rPr>
          <w:rFonts w:ascii="Times New Roman" w:hAnsi="Times New Roman"/>
          <w:sz w:val="22"/>
        </w:rPr>
        <w:t xml:space="preserve">тся его неотъемлемой частью </w:t>
      </w:r>
      <w:r>
        <w:rPr>
          <w:rFonts w:ascii="Times New Roman" w:hAnsi="Times New Roman"/>
          <w:sz w:val="22"/>
        </w:rPr>
        <w:t>Приложение № 1 и 2</w:t>
      </w:r>
      <w:r>
        <w:rPr>
          <w:rFonts w:ascii="Times New Roman" w:hAnsi="Times New Roman"/>
          <w:color w:val="000000"/>
          <w:sz w:val="22"/>
        </w:rPr>
        <w:t>.</w:t>
      </w:r>
    </w:p>
    <w:p w14:paraId="8A000000">
      <w:pPr>
        <w:pStyle w:val="Style_9"/>
        <w:widowControl w:val="1"/>
        <w:spacing w:after="0" w:line="240" w:lineRule="auto"/>
        <w:ind w:firstLine="360"/>
        <w:jc w:val="both"/>
        <w:rPr>
          <w:rFonts w:ascii="Times New Roman" w:hAnsi="Times New Roman"/>
          <w:color w:val="000000"/>
          <w:sz w:val="22"/>
        </w:rPr>
      </w:pPr>
    </w:p>
    <w:p w14:paraId="8B000000">
      <w:pPr>
        <w:widowControl w:val="1"/>
        <w:ind/>
        <w:jc w:val="center"/>
        <w:rPr>
          <w:sz w:val="22"/>
        </w:rPr>
      </w:pPr>
      <w:r>
        <w:rPr>
          <w:sz w:val="22"/>
        </w:rPr>
        <w:t>1</w:t>
      </w:r>
      <w:r>
        <w:rPr>
          <w:sz w:val="22"/>
        </w:rPr>
        <w:t>2</w:t>
      </w:r>
      <w:r>
        <w:rPr>
          <w:sz w:val="22"/>
        </w:rPr>
        <w:t>. АДРЕСА</w:t>
      </w:r>
      <w:r>
        <w:rPr>
          <w:sz w:val="22"/>
        </w:rPr>
        <w:t>,</w:t>
      </w:r>
      <w:r>
        <w:rPr>
          <w:sz w:val="22"/>
        </w:rPr>
        <w:t xml:space="preserve"> БАНКОВСКИЕ РЕКВИЗИТЫ</w:t>
      </w:r>
      <w:r>
        <w:rPr>
          <w:sz w:val="22"/>
        </w:rPr>
        <w:t xml:space="preserve"> И ПОДПИСИ</w:t>
      </w:r>
      <w:r>
        <w:rPr>
          <w:sz w:val="22"/>
        </w:rPr>
        <w:t xml:space="preserve"> СТОРОН</w:t>
      </w:r>
    </w:p>
    <w:p w14:paraId="8C000000">
      <w:pPr>
        <w:widowControl w:val="1"/>
        <w:ind/>
        <w:jc w:val="center"/>
        <w:rPr>
          <w:sz w:val="22"/>
        </w:rPr>
      </w:pPr>
      <w:r>
        <w:rPr>
          <w:sz w:val="22"/>
        </w:rPr>
        <w:t xml:space="preserve"> </w:t>
      </w:r>
    </w:p>
    <w:tbl>
      <w:tblPr>
        <w:tblStyle w:val="Style_11"/>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8D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8E000000">
            <w:pPr>
              <w:widowControl w:val="1"/>
              <w:tabs>
                <w:tab w:leader="none" w:pos="426" w:val="left"/>
                <w:tab w:leader="none" w:pos="927" w:val="left"/>
              </w:tabs>
              <w:ind/>
              <w:jc w:val="both"/>
              <w:rPr>
                <w:sz w:val="22"/>
              </w:rPr>
            </w:pPr>
            <w:r>
              <w:rPr>
                <w:sz w:val="22"/>
              </w:rPr>
              <w:t>ПОДРЯДЧИК</w:t>
            </w:r>
          </w:p>
        </w:tc>
      </w:tr>
      <w:tr>
        <w:tc>
          <w:tcPr>
            <w:tcW w:type="dxa" w:w="4877"/>
            <w:tcMar>
              <w:top w:type="dxa" w:w="0"/>
              <w:left w:type="dxa" w:w="108"/>
              <w:bottom w:type="dxa" w:w="0"/>
              <w:right w:type="dxa" w:w="108"/>
            </w:tcMar>
          </w:tcPr>
          <w:p w14:paraId="8F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90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91000000">
            <w:pPr>
              <w:widowControl w:val="1"/>
              <w:tabs>
                <w:tab w:leader="none" w:pos="142" w:val="left"/>
              </w:tabs>
              <w:ind/>
              <w:rPr>
                <w:sz w:val="22"/>
              </w:rPr>
            </w:pPr>
            <w:r>
              <w:rPr>
                <w:sz w:val="22"/>
              </w:rPr>
              <w:t>ИНН 7816157418, КПП 781601001,</w:t>
            </w:r>
          </w:p>
          <w:p w14:paraId="92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93000000">
            <w:pPr>
              <w:widowControl w:val="1"/>
              <w:tabs>
                <w:tab w:leader="none" w:pos="142" w:val="left"/>
              </w:tabs>
              <w:ind/>
              <w:rPr>
                <w:color w:val="000000"/>
              </w:rPr>
            </w:pPr>
            <w:r>
              <w:rPr>
                <w:sz w:val="22"/>
              </w:rPr>
              <w:t xml:space="preserve">к/с </w:t>
            </w:r>
            <w:r>
              <w:rPr>
                <w:color w:val="000000"/>
                <w:sz w:val="22"/>
              </w:rPr>
              <w:t>40102810945370000005,</w:t>
            </w:r>
          </w:p>
          <w:p w14:paraId="94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95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96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97000000">
            <w:pPr>
              <w:widowControl w:val="1"/>
              <w:tabs>
                <w:tab w:leader="none" w:pos="142" w:val="left"/>
              </w:tabs>
              <w:ind/>
              <w:rPr>
                <w:sz w:val="22"/>
              </w:rPr>
            </w:pPr>
          </w:p>
          <w:p w14:paraId="98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99000000">
            <w:pPr>
              <w:rPr>
                <w:sz w:val="22"/>
              </w:rPr>
            </w:pPr>
          </w:p>
        </w:tc>
      </w:tr>
    </w:tbl>
    <w:p w14:paraId="9A000000"/>
    <w:p w14:paraId="9B000000">
      <w:pPr>
        <w:rPr>
          <w:sz w:val="22"/>
        </w:rPr>
      </w:pPr>
    </w:p>
    <w:p w14:paraId="9C000000">
      <w:pPr>
        <w:rPr>
          <w:sz w:val="22"/>
        </w:rPr>
      </w:pPr>
    </w:p>
    <w:p w14:paraId="9D000000"/>
    <w:p w14:paraId="9E000000">
      <w:pPr>
        <w:widowControl w:val="1"/>
        <w:ind/>
        <w:jc w:val="right"/>
        <w:rPr>
          <w:sz w:val="18"/>
        </w:rPr>
      </w:pPr>
      <w:r>
        <w:rPr>
          <w:sz w:val="18"/>
        </w:rPr>
        <w:t>Пр</w:t>
      </w:r>
      <w:r>
        <w:rPr>
          <w:sz w:val="18"/>
        </w:rPr>
        <w:t>иложение   № 1</w:t>
      </w:r>
    </w:p>
    <w:p w14:paraId="9F000000">
      <w:pPr>
        <w:widowControl w:val="1"/>
        <w:ind/>
        <w:jc w:val="right"/>
        <w:rPr>
          <w:sz w:val="18"/>
        </w:rPr>
      </w:pPr>
      <w:r>
        <w:rPr>
          <w:sz w:val="18"/>
        </w:rPr>
        <w:t xml:space="preserve">                                                                               к контракту № _</w:t>
      </w:r>
    </w:p>
    <w:p w14:paraId="A0000000">
      <w:pPr>
        <w:widowControl w:val="1"/>
        <w:ind/>
        <w:jc w:val="right"/>
        <w:rPr>
          <w:sz w:val="18"/>
        </w:rPr>
      </w:pPr>
      <w:r>
        <w:rPr>
          <w:sz w:val="18"/>
        </w:rPr>
        <w:t xml:space="preserve">                                                       от «_» _</w:t>
      </w:r>
      <w:r>
        <w:rPr>
          <w:sz w:val="18"/>
        </w:rPr>
        <w:t xml:space="preserve"> 2026</w:t>
      </w:r>
      <w:r>
        <w:rPr>
          <w:sz w:val="18"/>
        </w:rPr>
        <w:t xml:space="preserve"> г.</w:t>
      </w:r>
    </w:p>
    <w:p w14:paraId="A1000000">
      <w:pPr>
        <w:widowControl w:val="1"/>
        <w:ind/>
        <w:jc w:val="both"/>
        <w:rPr>
          <w:sz w:val="18"/>
        </w:rPr>
      </w:pPr>
      <w:r>
        <w:rPr>
          <w:sz w:val="18"/>
        </w:rPr>
        <w:t xml:space="preserve"> </w:t>
      </w:r>
    </w:p>
    <w:p w14:paraId="A2000000">
      <w:pPr>
        <w:widowControl w:val="1"/>
        <w:ind/>
        <w:jc w:val="center"/>
        <w:rPr>
          <w:sz w:val="18"/>
        </w:rPr>
      </w:pPr>
      <w:r>
        <w:rPr>
          <w:sz w:val="18"/>
        </w:rPr>
        <w:t>Техническое задание</w:t>
      </w:r>
    </w:p>
    <w:p w14:paraId="A3000000">
      <w:pPr>
        <w:widowControl w:val="1"/>
        <w:ind/>
        <w:jc w:val="both"/>
        <w:rPr>
          <w:sz w:val="18"/>
        </w:rPr>
      </w:pPr>
      <w:r>
        <w:rPr>
          <w:sz w:val="18"/>
        </w:rPr>
        <w:t xml:space="preserve">                                           </w:t>
      </w:r>
      <w:r>
        <w:rPr>
          <w:sz w:val="18"/>
        </w:rPr>
        <w:t xml:space="preserve"> </w:t>
      </w:r>
      <w:r>
        <w:rPr>
          <w:sz w:val="18"/>
        </w:rPr>
        <w:t xml:space="preserve"> </w:t>
      </w:r>
    </w:p>
    <w:p w14:paraId="A4000000">
      <w:pPr>
        <w:widowControl w:val="1"/>
        <w:ind/>
        <w:jc w:val="both"/>
        <w:rPr>
          <w:sz w:val="18"/>
        </w:rPr>
      </w:pPr>
      <w:r>
        <w:rPr>
          <w:sz w:val="18"/>
        </w:rPr>
        <w:t>Состав выполняемых работ:</w:t>
      </w:r>
    </w:p>
    <w:p w14:paraId="A5000000">
      <w:pPr>
        <w:widowControl w:val="1"/>
        <w:ind/>
        <w:jc w:val="both"/>
        <w:rPr>
          <w:sz w:val="18"/>
        </w:rPr>
      </w:pPr>
    </w:p>
    <w:p w14:paraId="A6000000">
      <w:pPr>
        <w:widowControl w:val="1"/>
        <w:numPr>
          <w:ilvl w:val="0"/>
          <w:numId w:val="2"/>
        </w:numPr>
        <w:ind/>
        <w:jc w:val="both"/>
        <w:rPr>
          <w:sz w:val="18"/>
        </w:rPr>
      </w:pPr>
      <w:r>
        <w:rPr>
          <w:sz w:val="18"/>
        </w:rPr>
        <w:t>Подготовительные работы по обеспечению доступа к объекту, указанному</w:t>
      </w:r>
      <w:r>
        <w:rPr>
          <w:sz w:val="18"/>
        </w:rPr>
        <w:t xml:space="preserve"> в пункте 1.1 Контракта.</w:t>
      </w:r>
    </w:p>
    <w:p w14:paraId="A7000000">
      <w:pPr>
        <w:widowControl w:val="1"/>
        <w:numPr>
          <w:ilvl w:val="0"/>
          <w:numId w:val="2"/>
        </w:numPr>
        <w:ind/>
        <w:jc w:val="both"/>
        <w:rPr>
          <w:sz w:val="18"/>
        </w:rPr>
      </w:pPr>
      <w:r>
        <w:rPr>
          <w:sz w:val="18"/>
        </w:rPr>
        <w:t>Демонтаж противопожарного клапана.</w:t>
      </w:r>
    </w:p>
    <w:p w14:paraId="A8000000">
      <w:pPr>
        <w:widowControl w:val="1"/>
        <w:numPr>
          <w:ilvl w:val="0"/>
          <w:numId w:val="2"/>
        </w:numPr>
        <w:ind/>
        <w:jc w:val="both"/>
        <w:rPr>
          <w:sz w:val="18"/>
        </w:rPr>
      </w:pPr>
      <w:r>
        <w:rPr>
          <w:sz w:val="18"/>
        </w:rPr>
        <w:t>Демонтаж привода клапана.</w:t>
      </w:r>
    </w:p>
    <w:p w14:paraId="A9000000">
      <w:pPr>
        <w:widowControl w:val="1"/>
        <w:numPr>
          <w:ilvl w:val="0"/>
          <w:numId w:val="2"/>
        </w:numPr>
        <w:ind/>
        <w:jc w:val="both"/>
        <w:rPr>
          <w:sz w:val="18"/>
        </w:rPr>
      </w:pPr>
      <w:r>
        <w:rPr>
          <w:sz w:val="18"/>
        </w:rPr>
        <w:t>Демонтаж решетки клап</w:t>
      </w:r>
      <w:r>
        <w:rPr>
          <w:sz w:val="18"/>
        </w:rPr>
        <w:t>ана.</w:t>
      </w:r>
    </w:p>
    <w:p w14:paraId="AA000000">
      <w:pPr>
        <w:widowControl w:val="1"/>
        <w:numPr>
          <w:ilvl w:val="0"/>
          <w:numId w:val="2"/>
        </w:numPr>
        <w:ind/>
        <w:jc w:val="both"/>
        <w:rPr>
          <w:sz w:val="18"/>
        </w:rPr>
      </w:pPr>
      <w:r>
        <w:rPr>
          <w:sz w:val="18"/>
        </w:rPr>
        <w:t xml:space="preserve">Монтаж </w:t>
      </w:r>
      <w:r>
        <w:rPr>
          <w:sz w:val="18"/>
        </w:rPr>
        <w:t>противопожарного клапана</w:t>
      </w:r>
      <w:r>
        <w:rPr>
          <w:sz w:val="18"/>
        </w:rPr>
        <w:t>.</w:t>
      </w:r>
    </w:p>
    <w:p w14:paraId="AB000000">
      <w:pPr>
        <w:widowControl w:val="1"/>
        <w:numPr>
          <w:ilvl w:val="0"/>
          <w:numId w:val="2"/>
        </w:numPr>
        <w:ind/>
        <w:jc w:val="both"/>
        <w:rPr>
          <w:sz w:val="18"/>
        </w:rPr>
      </w:pPr>
      <w:r>
        <w:rPr>
          <w:sz w:val="18"/>
        </w:rPr>
        <w:t xml:space="preserve">Монтаж привода </w:t>
      </w:r>
      <w:r>
        <w:rPr>
          <w:sz w:val="18"/>
        </w:rPr>
        <w:t>реверси</w:t>
      </w:r>
      <w:r>
        <w:rPr>
          <w:sz w:val="18"/>
        </w:rPr>
        <w:t>вного марки AIRS BNE 230A.</w:t>
      </w:r>
    </w:p>
    <w:p w14:paraId="AC000000">
      <w:pPr>
        <w:widowControl w:val="1"/>
        <w:numPr>
          <w:ilvl w:val="0"/>
          <w:numId w:val="2"/>
        </w:numPr>
        <w:ind/>
        <w:jc w:val="both"/>
        <w:rPr>
          <w:sz w:val="18"/>
        </w:rPr>
      </w:pPr>
      <w:r>
        <w:rPr>
          <w:sz w:val="18"/>
        </w:rPr>
        <w:t>Монтаж решетки кабеля.</w:t>
      </w:r>
    </w:p>
    <w:p w14:paraId="AD000000">
      <w:pPr>
        <w:widowControl w:val="1"/>
        <w:numPr>
          <w:ilvl w:val="0"/>
          <w:numId w:val="2"/>
        </w:numPr>
        <w:ind/>
        <w:jc w:val="both"/>
        <w:rPr>
          <w:sz w:val="18"/>
        </w:rPr>
      </w:pPr>
      <w:r>
        <w:rPr>
          <w:sz w:val="18"/>
        </w:rPr>
        <w:t>Прокладка по</w:t>
      </w:r>
      <w:r>
        <w:rPr>
          <w:sz w:val="18"/>
        </w:rPr>
        <w:t xml:space="preserve"> стенам </w:t>
      </w:r>
      <w:r>
        <w:rPr>
          <w:sz w:val="18"/>
        </w:rPr>
        <w:t>легких гофрированных труб, не распространяющих горение, с наружным диаметром 20 мм в объеме 50 п.м. с креплением скобами.</w:t>
      </w:r>
    </w:p>
    <w:p w14:paraId="AE000000">
      <w:pPr>
        <w:widowControl w:val="1"/>
        <w:numPr>
          <w:ilvl w:val="0"/>
          <w:numId w:val="2"/>
        </w:numPr>
        <w:ind/>
        <w:jc w:val="both"/>
        <w:rPr>
          <w:sz w:val="18"/>
        </w:rPr>
      </w:pPr>
      <w:r>
        <w:rPr>
          <w:sz w:val="18"/>
        </w:rPr>
        <w:t>Затягивание к</w:t>
      </w:r>
      <w:r>
        <w:rPr>
          <w:sz w:val="18"/>
        </w:rPr>
        <w:t>абеля силового многопроволочного не поддерживающего горения ПВС 2х1,5 в проложенные трубы с использованием на концах термоусадочных трубок.</w:t>
      </w:r>
    </w:p>
    <w:p w14:paraId="AF000000">
      <w:pPr>
        <w:widowControl w:val="1"/>
        <w:numPr>
          <w:ilvl w:val="0"/>
          <w:numId w:val="2"/>
        </w:numPr>
        <w:ind/>
        <w:jc w:val="both"/>
        <w:rPr>
          <w:sz w:val="18"/>
        </w:rPr>
      </w:pPr>
      <w:r>
        <w:rPr>
          <w:sz w:val="18"/>
        </w:rPr>
        <w:t>Пусконаладочные работы и проверка работоспособности системы противодымной вентиляции.</w:t>
      </w:r>
    </w:p>
    <w:p w14:paraId="B0000000">
      <w:pPr>
        <w:widowControl w:val="1"/>
        <w:ind/>
        <w:jc w:val="right"/>
        <w:rPr>
          <w:sz w:val="18"/>
        </w:rPr>
      </w:pPr>
    </w:p>
    <w:p w14:paraId="B1000000">
      <w:pPr>
        <w:widowControl w:val="1"/>
        <w:ind/>
        <w:jc w:val="right"/>
        <w:rPr>
          <w:sz w:val="18"/>
        </w:rPr>
      </w:pPr>
    </w:p>
    <w:p w14:paraId="B2000000">
      <w:pPr>
        <w:widowControl w:val="1"/>
        <w:ind/>
        <w:jc w:val="right"/>
        <w:rPr>
          <w:sz w:val="18"/>
        </w:rPr>
      </w:pPr>
    </w:p>
    <w:p w14:paraId="B3000000">
      <w:pPr>
        <w:widowControl w:val="1"/>
        <w:ind/>
        <w:jc w:val="right"/>
        <w:rPr>
          <w:sz w:val="18"/>
        </w:rPr>
      </w:pPr>
    </w:p>
    <w:p w14:paraId="B4000000">
      <w:pPr>
        <w:widowControl w:val="1"/>
        <w:ind/>
        <w:jc w:val="right"/>
        <w:rPr>
          <w:sz w:val="18"/>
        </w:rPr>
      </w:pPr>
      <w:r>
        <w:rPr>
          <w:sz w:val="18"/>
        </w:rPr>
        <w:t>Пр</w:t>
      </w:r>
      <w:r>
        <w:rPr>
          <w:sz w:val="18"/>
        </w:rPr>
        <w:t>иложение   № 2</w:t>
      </w:r>
    </w:p>
    <w:p w14:paraId="B5000000">
      <w:pPr>
        <w:widowControl w:val="1"/>
        <w:ind/>
        <w:jc w:val="right"/>
        <w:rPr>
          <w:sz w:val="18"/>
        </w:rPr>
      </w:pPr>
      <w:r>
        <w:rPr>
          <w:sz w:val="18"/>
        </w:rPr>
        <w:t xml:space="preserve">                                                                               к контракту № _</w:t>
      </w:r>
    </w:p>
    <w:p w14:paraId="B6000000">
      <w:pPr>
        <w:widowControl w:val="1"/>
        <w:ind/>
        <w:jc w:val="right"/>
        <w:rPr>
          <w:sz w:val="18"/>
        </w:rPr>
      </w:pPr>
      <w:r>
        <w:rPr>
          <w:sz w:val="18"/>
        </w:rPr>
        <w:t xml:space="preserve">                                                       от «_» _</w:t>
      </w:r>
      <w:r>
        <w:rPr>
          <w:sz w:val="18"/>
        </w:rPr>
        <w:t xml:space="preserve"> 2026</w:t>
      </w:r>
      <w:r>
        <w:rPr>
          <w:sz w:val="18"/>
        </w:rPr>
        <w:t xml:space="preserve"> г.</w:t>
      </w:r>
    </w:p>
    <w:p w14:paraId="B7000000">
      <w:pPr>
        <w:widowControl w:val="1"/>
        <w:ind/>
        <w:jc w:val="right"/>
        <w:rPr>
          <w:sz w:val="18"/>
        </w:rPr>
      </w:pPr>
    </w:p>
    <w:p w14:paraId="B8000000">
      <w:pPr>
        <w:widowControl w:val="1"/>
        <w:ind/>
        <w:jc w:val="center"/>
        <w:rPr>
          <w:sz w:val="18"/>
        </w:rPr>
      </w:pPr>
      <w:r>
        <w:rPr>
          <w:sz w:val="18"/>
        </w:rPr>
        <w:t>Расчет цены контракта</w:t>
      </w:r>
    </w:p>
    <w:p w14:paraId="B9000000">
      <w:pPr>
        <w:widowControl w:val="1"/>
        <w:ind/>
        <w:jc w:val="center"/>
        <w:rPr>
          <w:sz w:val="18"/>
        </w:rPr>
      </w:pPr>
    </w:p>
    <w:tbl>
      <w:tblPr>
        <w:tblStyle w:val="Style_11"/>
        <w:tblW w:type="auto" w:w="0"/>
        <w:jc w:val="center"/>
        <w:tblInd w:type="dxa"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772"/>
        <w:gridCol w:w="3085"/>
        <w:gridCol w:w="643"/>
        <w:gridCol w:w="901"/>
        <w:gridCol w:w="2056"/>
        <w:gridCol w:w="1897"/>
      </w:tblGrid>
      <w:tr>
        <w:tc>
          <w:tcPr>
            <w:tcW w:type="dxa" w:w="772"/>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A000000">
            <w:pPr>
              <w:widowControl w:val="1"/>
              <w:ind/>
              <w:jc w:val="center"/>
              <w:rPr>
                <w:sz w:val="18"/>
              </w:rPr>
            </w:pPr>
            <w:r>
              <w:rPr>
                <w:sz w:val="18"/>
              </w:rPr>
              <w:t>№ п/п</w:t>
            </w:r>
          </w:p>
        </w:tc>
        <w:tc>
          <w:tcPr>
            <w:tcW w:type="dxa" w:w="3085"/>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B000000">
            <w:pPr>
              <w:widowControl w:val="1"/>
              <w:ind/>
              <w:jc w:val="center"/>
              <w:rPr>
                <w:sz w:val="18"/>
              </w:rPr>
            </w:pPr>
            <w:r>
              <w:rPr>
                <w:color w:val="000000"/>
                <w:sz w:val="18"/>
              </w:rPr>
              <w:t>Наименование услуги</w:t>
            </w:r>
          </w:p>
        </w:tc>
        <w:tc>
          <w:tcPr>
            <w:tcW w:type="dxa" w:w="643"/>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C000000">
            <w:pPr>
              <w:widowControl w:val="1"/>
              <w:ind/>
              <w:jc w:val="center"/>
              <w:rPr>
                <w:sz w:val="18"/>
              </w:rPr>
            </w:pPr>
            <w:r>
              <w:rPr>
                <w:sz w:val="18"/>
              </w:rPr>
              <w:t>Ед. изм.</w:t>
            </w:r>
          </w:p>
        </w:tc>
        <w:tc>
          <w:tcPr>
            <w:tcW w:type="dxa" w:w="901"/>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D000000">
            <w:pPr>
              <w:widowControl w:val="1"/>
              <w:ind/>
              <w:jc w:val="center"/>
              <w:rPr>
                <w:sz w:val="18"/>
              </w:rPr>
            </w:pPr>
            <w:r>
              <w:rPr>
                <w:sz w:val="18"/>
              </w:rPr>
              <w:t>Количество</w:t>
            </w:r>
          </w:p>
        </w:tc>
        <w:tc>
          <w:tcPr>
            <w:tcW w:type="dxa" w:w="2056"/>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E000000">
            <w:pPr>
              <w:widowControl w:val="1"/>
              <w:ind/>
              <w:jc w:val="center"/>
              <w:rPr>
                <w:sz w:val="18"/>
              </w:rPr>
            </w:pPr>
            <w:r>
              <w:rPr>
                <w:sz w:val="18"/>
              </w:rPr>
              <w:t>Цена за ед.</w:t>
            </w:r>
            <w:r>
              <w:rPr>
                <w:sz w:val="18"/>
              </w:rPr>
              <w:t>, руб.</w:t>
            </w:r>
          </w:p>
        </w:tc>
        <w:tc>
          <w:tcPr>
            <w:tcW w:type="dxa" w:w="1897"/>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BF000000">
            <w:pPr>
              <w:widowControl w:val="1"/>
              <w:ind/>
              <w:jc w:val="center"/>
              <w:rPr>
                <w:sz w:val="18"/>
              </w:rPr>
            </w:pPr>
            <w:r>
              <w:rPr>
                <w:sz w:val="18"/>
              </w:rPr>
              <w:t>Стоимость услуг,</w:t>
            </w:r>
            <w:r>
              <w:rPr>
                <w:sz w:val="18"/>
              </w:rPr>
              <w:t xml:space="preserve"> </w:t>
            </w:r>
            <w:r>
              <w:rPr>
                <w:sz w:val="18"/>
              </w:rPr>
              <w:t>руб.</w:t>
            </w:r>
          </w:p>
        </w:tc>
      </w:tr>
      <w:tr>
        <w:tc>
          <w:tcPr>
            <w:tcW w:type="dxa" w:w="772"/>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0000000">
            <w:pPr>
              <w:widowControl w:val="1"/>
              <w:ind/>
              <w:jc w:val="center"/>
              <w:rPr>
                <w:sz w:val="18"/>
              </w:rPr>
            </w:pPr>
            <w:r>
              <w:rPr>
                <w:sz w:val="18"/>
              </w:rPr>
              <w:t>1.</w:t>
            </w:r>
          </w:p>
        </w:tc>
        <w:tc>
          <w:tcPr>
            <w:tcW w:type="dxa" w:w="3085"/>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1000000">
            <w:pPr>
              <w:widowControl w:val="1"/>
              <w:ind/>
              <w:jc w:val="center"/>
              <w:rPr>
                <w:sz w:val="18"/>
              </w:rPr>
            </w:pPr>
            <w:r>
              <w:rPr>
                <w:sz w:val="18"/>
              </w:rPr>
              <w:t>Выполнение работ по восстановлению системы дымоудаления</w:t>
            </w:r>
          </w:p>
        </w:tc>
        <w:tc>
          <w:tcPr>
            <w:tcW w:type="dxa" w:w="643"/>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2000000">
            <w:pPr>
              <w:widowControl w:val="1"/>
              <w:ind/>
              <w:jc w:val="center"/>
              <w:rPr>
                <w:sz w:val="18"/>
              </w:rPr>
            </w:pPr>
            <w:r>
              <w:rPr>
                <w:sz w:val="18"/>
              </w:rPr>
              <w:t>усл. ед.</w:t>
            </w:r>
          </w:p>
        </w:tc>
        <w:tc>
          <w:tcPr>
            <w:tcW w:type="dxa" w:w="901"/>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3000000">
            <w:pPr>
              <w:widowControl w:val="1"/>
              <w:ind/>
              <w:jc w:val="center"/>
              <w:rPr>
                <w:sz w:val="18"/>
              </w:rPr>
            </w:pPr>
            <w:r>
              <w:rPr>
                <w:sz w:val="18"/>
              </w:rPr>
              <w:t>1</w:t>
            </w:r>
          </w:p>
        </w:tc>
        <w:tc>
          <w:tcPr>
            <w:tcW w:type="dxa" w:w="2056"/>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4000000">
            <w:pPr>
              <w:widowControl w:val="1"/>
              <w:ind/>
              <w:jc w:val="center"/>
              <w:rPr>
                <w:sz w:val="18"/>
              </w:rPr>
            </w:pPr>
          </w:p>
        </w:tc>
        <w:tc>
          <w:tcPr>
            <w:tcW w:type="dxa" w:w="1897"/>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5000000">
            <w:pPr>
              <w:widowControl w:val="1"/>
              <w:ind/>
              <w:jc w:val="center"/>
              <w:rPr>
                <w:sz w:val="18"/>
              </w:rPr>
            </w:pPr>
          </w:p>
        </w:tc>
      </w:tr>
      <w:tr>
        <w:tc>
          <w:tcPr>
            <w:tcW w:type="dxa" w:w="7457"/>
            <w:gridSpan w:val="5"/>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6000000">
            <w:pPr>
              <w:widowControl w:val="1"/>
              <w:ind/>
              <w:jc w:val="center"/>
              <w:rPr>
                <w:sz w:val="18"/>
              </w:rPr>
            </w:pPr>
            <w:r>
              <w:rPr>
                <w:sz w:val="18"/>
              </w:rPr>
              <w:t>ИТОГО</w:t>
            </w:r>
          </w:p>
        </w:tc>
        <w:tc>
          <w:tcPr>
            <w:tcW w:type="dxa" w:w="1897"/>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C7000000">
            <w:pPr>
              <w:widowControl w:val="1"/>
              <w:ind/>
              <w:jc w:val="center"/>
              <w:rPr>
                <w:sz w:val="18"/>
              </w:rPr>
            </w:pPr>
          </w:p>
        </w:tc>
      </w:tr>
    </w:tbl>
    <w:p w14:paraId="C8000000">
      <w:pPr>
        <w:widowControl w:val="1"/>
        <w:ind/>
        <w:jc w:val="center"/>
        <w:rPr>
          <w:sz w:val="18"/>
        </w:rPr>
      </w:pPr>
    </w:p>
    <w:p w14:paraId="C9000000">
      <w:pPr>
        <w:keepNext w:val="1"/>
        <w:keepLines w:val="1"/>
        <w:widowControl w:val="1"/>
        <w:ind/>
        <w:jc w:val="center"/>
        <w:outlineLvl w:val="1"/>
        <w:rPr>
          <w:sz w:val="18"/>
        </w:rPr>
      </w:pPr>
    </w:p>
    <w:sectPr>
      <w:headerReference r:id="rId1" w:type="default"/>
      <w:headerReference r:id="rId3" w:type="even"/>
      <w:footerReference r:id="rId2" w:type="default"/>
      <w:footerReference r:id="rId4" w:type="even"/>
      <w:pgSz w:h="16838" w:orient="portrait" w:w="11906"/>
      <w:pgMar w:bottom="709" w:footer="720" w:gutter="0" w:header="720" w:left="1701" w:right="851" w:top="1134"/>
      <w:titlePg/>
    </w:sectPr>
  </w:body>
</w:document>
</file>

<file path=word/endnotes.xml><?xml version="1.0" encoding="utf-8"?>
<w:end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endnote w:id="-1" w:type="separator">
    <w:p w14:paraId="D0000000">
      <w:pPr>
        <w:widowControl w:val="1"/>
        <w:spacing w:after="0" w:line="240" w:lineRule="auto"/>
        <w:ind/>
      </w:pPr>
      <w:r>
        <w:separator/>
      </w:r>
    </w:p>
  </w:endnote>
  <w:endnote w:id="0" w:type="continuationSeparator">
    <w:p w14:paraId="D1000000">
      <w:pPr>
        <w:widowControl w:val="1"/>
        <w:spacing w:after="0" w:line="240" w:lineRule="auto"/>
        <w:ind/>
      </w:pPr>
      <w:r>
        <w:continuationSeparator/>
      </w:r>
    </w:p>
  </w:endnote>
</w:endnotes>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4000000">
    <w:pPr>
      <w:pStyle w:val="Style_3"/>
      <w:framePr w:h="0" w:hAnchor="margin" w:hSpace="0" w:vAnchor="text" w:vSpace="0" w:wrap="around" w:xAlign="right" w:y="1"/>
      <w:widowControl w:val="1"/>
      <w:pBdr>
        <w:top w:sz="4" w:val="nil"/>
        <w:left w:sz="4" w:val="nil"/>
        <w:bottom w:sz="4" w:val="nil"/>
        <w:right w:sz="4" w:val="nil"/>
        <w:between w:sz="4" w:val="nil"/>
      </w:pBdr>
      <w:ind w:right="360"/>
      <w:rPr>
        <w:rStyle w:val="Style_2_ch"/>
      </w:rPr>
    </w:pPr>
  </w:p>
  <w:p w14:paraId="03000000">
    <w:pPr>
      <w:pStyle w:val="Style_3"/>
      <w:widowControl w:val="1"/>
      <w:ind w:right="360"/>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pPr>
      <w:pStyle w:val="Style_3"/>
      <w:framePr w:h="0" w:hAnchor="margin" w:hSpace="0" w:vAnchor="text" w:vSpace="0" w:wrap="around" w:xAlign="right" w:y="1"/>
      <w:widowControl w:val="1"/>
      <w:pBdr>
        <w:top w:sz="4" w:val="nil"/>
        <w:left w:sz="4" w:val="nil"/>
        <w:bottom w:sz="4" w:val="nil"/>
        <w:right w:sz="4" w:val="nil"/>
        <w:between w:sz="4" w:val="nil"/>
      </w:pBdr>
      <w:ind/>
      <w:jc w:val="left"/>
      <w:rPr>
        <w:rStyle w:val="Style_2_ch"/>
      </w:rPr>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7000000">
    <w:pPr>
      <w:pStyle w:val="Style_3"/>
      <w:widowControl w:val="1"/>
      <w:ind w:right="360"/>
    </w:pPr>
  </w:p>
</w:ftr>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footnote w:id="-1" w:type="separator">
    <w:p w14:paraId="CA000000">
      <w:r>
        <w:separator/>
      </w:r>
    </w:p>
  </w:footnote>
  <w:footnote w:id="0" w:type="continuationSeparator">
    <w:p w14:paraId="CB000000">
      <w:r>
        <w:continuationSeparator/>
      </w:r>
    </w:p>
  </w:footnote>
  <w:footnote w:id="1">
    <w:p w14:paraId="CC000000">
      <w:pPr>
        <w:pStyle w:val="Style_4"/>
        <w:rPr>
          <w:i w:val="1"/>
        </w:rPr>
      </w:pPr>
      <w:r>
        <w:rPr>
          <w:i w:val="1"/>
          <w:vertAlign w:val="superscript"/>
        </w:rPr>
        <w:footnoteRef/>
      </w:r>
      <w:r>
        <w:t xml:space="preserve"> </w:t>
      </w:r>
      <w:r>
        <w:rPr>
          <w:i w:val="1"/>
        </w:rPr>
        <w:t xml:space="preserve">Включается, если </w:t>
      </w:r>
      <w:r>
        <w:rPr>
          <w:i w:val="1"/>
        </w:rPr>
        <w:t xml:space="preserve"> </w:t>
      </w:r>
      <w:r>
        <w:rPr>
          <w:i w:val="1"/>
        </w:rPr>
        <w:t xml:space="preserve"> Подрядчик   является плательщиком НДС. </w:t>
      </w:r>
    </w:p>
  </w:footnote>
  <w:footnote w:id="2">
    <w:p w14:paraId="CD000000">
      <w:pPr>
        <w:pStyle w:val="Style_4"/>
        <w:rPr>
          <w:i w:val="1"/>
        </w:rPr>
      </w:pPr>
      <w:r>
        <w:rPr>
          <w:i w:val="1"/>
          <w:vertAlign w:val="superscript"/>
        </w:rPr>
        <w:footnoteRef/>
      </w:r>
      <w:r>
        <w:rPr>
          <w:i w:val="1"/>
        </w:rPr>
        <w:t xml:space="preserve"> Включается, если Подрядчик не является плательщиком НДС.</w:t>
      </w:r>
    </w:p>
  </w:footnote>
  <w:footnote w:id="3">
    <w:p w14:paraId="CE000000">
      <w:pPr>
        <w:pStyle w:val="Style_4"/>
        <w:rPr>
          <w:i w:val="1"/>
        </w:rPr>
      </w:pPr>
      <w:r>
        <w:rPr>
          <w:i w:val="1"/>
          <w:vertAlign w:val="superscript"/>
        </w:rPr>
        <w:footnoteRef/>
      </w:r>
      <w:r>
        <w:rPr>
          <w:i w:val="1"/>
        </w:rPr>
        <w:t xml:space="preserve"> Включается, если Подрядчик является плательщиком НДС;</w:t>
      </w:r>
    </w:p>
  </w:footnote>
  <w:footnote w:id="4">
    <w:p w14:paraId="CF000000">
      <w:pPr>
        <w:pStyle w:val="Style_4"/>
        <w:rPr>
          <w:i w:val="1"/>
        </w:rPr>
      </w:pPr>
      <w:r>
        <w:rPr>
          <w:i w:val="1"/>
          <w:vertAlign w:val="superscript"/>
        </w:rPr>
        <w:footnoteRef/>
      </w:r>
      <w:r>
        <w:rPr>
          <w:i w:val="1"/>
        </w:rPr>
        <w:t xml:space="preserve"> Включается   в контракт во время действия постановления от 13.03.2020 №121.</w:t>
      </w:r>
    </w:p>
  </w:footnote>
</w:footnote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pStyle w:val="Style_1"/>
      <w:framePr w:h="0" w:hAnchor="margin" w:hSpace="0" w:vAnchor="text" w:vSpace="0" w:wrap="around" w:xAlign="center" w:y="1"/>
      <w:widowControl w:val="1"/>
      <w:pBdr>
        <w:top w:sz="4" w:val="nil"/>
        <w:left w:sz="4" w:val="nil"/>
        <w:bottom w:sz="4" w:val="nil"/>
        <w:right w:sz="4" w:val="nil"/>
        <w:between w:sz="4" w:val="nil"/>
      </w:pBdr>
      <w:ind/>
      <w:jc w:val="left"/>
      <w:rPr>
        <w:rStyle w:val="Style_2_ch"/>
      </w:rPr>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1000000">
    <w:pPr>
      <w:pStyle w:val="Style_1"/>
      <w:widowControl w:val="1"/>
      <w:tabs>
        <w:tab w:leader="none" w:pos="4677" w:val="clear"/>
        <w:tab w:leader="none" w:pos="9355" w:val="clear"/>
        <w:tab w:leader="none" w:pos="10716" w:val="left"/>
      </w:tabs>
      <w:ind/>
    </w:pPr>
    <w:r>
      <w:tab/>
    </w: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6000000">
    <w:pPr>
      <w:pStyle w:val="Style_1"/>
      <w:framePr w:h="0" w:hAnchor="margin" w:hSpace="0" w:vAnchor="text" w:vSpace="0" w:wrap="around" w:xAlign="center" w:y="1"/>
      <w:widowControl w:val="1"/>
      <w:pBdr>
        <w:top w:sz="4" w:val="nil"/>
        <w:left w:sz="4" w:val="nil"/>
        <w:bottom w:sz="4" w:val="nil"/>
        <w:right w:sz="4" w:val="nil"/>
        <w:between w:sz="4" w:val="nil"/>
      </w:pBdr>
      <w:ind/>
      <w:jc w:val="left"/>
      <w:rPr>
        <w:rStyle w:val="Style_2_ch"/>
      </w:rPr>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5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720"/>
      </w:pPr>
      <w:rPr>
        <w:b w:val="1"/>
      </w:rPr>
    </w:lvl>
    <w:lvl w:ilvl="1">
      <w:start w:val="1"/>
      <w:numFmt w:val="lowerLetter"/>
      <w:lvlText w:val="%2."/>
      <w:lvlJc w:val="left"/>
      <w:pPr>
        <w:widowControl w:val="1"/>
        <w:ind w:hanging="360" w:left="1440"/>
      </w:pPr>
    </w:lvl>
    <w:lvl w:ilvl="2">
      <w:start w:val="1"/>
      <w:numFmt w:val="lowerRoman"/>
      <w:lvlText w:val="%3."/>
      <w:lvlJc w:val="right"/>
      <w:pPr>
        <w:widowControl w:val="1"/>
        <w:ind w:hanging="180" w:left="2160"/>
      </w:pPr>
    </w:lvl>
    <w:lvl w:ilvl="3">
      <w:start w:val="1"/>
      <w:numFmt w:val="decimal"/>
      <w:lvlText w:val="%4."/>
      <w:lvlJc w:val="left"/>
      <w:pPr>
        <w:widowControl w:val="1"/>
        <w:ind w:hanging="360" w:left="2880"/>
      </w:pPr>
    </w:lvl>
    <w:lvl w:ilvl="4">
      <w:start w:val="1"/>
      <w:numFmt w:val="lowerLetter"/>
      <w:lvlText w:val="%5."/>
      <w:lvlJc w:val="left"/>
      <w:pPr>
        <w:widowControl w:val="1"/>
        <w:ind w:hanging="360" w:left="3600"/>
      </w:pPr>
    </w:lvl>
    <w:lvl w:ilvl="5">
      <w:start w:val="1"/>
      <w:numFmt w:val="lowerRoman"/>
      <w:lvlText w:val="%6."/>
      <w:lvlJc w:val="right"/>
      <w:pPr>
        <w:widowControl w:val="1"/>
        <w:ind w:hanging="180" w:left="4320"/>
      </w:pPr>
    </w:lvl>
    <w:lvl w:ilvl="6">
      <w:start w:val="1"/>
      <w:numFmt w:val="decimal"/>
      <w:lvlText w:val="%7."/>
      <w:lvlJc w:val="left"/>
      <w:pPr>
        <w:widowControl w:val="1"/>
        <w:ind w:hanging="360" w:left="5040"/>
      </w:pPr>
    </w:lvl>
    <w:lvl w:ilvl="7">
      <w:start w:val="1"/>
      <w:numFmt w:val="lowerLetter"/>
      <w:lvlText w:val="%8."/>
      <w:lvlJc w:val="left"/>
      <w:pPr>
        <w:widowControl w:val="1"/>
        <w:ind w:hanging="360" w:left="5760"/>
      </w:pPr>
    </w:lvl>
    <w:lvl w:ilvl="8">
      <w:start w:val="1"/>
      <w:numFmt w:val="lowerRoman"/>
      <w:lvlText w:val="%9."/>
      <w:lvlJc w:val="right"/>
      <w:pPr>
        <w:widowControl w:val="1"/>
        <w:ind w:hanging="180" w:left="6480"/>
      </w:pPr>
    </w:lvl>
  </w:abstractNum>
  <w:abstractNum w:abstractNumId="1">
    <w:lvl w:ilvl="0">
      <w:start w:val="1"/>
      <w:numFmt w:val="decimal"/>
      <w:lvlText w:val="%1."/>
      <w:pPr>
        <w:widowControl w:val="1"/>
        <w:ind w:hanging="360" w:left="720"/>
      </w:pPr>
    </w:lvl>
    <w:lvl w:ilvl="1">
      <w:start w:val="1"/>
      <w:numFmt w:val="lowerLetter"/>
      <w:lvlText w:val="%2."/>
      <w:pPr>
        <w:widowControl w:val="1"/>
        <w:ind w:hanging="360" w:left="1440"/>
      </w:pPr>
    </w:lvl>
    <w:lvl w:ilvl="2">
      <w:start w:val="1"/>
      <w:numFmt w:val="lowerRoman"/>
      <w:lvlText w:val="%3."/>
      <w:lvlJc w:val="right"/>
      <w:pPr>
        <w:widowControl w:val="1"/>
        <w:ind w:hanging="360" w:left="2160"/>
      </w:pPr>
    </w:lvl>
    <w:lvl w:ilvl="3">
      <w:start w:val="1"/>
      <w:numFmt w:val="decimal"/>
      <w:lvlText w:val="%4."/>
      <w:pPr>
        <w:widowControl w:val="1"/>
        <w:ind w:hanging="360" w:left="2880"/>
      </w:pPr>
    </w:lvl>
    <w:lvl w:ilvl="4">
      <w:start w:val="1"/>
      <w:numFmt w:val="lowerLetter"/>
      <w:lvlText w:val="%5."/>
      <w:pPr>
        <w:widowControl w:val="1"/>
        <w:ind w:hanging="360" w:left="3600"/>
      </w:pPr>
    </w:lvl>
    <w:lvl w:ilvl="5">
      <w:start w:val="1"/>
      <w:numFmt w:val="lowerRoman"/>
      <w:lvlText w:val="%6."/>
      <w:lvlJc w:val="right"/>
      <w:pPr>
        <w:widowControl w:val="1"/>
        <w:ind w:hanging="360" w:left="4320"/>
      </w:pPr>
    </w:lvl>
    <w:lvl w:ilvl="6">
      <w:start w:val="1"/>
      <w:numFmt w:val="decimal"/>
      <w:lvlText w:val="%7."/>
      <w:pPr>
        <w:widowControl w:val="1"/>
        <w:ind w:hanging="360" w:left="5040"/>
      </w:pPr>
    </w:lvl>
    <w:lvl w:ilvl="7">
      <w:start w:val="1"/>
      <w:numFmt w:val="lowerLetter"/>
      <w:lvlText w:val="%8."/>
      <w:pPr>
        <w:widowControl w:val="1"/>
        <w:ind w:hanging="360" w:left="5760"/>
      </w:pPr>
    </w:lvl>
    <w:lvl w:ilvl="8">
      <w:start w:val="1"/>
      <w:numFmt w:val="lowerRoman"/>
      <w:lvlText w:val="%9."/>
      <w:lvlJc w:val="right"/>
      <w:pPr>
        <w:widowControl w:val="1"/>
        <w:ind w:hanging="360" w:left="6480"/>
      </w:pPr>
    </w:lvl>
  </w:abstractNum>
  <w:abstractNum w:abstractNumId="2">
    <w:lvl w:ilvl="0">
      <w:start w:val="1"/>
      <w:numFmt w:val="decimal"/>
      <w:pStyle w:val="Style_35"/>
      <w:lvlText w:val="%1."/>
      <w:lvlJc w:val="left"/>
      <w:pPr>
        <w:widowControl w:val="1"/>
        <w:tabs>
          <w:tab w:leader="none" w:pos="432" w:val="left"/>
        </w:tabs>
        <w:ind w:hanging="432" w:left="432"/>
      </w:pPr>
    </w:lvl>
    <w:lvl w:ilvl="1">
      <w:start w:val="1"/>
      <w:numFmt w:val="decimal"/>
      <w:pStyle w:val="Style_17"/>
      <w:lvlText w:val="%1.%2"/>
      <w:lvlJc w:val="left"/>
      <w:pPr>
        <w:widowControl w:val="1"/>
        <w:tabs>
          <w:tab w:leader="none" w:pos="1836" w:val="left"/>
        </w:tabs>
        <w:ind w:hanging="576" w:left="1836"/>
      </w:pPr>
    </w:lvl>
    <w:lvl w:ilvl="2">
      <w:start w:val="1"/>
      <w:numFmt w:val="decimal"/>
      <w:pStyle w:val="Style_36"/>
      <w:lvlText w:val="%1.%2.%3"/>
      <w:lvlJc w:val="left"/>
      <w:pPr>
        <w:widowControl w:val="1"/>
        <w:tabs>
          <w:tab w:leader="none" w:pos="1127" w:val="left"/>
        </w:tabs>
        <w:ind w:firstLine="0" w:left="900"/>
      </w:pPr>
    </w:lvl>
    <w:lvl w:ilvl="3">
      <w:start w:val="1"/>
      <w:numFmt w:val="decimal"/>
      <w:lvlText w:val="%1.%2.%3.%4"/>
      <w:lvlJc w:val="left"/>
      <w:pPr>
        <w:widowControl w:val="1"/>
        <w:tabs>
          <w:tab w:leader="none" w:pos="864" w:val="left"/>
        </w:tabs>
        <w:ind w:hanging="864" w:left="864"/>
      </w:pPr>
    </w:lvl>
    <w:lvl w:ilvl="4">
      <w:start w:val="1"/>
      <w:numFmt w:val="decimal"/>
      <w:lvlText w:val="%1.%2.%3.%4.%5"/>
      <w:lvlJc w:val="left"/>
      <w:pPr>
        <w:widowControl w:val="1"/>
        <w:tabs>
          <w:tab w:leader="none" w:pos="1008" w:val="left"/>
        </w:tabs>
        <w:ind w:hanging="1008" w:left="1008"/>
      </w:pPr>
    </w:lvl>
    <w:lvl w:ilvl="5">
      <w:start w:val="1"/>
      <w:numFmt w:val="decimal"/>
      <w:lvlText w:val="%1.%2.%3.%4.%5.%6"/>
      <w:lvlJc w:val="left"/>
      <w:pPr>
        <w:widowControl w:val="1"/>
        <w:tabs>
          <w:tab w:leader="none" w:pos="1152" w:val="left"/>
        </w:tabs>
        <w:ind w:hanging="1152" w:left="1152"/>
      </w:pPr>
    </w:lvl>
    <w:lvl w:ilvl="6">
      <w:start w:val="1"/>
      <w:numFmt w:val="decimal"/>
      <w:lvlText w:val="%1.%2.%3.%4.%5.%6.%7"/>
      <w:lvlJc w:val="left"/>
      <w:pPr>
        <w:widowControl w:val="1"/>
        <w:tabs>
          <w:tab w:leader="none" w:pos="1296" w:val="left"/>
        </w:tabs>
        <w:ind w:hanging="1296" w:left="1296"/>
      </w:pPr>
    </w:lvl>
    <w:lvl w:ilvl="7">
      <w:start w:val="1"/>
      <w:numFmt w:val="decimal"/>
      <w:lvlText w:val="%1.%2.%3.%4.%5.%6.%7.%8"/>
      <w:lvlJc w:val="left"/>
      <w:pPr>
        <w:widowControl w:val="1"/>
        <w:tabs>
          <w:tab w:leader="none" w:pos="1440" w:val="left"/>
        </w:tabs>
        <w:ind w:hanging="1440" w:left="1440"/>
      </w:pPr>
    </w:lvl>
    <w:lvl w:ilvl="8">
      <w:start w:val="1"/>
      <w:numFmt w:val="decimal"/>
      <w:lvlText w:val="%1.%2.%3.%4.%5.%6.%7.%8.%9"/>
      <w:lvlJc w:val="left"/>
      <w:pPr>
        <w:widowControl w:val="1"/>
        <w:tabs>
          <w:tab w:leader="none" w:pos="1584" w:val="left"/>
        </w:tabs>
        <w:ind w:hanging="1584" w:left="1584"/>
      </w:pPr>
    </w:lvl>
  </w:abstractNum>
  <w:abstractNum w:abstractNumId="3">
    <w:lvl w:ilvl="0">
      <w:start w:val="1"/>
      <w:numFmt w:val="decimal"/>
      <w:pStyle w:val="Style_18"/>
      <w:lvlText w:val="%1."/>
      <w:lvlJc w:val="left"/>
      <w:pPr>
        <w:widowControl w:val="1"/>
        <w:tabs>
          <w:tab w:leader="none" w:pos="720" w:val="left"/>
        </w:tabs>
        <w:ind w:hanging="360" w:left="720"/>
      </w:pPr>
    </w:lvl>
    <w:lvl w:ilvl="1">
      <w:start w:val="1"/>
      <w:numFmt w:val="lowerLetter"/>
      <w:lvlText w:val="%2."/>
      <w:lvlJc w:val="left"/>
      <w:pPr>
        <w:widowControl w:val="1"/>
        <w:tabs>
          <w:tab w:leader="none" w:pos="1440" w:val="left"/>
        </w:tabs>
        <w:ind w:hanging="360" w:left="1440"/>
      </w:pPr>
    </w:lvl>
    <w:lvl w:ilvl="2">
      <w:start w:val="1"/>
      <w:numFmt w:val="lowerRoman"/>
      <w:lvlText w:val="%3."/>
      <w:lvlJc w:val="right"/>
      <w:pPr>
        <w:widowControl w:val="1"/>
        <w:tabs>
          <w:tab w:leader="none" w:pos="2160" w:val="left"/>
        </w:tabs>
        <w:ind w:hanging="180" w:left="2160"/>
      </w:pPr>
    </w:lvl>
    <w:lvl w:ilvl="3">
      <w:start w:val="1"/>
      <w:numFmt w:val="decimal"/>
      <w:lvlText w:val="%4."/>
      <w:lvlJc w:val="left"/>
      <w:pPr>
        <w:widowControl w:val="1"/>
        <w:tabs>
          <w:tab w:leader="none" w:pos="2880" w:val="left"/>
        </w:tabs>
        <w:ind w:hanging="360" w:left="2880"/>
      </w:pPr>
    </w:lvl>
    <w:lvl w:ilvl="4">
      <w:start w:val="1"/>
      <w:numFmt w:val="lowerLetter"/>
      <w:lvlText w:val="%5."/>
      <w:lvlJc w:val="left"/>
      <w:pPr>
        <w:widowControl w:val="1"/>
        <w:tabs>
          <w:tab w:leader="none" w:pos="3600" w:val="left"/>
        </w:tabs>
        <w:ind w:hanging="360" w:left="3600"/>
      </w:pPr>
    </w:lvl>
    <w:lvl w:ilvl="5">
      <w:start w:val="1"/>
      <w:numFmt w:val="lowerRoman"/>
      <w:lvlText w:val="%6."/>
      <w:lvlJc w:val="right"/>
      <w:pPr>
        <w:widowControl w:val="1"/>
        <w:tabs>
          <w:tab w:leader="none" w:pos="4320" w:val="left"/>
        </w:tabs>
        <w:ind w:hanging="180" w:left="4320"/>
      </w:pPr>
    </w:lvl>
    <w:lvl w:ilvl="6">
      <w:start w:val="1"/>
      <w:numFmt w:val="decimal"/>
      <w:lvlText w:val="%7."/>
      <w:lvlJc w:val="left"/>
      <w:pPr>
        <w:widowControl w:val="1"/>
        <w:tabs>
          <w:tab w:leader="none" w:pos="5040" w:val="left"/>
        </w:tabs>
        <w:ind w:hanging="360" w:left="5040"/>
      </w:pPr>
    </w:lvl>
    <w:lvl w:ilvl="7">
      <w:start w:val="1"/>
      <w:numFmt w:val="lowerLetter"/>
      <w:lvlText w:val="%8."/>
      <w:lvlJc w:val="left"/>
      <w:pPr>
        <w:widowControl w:val="1"/>
        <w:tabs>
          <w:tab w:leader="none" w:pos="5760" w:val="left"/>
        </w:tabs>
        <w:ind w:hanging="360" w:left="5760"/>
      </w:pPr>
    </w:lvl>
    <w:lvl w:ilvl="8">
      <w:start w:val="1"/>
      <w:numFmt w:val="lowerRoman"/>
      <w:lvlText w:val="%9."/>
      <w:lvlJc w:val="right"/>
      <w:pPr>
        <w:widowControl w:val="1"/>
        <w:tabs>
          <w:tab w:leader="none" w:pos="6480" w:val="left"/>
        </w:tabs>
        <w:ind w:hanging="180" w:left="6480"/>
      </w:p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1" w:uiPriority="9" w:unhideWhenUsed="1"/>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2" w:type="paragraph">
    <w:name w:val="Normal"/>
    <w:link w:val="Style_12_ch"/>
    <w:uiPriority w:val="0"/>
    <w:qFormat/>
    <w:rPr>
      <w:sz w:val="24"/>
    </w:rPr>
  </w:style>
  <w:style w:default="1" w:styleId="Style_12_ch" w:type="character">
    <w:name w:val="Normal"/>
    <w:link w:val="Style_12"/>
    <w:rPr>
      <w:sz w:val="24"/>
    </w:rPr>
  </w:style>
  <w:style w:styleId="Style_13" w:type="paragraph">
    <w:name w:val=" Знак3 Знак Знак Знак Знак Знак Знак Знак Знак Знак"/>
    <w:basedOn w:val="Style_12"/>
    <w:link w:val="Style_13_ch"/>
    <w:pPr>
      <w:widowControl w:val="0"/>
      <w:spacing w:after="160" w:line="240" w:lineRule="exact"/>
      <w:ind/>
      <w:jc w:val="right"/>
    </w:pPr>
    <w:rPr>
      <w:rFonts w:ascii="Arial" w:hAnsi="Arial"/>
      <w:sz w:val="20"/>
    </w:rPr>
  </w:style>
  <w:style w:styleId="Style_13_ch" w:type="character">
    <w:name w:val=" Знак3 Знак Знак Знак Знак Знак Знак Знак Знак Знак"/>
    <w:basedOn w:val="Style_12_ch"/>
    <w:link w:val="Style_13"/>
    <w:rPr>
      <w:rFonts w:ascii="Arial" w:hAnsi="Arial"/>
      <w:sz w:val="20"/>
    </w:rPr>
  </w:style>
  <w:style w:styleId="Style_14" w:type="paragraph">
    <w:name w:val=" Знак Знак2"/>
    <w:basedOn w:val="Style_12"/>
    <w:link w:val="Style_14_ch"/>
    <w:pPr>
      <w:widowControl w:val="0"/>
      <w:spacing w:after="160" w:line="240" w:lineRule="exact"/>
      <w:ind/>
      <w:jc w:val="right"/>
    </w:pPr>
    <w:rPr>
      <w:sz w:val="20"/>
    </w:rPr>
  </w:style>
  <w:style w:styleId="Style_14_ch" w:type="character">
    <w:name w:val=" Знак Знак2"/>
    <w:basedOn w:val="Style_12_ch"/>
    <w:link w:val="Style_14"/>
    <w:rPr>
      <w:sz w:val="20"/>
    </w:rPr>
  </w:style>
  <w:style w:styleId="Style_15" w:type="paragraph">
    <w:name w:val=" Знак Знак Знак Знак Знак Знак"/>
    <w:basedOn w:val="Style_12"/>
    <w:link w:val="Style_15_ch"/>
    <w:pPr>
      <w:widowControl w:val="0"/>
      <w:spacing w:after="160" w:line="240" w:lineRule="exact"/>
      <w:ind/>
      <w:jc w:val="right"/>
    </w:pPr>
    <w:rPr>
      <w:rFonts w:ascii="Arial" w:hAnsi="Arial"/>
      <w:sz w:val="20"/>
    </w:rPr>
  </w:style>
  <w:style w:styleId="Style_15_ch" w:type="character">
    <w:name w:val=" Знак Знак Знак Знак Знак Знак"/>
    <w:basedOn w:val="Style_12_ch"/>
    <w:link w:val="Style_15"/>
    <w:rPr>
      <w:rFonts w:ascii="Arial" w:hAnsi="Arial"/>
      <w:sz w:val="20"/>
    </w:rPr>
  </w:style>
  <w:style w:styleId="Style_16" w:type="paragraph">
    <w:name w:val="toc 2"/>
    <w:next w:val="Style_12"/>
    <w:link w:val="Style_16_ch"/>
    <w:uiPriority w:val="39"/>
    <w:pPr>
      <w:widowControl w:val="1"/>
      <w:ind w:firstLine="0" w:left="200"/>
      <w:jc w:val="left"/>
    </w:pPr>
    <w:rPr>
      <w:rFonts w:ascii="XO Thames" w:hAnsi="XO Thames"/>
      <w:sz w:val="28"/>
    </w:rPr>
  </w:style>
  <w:style w:styleId="Style_16_ch" w:type="character">
    <w:name w:val="toc 2"/>
    <w:link w:val="Style_16"/>
    <w:rPr>
      <w:rFonts w:ascii="XO Thames" w:hAnsi="XO Thames"/>
      <w:sz w:val="28"/>
    </w:rPr>
  </w:style>
  <w:style w:styleId="Style_17" w:type="paragraph">
    <w:name w:val="Стиль2"/>
    <w:basedOn w:val="Style_18"/>
    <w:link w:val="Style_17_ch"/>
    <w:pPr>
      <w:keepNext w:val="1"/>
      <w:keepLines w:val="1"/>
      <w:widowControl w:val="1"/>
      <w:numPr>
        <w:ilvl w:val="1"/>
        <w:numId w:val="3"/>
      </w:numPr>
      <w:spacing w:after="60"/>
      <w:ind/>
      <w:jc w:val="both"/>
    </w:pPr>
    <w:rPr>
      <w:rFonts w:ascii="Times New Roman" w:hAnsi="Times New Roman"/>
      <w:b w:val="1"/>
      <w:sz w:val="24"/>
    </w:rPr>
  </w:style>
  <w:style w:styleId="Style_17_ch" w:type="character">
    <w:name w:val="Стиль2"/>
    <w:basedOn w:val="Style_18_ch"/>
    <w:link w:val="Style_17"/>
    <w:rPr>
      <w:rFonts w:ascii="Times New Roman" w:hAnsi="Times New Roman"/>
      <w:b w:val="1"/>
      <w:sz w:val="24"/>
    </w:rPr>
  </w:style>
  <w:style w:styleId="Style_19" w:type="paragraph">
    <w:name w:val="toc 4"/>
    <w:next w:val="Style_12"/>
    <w:link w:val="Style_19_ch"/>
    <w:uiPriority w:val="39"/>
    <w:pPr>
      <w:widowControl w:val="1"/>
      <w:ind w:firstLine="0" w:left="600"/>
      <w:jc w:val="left"/>
    </w:pPr>
    <w:rPr>
      <w:rFonts w:ascii="XO Thames" w:hAnsi="XO Thames"/>
      <w:sz w:val="28"/>
    </w:rPr>
  </w:style>
  <w:style w:styleId="Style_19_ch" w:type="character">
    <w:name w:val="toc 4"/>
    <w:link w:val="Style_19"/>
    <w:rPr>
      <w:rFonts w:ascii="XO Thames" w:hAnsi="XO Thames"/>
      <w:sz w:val="28"/>
    </w:rPr>
  </w:style>
  <w:style w:styleId="Style_20" w:type="paragraph">
    <w:name w:val="Знак Знак1 Знак Знак Знак Знак"/>
    <w:basedOn w:val="Style_12"/>
    <w:link w:val="Style_20_ch"/>
    <w:pPr>
      <w:widowControl w:val="0"/>
      <w:spacing w:after="160" w:line="240" w:lineRule="exact"/>
      <w:ind/>
      <w:jc w:val="right"/>
    </w:pPr>
    <w:rPr>
      <w:sz w:val="20"/>
    </w:rPr>
  </w:style>
  <w:style w:styleId="Style_20_ch" w:type="character">
    <w:name w:val="Знак Знак1 Знак Знак Знак Знак"/>
    <w:basedOn w:val="Style_12_ch"/>
    <w:link w:val="Style_20"/>
    <w:rPr>
      <w:sz w:val="20"/>
    </w:rPr>
  </w:style>
  <w:style w:styleId="Style_21" w:type="paragraph">
    <w:name w:val="heading 7"/>
    <w:basedOn w:val="Style_12"/>
    <w:next w:val="Style_12"/>
    <w:link w:val="Style_21_ch"/>
    <w:uiPriority w:val="9"/>
    <w:qFormat/>
    <w:pPr>
      <w:widowControl w:val="1"/>
      <w:spacing w:after="60" w:before="240"/>
      <w:ind/>
      <w:outlineLvl w:val="6"/>
    </w:pPr>
  </w:style>
  <w:style w:styleId="Style_21_ch" w:type="character">
    <w:name w:val="heading 7"/>
    <w:basedOn w:val="Style_12_ch"/>
    <w:link w:val="Style_21"/>
  </w:style>
  <w:style w:styleId="Style_22" w:type="paragraph">
    <w:name w:val="1 Знак Знак Знак Знак Знак Знак Знак Знак Знак Знак Знак Знак Знак Знак Знак Знак Знак Знак Знак Знак Знак Знак"/>
    <w:basedOn w:val="Style_12"/>
    <w:link w:val="Style_22_ch"/>
    <w:pPr>
      <w:widowControl w:val="0"/>
      <w:spacing w:after="160" w:line="240" w:lineRule="exact"/>
      <w:ind/>
      <w:jc w:val="right"/>
    </w:pPr>
    <w:rPr>
      <w:sz w:val="20"/>
    </w:rPr>
  </w:style>
  <w:style w:styleId="Style_22_ch" w:type="character">
    <w:name w:val="1 Знак Знак Знак Знак Знак Знак Знак Знак Знак Знак Знак Знак Знак Знак Знак Знак Знак Знак Знак Знак Знак Знак"/>
    <w:basedOn w:val="Style_12_ch"/>
    <w:link w:val="Style_22"/>
    <w:rPr>
      <w:sz w:val="20"/>
    </w:rPr>
  </w:style>
  <w:style w:styleId="Style_23" w:type="paragraph">
    <w:name w:val=" Знак Знак Знак Знак Знак Знак Знак Знак Знак Знак Знак"/>
    <w:basedOn w:val="Style_12"/>
    <w:link w:val="Style_23_ch"/>
    <w:pPr>
      <w:widowControl w:val="0"/>
      <w:spacing w:after="160" w:line="240" w:lineRule="exact"/>
      <w:ind/>
      <w:jc w:val="right"/>
    </w:pPr>
    <w:rPr>
      <w:sz w:val="20"/>
    </w:rPr>
  </w:style>
  <w:style w:styleId="Style_23_ch" w:type="character">
    <w:name w:val=" Знак Знак Знак Знак Знак Знак Знак Знак Знак Знак Знак"/>
    <w:basedOn w:val="Style_12_ch"/>
    <w:link w:val="Style_23"/>
    <w:rPr>
      <w:sz w:val="20"/>
    </w:rPr>
  </w:style>
  <w:style w:styleId="Style_24" w:type="paragraph">
    <w:name w:val="List Paragraph"/>
    <w:basedOn w:val="Style_12"/>
    <w:link w:val="Style_24_ch"/>
    <w:pPr>
      <w:widowControl w:val="0"/>
      <w:ind w:left="720"/>
      <w:contextualSpacing w:val="1"/>
    </w:pPr>
    <w:rPr>
      <w:rFonts w:ascii="Arial" w:hAnsi="Arial"/>
      <w:sz w:val="18"/>
    </w:rPr>
  </w:style>
  <w:style w:styleId="Style_24_ch" w:type="character">
    <w:name w:val="List Paragraph"/>
    <w:basedOn w:val="Style_12_ch"/>
    <w:link w:val="Style_24"/>
    <w:rPr>
      <w:rFonts w:ascii="Arial" w:hAnsi="Arial"/>
      <w:sz w:val="18"/>
    </w:rPr>
  </w:style>
  <w:style w:styleId="Style_25" w:type="paragraph">
    <w:name w:val="toc 6"/>
    <w:next w:val="Style_12"/>
    <w:link w:val="Style_25_ch"/>
    <w:uiPriority w:val="39"/>
    <w:pPr>
      <w:widowControl w:val="1"/>
      <w:ind w:firstLine="0" w:left="1000"/>
      <w:jc w:val="left"/>
    </w:pPr>
    <w:rPr>
      <w:rFonts w:ascii="XO Thames" w:hAnsi="XO Thames"/>
      <w:sz w:val="28"/>
    </w:rPr>
  </w:style>
  <w:style w:styleId="Style_25_ch" w:type="character">
    <w:name w:val="toc 6"/>
    <w:link w:val="Style_25"/>
    <w:rPr>
      <w:rFonts w:ascii="XO Thames" w:hAnsi="XO Thames"/>
      <w:sz w:val="28"/>
    </w:rPr>
  </w:style>
  <w:style w:styleId="Style_26" w:type="paragraph">
    <w:name w:val="toc 7"/>
    <w:next w:val="Style_12"/>
    <w:link w:val="Style_26_ch"/>
    <w:uiPriority w:val="39"/>
    <w:pPr>
      <w:widowControl w:val="1"/>
      <w:ind w:firstLine="0" w:left="1200"/>
      <w:jc w:val="left"/>
    </w:pPr>
    <w:rPr>
      <w:rFonts w:ascii="XO Thames" w:hAnsi="XO Thames"/>
      <w:sz w:val="28"/>
    </w:rPr>
  </w:style>
  <w:style w:styleId="Style_26_ch" w:type="character">
    <w:name w:val="toc 7"/>
    <w:link w:val="Style_26"/>
    <w:rPr>
      <w:rFonts w:ascii="XO Thames" w:hAnsi="XO Thames"/>
      <w:sz w:val="28"/>
    </w:rPr>
  </w:style>
  <w:style w:styleId="Style_27" w:type="paragraph">
    <w:name w:val="annotation text"/>
    <w:basedOn w:val="Style_12"/>
    <w:link w:val="Style_27_ch"/>
    <w:rPr>
      <w:sz w:val="20"/>
    </w:rPr>
  </w:style>
  <w:style w:styleId="Style_27_ch" w:type="character">
    <w:name w:val="annotation text"/>
    <w:basedOn w:val="Style_12_ch"/>
    <w:link w:val="Style_27"/>
    <w:rPr>
      <w:sz w:val="20"/>
    </w:rPr>
  </w:style>
  <w:style w:styleId="Style_3" w:type="paragraph">
    <w:name w:val="footer"/>
    <w:basedOn w:val="Style_12"/>
    <w:link w:val="Style_3_ch"/>
    <w:pPr>
      <w:widowControl w:val="1"/>
      <w:tabs>
        <w:tab w:leader="none" w:pos="4677" w:val="center"/>
        <w:tab w:leader="none" w:pos="9355" w:val="right"/>
      </w:tabs>
      <w:ind/>
    </w:pPr>
  </w:style>
  <w:style w:styleId="Style_3_ch" w:type="character">
    <w:name w:val="footer"/>
    <w:basedOn w:val="Style_12_ch"/>
    <w:link w:val="Style_3"/>
  </w:style>
  <w:style w:styleId="Style_28" w:type="paragraph">
    <w:name w:val="Body Text Indent 2"/>
    <w:basedOn w:val="Style_12"/>
    <w:link w:val="Style_28_ch"/>
    <w:pPr>
      <w:widowControl w:val="0"/>
      <w:spacing w:after="120" w:line="480" w:lineRule="auto"/>
      <w:ind w:left="283"/>
    </w:pPr>
    <w:rPr>
      <w:rFonts w:ascii="Arial" w:hAnsi="Arial"/>
      <w:sz w:val="18"/>
    </w:rPr>
  </w:style>
  <w:style w:styleId="Style_28_ch" w:type="character">
    <w:name w:val="Body Text Indent 2"/>
    <w:basedOn w:val="Style_12_ch"/>
    <w:link w:val="Style_28"/>
    <w:rPr>
      <w:rFonts w:ascii="Arial" w:hAnsi="Arial"/>
      <w:sz w:val="18"/>
    </w:rPr>
  </w:style>
  <w:style w:styleId="Style_29" w:type="paragraph">
    <w:name w:val=" Знак Знак Знак1 Знак Знак Знак Знак"/>
    <w:basedOn w:val="Style_12"/>
    <w:link w:val="Style_29_ch"/>
    <w:pPr>
      <w:widowControl w:val="0"/>
      <w:spacing w:after="160" w:line="240" w:lineRule="exact"/>
      <w:ind/>
      <w:jc w:val="right"/>
    </w:pPr>
    <w:rPr>
      <w:rFonts w:ascii="Arial" w:hAnsi="Arial"/>
      <w:sz w:val="20"/>
    </w:rPr>
  </w:style>
  <w:style w:styleId="Style_29_ch" w:type="character">
    <w:name w:val=" Знак Знак Знак1 Знак Знак Знак Знак"/>
    <w:basedOn w:val="Style_12_ch"/>
    <w:link w:val="Style_29"/>
    <w:rPr>
      <w:rFonts w:ascii="Arial" w:hAnsi="Arial"/>
      <w:sz w:val="20"/>
    </w:rPr>
  </w:style>
  <w:style w:styleId="Style_30" w:type="paragraph">
    <w:name w:val="Endnote"/>
    <w:link w:val="Style_30_ch"/>
    <w:pPr>
      <w:widowControl w:val="1"/>
      <w:ind w:firstLine="851" w:left="0"/>
      <w:jc w:val="both"/>
    </w:pPr>
    <w:rPr>
      <w:rFonts w:ascii="XO Thames" w:hAnsi="XO Thames"/>
      <w:sz w:val="22"/>
    </w:rPr>
  </w:style>
  <w:style w:styleId="Style_30_ch" w:type="character">
    <w:name w:val="Endnote"/>
    <w:link w:val="Style_30"/>
    <w:rPr>
      <w:rFonts w:ascii="XO Thames" w:hAnsi="XO Thames"/>
      <w:sz w:val="22"/>
    </w:rPr>
  </w:style>
  <w:style w:styleId="Style_31" w:type="paragraph">
    <w:name w:val="heading 3"/>
    <w:basedOn w:val="Style_12"/>
    <w:next w:val="Style_12"/>
    <w:link w:val="Style_31_ch"/>
    <w:uiPriority w:val="9"/>
    <w:qFormat/>
    <w:pPr>
      <w:keepNext w:val="1"/>
      <w:widowControl w:val="1"/>
      <w:ind/>
      <w:outlineLvl w:val="2"/>
    </w:pPr>
    <w:rPr>
      <w:b w:val="1"/>
    </w:rPr>
  </w:style>
  <w:style w:styleId="Style_31_ch" w:type="character">
    <w:name w:val="heading 3"/>
    <w:basedOn w:val="Style_12_ch"/>
    <w:link w:val="Style_31"/>
    <w:rPr>
      <w:b w:val="1"/>
    </w:rPr>
  </w:style>
  <w:style w:styleId="Style_32" w:type="paragraph">
    <w:name w:val="Balloon Text"/>
    <w:basedOn w:val="Style_12"/>
    <w:link w:val="Style_32_ch"/>
    <w:rPr>
      <w:rFonts w:ascii="Tahoma" w:hAnsi="Tahoma"/>
      <w:sz w:val="16"/>
    </w:rPr>
  </w:style>
  <w:style w:styleId="Style_32_ch" w:type="character">
    <w:name w:val="Balloon Text"/>
    <w:basedOn w:val="Style_12_ch"/>
    <w:link w:val="Style_32"/>
    <w:rPr>
      <w:rFonts w:ascii="Tahoma" w:hAnsi="Tahoma"/>
      <w:sz w:val="16"/>
    </w:rPr>
  </w:style>
  <w:style w:styleId="Style_33" w:type="paragraph">
    <w:name w:val="Char Знак Знак Знак Знак Знак Знак Знак Знак Знак Знак Знак"/>
    <w:basedOn w:val="Style_12"/>
    <w:link w:val="Style_33_ch"/>
    <w:pPr>
      <w:widowControl w:val="0"/>
      <w:spacing w:after="160" w:line="240" w:lineRule="exact"/>
      <w:ind/>
      <w:jc w:val="right"/>
    </w:pPr>
    <w:rPr>
      <w:sz w:val="20"/>
    </w:rPr>
  </w:style>
  <w:style w:styleId="Style_33_ch" w:type="character">
    <w:name w:val="Char Знак Знак Знак Знак Знак Знак Знак Знак Знак Знак Знак"/>
    <w:basedOn w:val="Style_12_ch"/>
    <w:link w:val="Style_33"/>
    <w:rPr>
      <w:sz w:val="20"/>
    </w:rPr>
  </w:style>
  <w:style w:styleId="Style_9" w:type="paragraph">
    <w:name w:val="Body Text 2"/>
    <w:basedOn w:val="Style_12"/>
    <w:link w:val="Style_9_ch"/>
    <w:pPr>
      <w:widowControl w:val="0"/>
      <w:spacing w:after="120" w:line="480" w:lineRule="auto"/>
      <w:ind/>
    </w:pPr>
    <w:rPr>
      <w:rFonts w:ascii="Arial" w:hAnsi="Arial"/>
      <w:sz w:val="18"/>
    </w:rPr>
  </w:style>
  <w:style w:styleId="Style_9_ch" w:type="character">
    <w:name w:val="Body Text 2"/>
    <w:basedOn w:val="Style_12_ch"/>
    <w:link w:val="Style_9"/>
    <w:rPr>
      <w:rFonts w:ascii="Arial" w:hAnsi="Arial"/>
      <w:sz w:val="18"/>
    </w:rPr>
  </w:style>
  <w:style w:styleId="Style_34" w:type="paragraph">
    <w:name w:val="Char Знак Знак Знак Знак Знак Знак Знак Знак Знак Знак Знак1"/>
    <w:basedOn w:val="Style_12"/>
    <w:link w:val="Style_34_ch"/>
    <w:pPr>
      <w:widowControl w:val="0"/>
      <w:spacing w:after="160" w:line="240" w:lineRule="exact"/>
      <w:ind/>
      <w:jc w:val="right"/>
    </w:pPr>
    <w:rPr>
      <w:sz w:val="20"/>
    </w:rPr>
  </w:style>
  <w:style w:styleId="Style_34_ch" w:type="character">
    <w:name w:val="Char Знак Знак Знак Знак Знак Знак Знак Знак Знак Знак Знак1"/>
    <w:basedOn w:val="Style_12_ch"/>
    <w:link w:val="Style_34"/>
    <w:rPr>
      <w:sz w:val="20"/>
    </w:rPr>
  </w:style>
  <w:style w:styleId="Style_35" w:type="paragraph">
    <w:name w:val="Стиль1"/>
    <w:basedOn w:val="Style_12"/>
    <w:link w:val="Style_35_ch"/>
    <w:pPr>
      <w:keepNext w:val="1"/>
      <w:keepLines w:val="1"/>
      <w:widowControl w:val="0"/>
      <w:numPr>
        <w:ilvl w:val="0"/>
        <w:numId w:val="3"/>
      </w:numPr>
      <w:spacing w:after="60"/>
      <w:ind/>
    </w:pPr>
    <w:rPr>
      <w:b w:val="1"/>
      <w:sz w:val="28"/>
    </w:rPr>
  </w:style>
  <w:style w:styleId="Style_35_ch" w:type="character">
    <w:name w:val="Стиль1"/>
    <w:basedOn w:val="Style_12_ch"/>
    <w:link w:val="Style_35"/>
    <w:rPr>
      <w:b w:val="1"/>
      <w:sz w:val="28"/>
    </w:rPr>
  </w:style>
  <w:style w:styleId="Style_36" w:type="paragraph">
    <w:name w:val="Стиль3"/>
    <w:basedOn w:val="Style_28"/>
    <w:link w:val="Style_36_ch"/>
    <w:pPr>
      <w:widowControl w:val="1"/>
      <w:numPr>
        <w:ilvl w:val="2"/>
        <w:numId w:val="3"/>
      </w:numPr>
      <w:spacing w:after="0" w:line="240" w:lineRule="auto"/>
      <w:ind/>
      <w:jc w:val="both"/>
    </w:pPr>
    <w:rPr>
      <w:rFonts w:ascii="Times New Roman" w:hAnsi="Times New Roman"/>
      <w:sz w:val="24"/>
    </w:rPr>
  </w:style>
  <w:style w:styleId="Style_36_ch" w:type="character">
    <w:name w:val="Стиль3"/>
    <w:basedOn w:val="Style_28_ch"/>
    <w:link w:val="Style_36"/>
    <w:rPr>
      <w:rFonts w:ascii="Times New Roman" w:hAnsi="Times New Roman"/>
      <w:sz w:val="24"/>
    </w:rPr>
  </w:style>
  <w:style w:styleId="Style_37" w:type="paragraph">
    <w:name w:val=" Знак3 Знак Знак Знак Знак Знак Знак"/>
    <w:basedOn w:val="Style_12"/>
    <w:link w:val="Style_37_ch"/>
    <w:pPr>
      <w:widowControl w:val="0"/>
      <w:spacing w:after="160" w:line="240" w:lineRule="exact"/>
      <w:ind/>
      <w:jc w:val="right"/>
    </w:pPr>
    <w:rPr>
      <w:rFonts w:ascii="Arial" w:hAnsi="Arial"/>
      <w:sz w:val="20"/>
    </w:rPr>
  </w:style>
  <w:style w:styleId="Style_37_ch" w:type="character">
    <w:name w:val=" Знак3 Знак Знак Знак Знак Знак Знак"/>
    <w:basedOn w:val="Style_12_ch"/>
    <w:link w:val="Style_37"/>
    <w:rPr>
      <w:rFonts w:ascii="Arial" w:hAnsi="Arial"/>
      <w:sz w:val="20"/>
    </w:rPr>
  </w:style>
  <w:style w:styleId="Style_38" w:type="paragraph">
    <w:name w:val="Body Text Indent 3"/>
    <w:basedOn w:val="Style_12"/>
    <w:link w:val="Style_38_ch"/>
    <w:pPr>
      <w:widowControl w:val="1"/>
      <w:spacing w:after="120"/>
      <w:ind w:left="283"/>
    </w:pPr>
    <w:rPr>
      <w:sz w:val="16"/>
    </w:rPr>
  </w:style>
  <w:style w:styleId="Style_38_ch" w:type="character">
    <w:name w:val="Body Text Indent 3"/>
    <w:basedOn w:val="Style_12_ch"/>
    <w:link w:val="Style_38"/>
    <w:rPr>
      <w:sz w:val="16"/>
    </w:rPr>
  </w:style>
  <w:style w:styleId="Style_39" w:type="paragraph">
    <w:name w:val=" Знак Знак Знак Знак1 Знак Знак Знак Знак Знак Знак"/>
    <w:basedOn w:val="Style_12"/>
    <w:link w:val="Style_39_ch"/>
    <w:pPr>
      <w:widowControl w:val="0"/>
      <w:spacing w:after="160" w:line="240" w:lineRule="exact"/>
      <w:ind/>
      <w:jc w:val="right"/>
    </w:pPr>
    <w:rPr>
      <w:rFonts w:ascii="Arial" w:hAnsi="Arial"/>
      <w:sz w:val="20"/>
    </w:rPr>
  </w:style>
  <w:style w:styleId="Style_39_ch" w:type="character">
    <w:name w:val=" Знак Знак Знак Знак1 Знак Знак Знак Знак Знак Знак"/>
    <w:basedOn w:val="Style_12_ch"/>
    <w:link w:val="Style_39"/>
    <w:rPr>
      <w:rFonts w:ascii="Arial" w:hAnsi="Arial"/>
      <w:sz w:val="20"/>
    </w:rPr>
  </w:style>
  <w:style w:styleId="Style_40" w:type="paragraph">
    <w:name w:val="heading 9"/>
    <w:basedOn w:val="Style_12"/>
    <w:next w:val="Style_12"/>
    <w:link w:val="Style_40_ch"/>
    <w:uiPriority w:val="9"/>
    <w:qFormat/>
    <w:pPr>
      <w:widowControl w:val="1"/>
      <w:spacing w:after="60" w:before="240"/>
      <w:ind/>
      <w:outlineLvl w:val="8"/>
    </w:pPr>
    <w:rPr>
      <w:rFonts w:ascii="Arial" w:hAnsi="Arial"/>
      <w:sz w:val="22"/>
    </w:rPr>
  </w:style>
  <w:style w:styleId="Style_40_ch" w:type="character">
    <w:name w:val="heading 9"/>
    <w:basedOn w:val="Style_12_ch"/>
    <w:link w:val="Style_40"/>
    <w:rPr>
      <w:rFonts w:ascii="Arial" w:hAnsi="Arial"/>
      <w:sz w:val="22"/>
    </w:rPr>
  </w:style>
  <w:style w:styleId="Style_41" w:type="paragraph">
    <w:name w:val="ConsNonformat"/>
    <w:link w:val="Style_41_ch"/>
    <w:pPr>
      <w:widowControl w:val="0"/>
      <w:ind w:right="19772"/>
    </w:pPr>
    <w:rPr>
      <w:rFonts w:ascii="Courier New" w:hAnsi="Courier New"/>
    </w:rPr>
  </w:style>
  <w:style w:styleId="Style_41_ch" w:type="character">
    <w:name w:val="ConsNonformat"/>
    <w:link w:val="Style_41"/>
    <w:rPr>
      <w:rFonts w:ascii="Courier New" w:hAnsi="Courier New"/>
    </w:rPr>
  </w:style>
  <w:style w:styleId="Style_42" w:type="paragraph">
    <w:name w:val=" Знак Знак Знак Знак Знак Знак Знак"/>
    <w:basedOn w:val="Style_12"/>
    <w:link w:val="Style_42_ch"/>
    <w:pPr>
      <w:widowControl w:val="0"/>
      <w:spacing w:after="160" w:line="240" w:lineRule="exact"/>
      <w:ind/>
      <w:jc w:val="right"/>
    </w:pPr>
    <w:rPr>
      <w:rFonts w:ascii="Arial" w:hAnsi="Arial"/>
      <w:sz w:val="20"/>
    </w:rPr>
  </w:style>
  <w:style w:styleId="Style_42_ch" w:type="character">
    <w:name w:val=" Знак Знак Знак Знак Знак Знак Знак"/>
    <w:basedOn w:val="Style_12_ch"/>
    <w:link w:val="Style_42"/>
    <w:rPr>
      <w:rFonts w:ascii="Arial" w:hAnsi="Arial"/>
      <w:sz w:val="20"/>
    </w:rPr>
  </w:style>
  <w:style w:styleId="Style_43" w:type="paragraph">
    <w:name w:val="Emphasis"/>
    <w:link w:val="Style_43_ch"/>
    <w:rPr>
      <w:b w:val="1"/>
    </w:rPr>
  </w:style>
  <w:style w:styleId="Style_43_ch" w:type="character">
    <w:name w:val="Emphasis"/>
    <w:link w:val="Style_43"/>
    <w:rPr>
      <w:b w:val="1"/>
    </w:rPr>
  </w:style>
  <w:style w:styleId="Style_44" w:type="paragraph">
    <w:name w:val=" Знак Знак1 Знак"/>
    <w:basedOn w:val="Style_12"/>
    <w:link w:val="Style_44_ch"/>
    <w:pPr>
      <w:widowControl w:val="0"/>
      <w:spacing w:after="160" w:line="240" w:lineRule="exact"/>
      <w:ind/>
      <w:jc w:val="right"/>
    </w:pPr>
    <w:rPr>
      <w:rFonts w:ascii="Arial" w:hAnsi="Arial"/>
      <w:sz w:val="20"/>
    </w:rPr>
  </w:style>
  <w:style w:styleId="Style_44_ch" w:type="character">
    <w:name w:val=" Знак Знак1 Знак"/>
    <w:basedOn w:val="Style_12_ch"/>
    <w:link w:val="Style_44"/>
    <w:rPr>
      <w:rFonts w:ascii="Arial" w:hAnsi="Arial"/>
      <w:sz w:val="20"/>
    </w:rPr>
  </w:style>
  <w:style w:styleId="Style_45" w:type="paragraph">
    <w:name w:val="Body Text 3"/>
    <w:basedOn w:val="Style_12"/>
    <w:link w:val="Style_45_ch"/>
    <w:pPr>
      <w:widowControl w:val="1"/>
      <w:tabs>
        <w:tab w:leader="none" w:pos="426" w:val="left"/>
      </w:tabs>
      <w:ind/>
      <w:jc w:val="both"/>
    </w:pPr>
    <w:rPr>
      <w:rFonts w:ascii="Arial" w:hAnsi="Arial"/>
    </w:rPr>
  </w:style>
  <w:style w:styleId="Style_45_ch" w:type="character">
    <w:name w:val="Body Text 3"/>
    <w:basedOn w:val="Style_12_ch"/>
    <w:link w:val="Style_45"/>
    <w:rPr>
      <w:rFonts w:ascii="Arial" w:hAnsi="Arial"/>
    </w:rPr>
  </w:style>
  <w:style w:styleId="Style_46" w:type="paragraph">
    <w:name w:val=" Знак Знак Знак Знак Знак Знак Знак Знак Знак"/>
    <w:basedOn w:val="Style_12"/>
    <w:link w:val="Style_46_ch"/>
    <w:pPr>
      <w:widowControl w:val="0"/>
      <w:spacing w:after="160" w:line="240" w:lineRule="exact"/>
      <w:ind/>
      <w:jc w:val="right"/>
    </w:pPr>
    <w:rPr>
      <w:rFonts w:ascii="Arial" w:hAnsi="Arial"/>
      <w:sz w:val="20"/>
    </w:rPr>
  </w:style>
  <w:style w:styleId="Style_46_ch" w:type="character">
    <w:name w:val=" Знак Знак Знак Знак Знак Знак Знак Знак Знак"/>
    <w:basedOn w:val="Style_12_ch"/>
    <w:link w:val="Style_46"/>
    <w:rPr>
      <w:rFonts w:ascii="Arial" w:hAnsi="Arial"/>
      <w:sz w:val="20"/>
    </w:rPr>
  </w:style>
  <w:style w:styleId="Style_1" w:type="paragraph">
    <w:name w:val="header"/>
    <w:basedOn w:val="Style_12"/>
    <w:link w:val="Style_1_ch"/>
    <w:pPr>
      <w:widowControl w:val="1"/>
      <w:tabs>
        <w:tab w:leader="none" w:pos="4677" w:val="center"/>
        <w:tab w:leader="none" w:pos="9355" w:val="right"/>
      </w:tabs>
      <w:ind/>
    </w:pPr>
  </w:style>
  <w:style w:styleId="Style_1_ch" w:type="character">
    <w:name w:val="header"/>
    <w:basedOn w:val="Style_12_ch"/>
    <w:link w:val="Style_1"/>
  </w:style>
  <w:style w:styleId="Style_47" w:type="paragraph">
    <w:name w:val=" Знак Знак Знак1 Знак"/>
    <w:basedOn w:val="Style_12"/>
    <w:link w:val="Style_47_ch"/>
    <w:pPr>
      <w:widowControl w:val="0"/>
      <w:spacing w:after="160" w:line="240" w:lineRule="exact"/>
      <w:ind/>
      <w:jc w:val="right"/>
    </w:pPr>
    <w:rPr>
      <w:rFonts w:ascii="Arial" w:hAnsi="Arial"/>
      <w:sz w:val="20"/>
    </w:rPr>
  </w:style>
  <w:style w:styleId="Style_47_ch" w:type="character">
    <w:name w:val=" Знак Знак Знак1 Знак"/>
    <w:basedOn w:val="Style_12_ch"/>
    <w:link w:val="Style_47"/>
    <w:rPr>
      <w:rFonts w:ascii="Arial" w:hAnsi="Arial"/>
      <w:sz w:val="20"/>
    </w:rPr>
  </w:style>
  <w:style w:styleId="Style_48" w:type="paragraph">
    <w:name w:val="Знак Знак2 Знак"/>
    <w:basedOn w:val="Style_12"/>
    <w:link w:val="Style_48_ch"/>
    <w:pPr>
      <w:widowControl w:val="0"/>
      <w:spacing w:after="160" w:line="240" w:lineRule="exact"/>
      <w:ind/>
      <w:jc w:val="right"/>
    </w:pPr>
    <w:rPr>
      <w:sz w:val="20"/>
    </w:rPr>
  </w:style>
  <w:style w:styleId="Style_48_ch" w:type="character">
    <w:name w:val="Знак Знак2 Знак"/>
    <w:basedOn w:val="Style_12_ch"/>
    <w:link w:val="Style_48"/>
    <w:rPr>
      <w:sz w:val="20"/>
    </w:rPr>
  </w:style>
  <w:style w:styleId="Style_49" w:type="paragraph">
    <w:name w:val=" Знак Знак Знак1"/>
    <w:basedOn w:val="Style_12"/>
    <w:link w:val="Style_49_ch"/>
    <w:pPr>
      <w:widowControl w:val="0"/>
      <w:spacing w:after="160" w:line="240" w:lineRule="exact"/>
      <w:ind/>
      <w:jc w:val="right"/>
    </w:pPr>
    <w:rPr>
      <w:rFonts w:ascii="Arial" w:hAnsi="Arial"/>
      <w:sz w:val="20"/>
    </w:rPr>
  </w:style>
  <w:style w:styleId="Style_49_ch" w:type="character">
    <w:name w:val=" Знак Знак Знак1"/>
    <w:basedOn w:val="Style_12_ch"/>
    <w:link w:val="Style_49"/>
    <w:rPr>
      <w:rFonts w:ascii="Arial" w:hAnsi="Arial"/>
      <w:sz w:val="20"/>
    </w:rPr>
  </w:style>
  <w:style w:styleId="Style_18" w:type="paragraph">
    <w:name w:val="List Number 2"/>
    <w:basedOn w:val="Style_12"/>
    <w:link w:val="Style_18_ch"/>
    <w:pPr>
      <w:widowControl w:val="0"/>
      <w:numPr>
        <w:ilvl w:val="0"/>
        <w:numId w:val="4"/>
      </w:numPr>
      <w:ind/>
    </w:pPr>
    <w:rPr>
      <w:rFonts w:ascii="Arial" w:hAnsi="Arial"/>
      <w:sz w:val="18"/>
    </w:rPr>
  </w:style>
  <w:style w:styleId="Style_18_ch" w:type="character">
    <w:name w:val="List Number 2"/>
    <w:basedOn w:val="Style_12_ch"/>
    <w:link w:val="Style_18"/>
    <w:rPr>
      <w:rFonts w:ascii="Arial" w:hAnsi="Arial"/>
      <w:sz w:val="18"/>
    </w:rPr>
  </w:style>
  <w:style w:styleId="Style_50" w:type="paragraph">
    <w:name w:val=" Знак3 Знак Знак"/>
    <w:basedOn w:val="Style_12"/>
    <w:link w:val="Style_50_ch"/>
    <w:pPr>
      <w:widowControl w:val="0"/>
      <w:spacing w:after="160" w:line="240" w:lineRule="exact"/>
      <w:ind/>
      <w:jc w:val="right"/>
    </w:pPr>
    <w:rPr>
      <w:rFonts w:ascii="Arial" w:hAnsi="Arial"/>
      <w:sz w:val="20"/>
    </w:rPr>
  </w:style>
  <w:style w:styleId="Style_50_ch" w:type="character">
    <w:name w:val=" Знак3 Знак Знак"/>
    <w:basedOn w:val="Style_12_ch"/>
    <w:link w:val="Style_50"/>
    <w:rPr>
      <w:rFonts w:ascii="Arial" w:hAnsi="Arial"/>
      <w:sz w:val="20"/>
    </w:rPr>
  </w:style>
  <w:style w:styleId="Style_51" w:type="paragraph">
    <w:name w:val="toc 3"/>
    <w:next w:val="Style_12"/>
    <w:link w:val="Style_51_ch"/>
    <w:uiPriority w:val="39"/>
    <w:pPr>
      <w:widowControl w:val="1"/>
      <w:ind w:firstLine="0" w:left="400"/>
      <w:jc w:val="left"/>
    </w:pPr>
    <w:rPr>
      <w:rFonts w:ascii="XO Thames" w:hAnsi="XO Thames"/>
      <w:sz w:val="28"/>
    </w:rPr>
  </w:style>
  <w:style w:styleId="Style_51_ch" w:type="character">
    <w:name w:val="toc 3"/>
    <w:link w:val="Style_51"/>
    <w:rPr>
      <w:rFonts w:ascii="XO Thames" w:hAnsi="XO Thames"/>
      <w:sz w:val="28"/>
    </w:rPr>
  </w:style>
  <w:style w:styleId="Style_52" w:type="paragraph">
    <w:name w:val=" Знак3"/>
    <w:basedOn w:val="Style_12"/>
    <w:link w:val="Style_52_ch"/>
    <w:pPr>
      <w:widowControl w:val="0"/>
      <w:spacing w:after="160" w:line="240" w:lineRule="exact"/>
      <w:ind/>
      <w:jc w:val="right"/>
    </w:pPr>
    <w:rPr>
      <w:sz w:val="20"/>
    </w:rPr>
  </w:style>
  <w:style w:styleId="Style_52_ch" w:type="character">
    <w:name w:val=" Знак3"/>
    <w:basedOn w:val="Style_12_ch"/>
    <w:link w:val="Style_52"/>
    <w:rPr>
      <w:sz w:val="20"/>
    </w:rPr>
  </w:style>
  <w:style w:styleId="Style_7" w:type="paragraph">
    <w:name w:val="Body Text Indent"/>
    <w:basedOn w:val="Style_12"/>
    <w:link w:val="Style_7_ch"/>
    <w:pPr>
      <w:widowControl w:val="1"/>
      <w:spacing w:after="120"/>
      <w:ind w:left="283"/>
    </w:pPr>
  </w:style>
  <w:style w:styleId="Style_7_ch" w:type="character">
    <w:name w:val="Body Text Indent"/>
    <w:basedOn w:val="Style_12_ch"/>
    <w:link w:val="Style_7"/>
  </w:style>
  <w:style w:styleId="Style_53" w:type="paragraph">
    <w:name w:val=" Знак Знак Знак Знак Знак Знак Знак Знак Знак Знак Знак Знак Знак Знак Знак Знак Знак Знак Знак Знак"/>
    <w:basedOn w:val="Style_12"/>
    <w:link w:val="Style_53_ch"/>
    <w:pPr>
      <w:widowControl w:val="0"/>
      <w:spacing w:after="160" w:line="240" w:lineRule="exact"/>
      <w:ind/>
      <w:jc w:val="right"/>
    </w:pPr>
    <w:rPr>
      <w:sz w:val="20"/>
    </w:rPr>
  </w:style>
  <w:style w:styleId="Style_53_ch" w:type="character">
    <w:name w:val=" Знак Знак Знак Знак Знак Знак Знак Знак Знак Знак Знак Знак Знак Знак Знак Знак Знак Знак Знак Знак"/>
    <w:basedOn w:val="Style_12_ch"/>
    <w:link w:val="Style_53"/>
    <w:rPr>
      <w:sz w:val="20"/>
    </w:rPr>
  </w:style>
  <w:style w:styleId="Style_54" w:type="paragraph">
    <w:name w:val="Char Знак Знак Знак Знак Знак Знак Знак Знак Знак Знак Знак Знак Знак Знак Знак"/>
    <w:basedOn w:val="Style_12"/>
    <w:link w:val="Style_54_ch"/>
    <w:pPr>
      <w:widowControl w:val="0"/>
      <w:spacing w:after="160" w:line="240" w:lineRule="exact"/>
      <w:ind/>
      <w:jc w:val="right"/>
    </w:pPr>
    <w:rPr>
      <w:sz w:val="20"/>
    </w:rPr>
  </w:style>
  <w:style w:styleId="Style_54_ch" w:type="character">
    <w:name w:val="Char Знак Знак Знак Знак Знак Знак Знак Знак Знак Знак Знак Знак Знак Знак Знак"/>
    <w:basedOn w:val="Style_12_ch"/>
    <w:link w:val="Style_54"/>
    <w:rPr>
      <w:sz w:val="20"/>
    </w:rPr>
  </w:style>
  <w:style w:styleId="Style_55" w:type="paragraph">
    <w:name w:val="Strong"/>
    <w:link w:val="Style_55_ch"/>
    <w:rPr>
      <w:b w:val="1"/>
    </w:rPr>
  </w:style>
  <w:style w:styleId="Style_55_ch" w:type="character">
    <w:name w:val="Strong"/>
    <w:link w:val="Style_55"/>
    <w:rPr>
      <w:b w:val="1"/>
    </w:rPr>
  </w:style>
  <w:style w:styleId="Style_56" w:type="paragraph">
    <w:name w:val=" Знак Знак Знак Знак1 Знак Знак"/>
    <w:basedOn w:val="Style_12"/>
    <w:link w:val="Style_56_ch"/>
    <w:pPr>
      <w:widowControl w:val="0"/>
      <w:spacing w:after="160" w:line="240" w:lineRule="exact"/>
      <w:ind/>
      <w:jc w:val="right"/>
    </w:pPr>
    <w:rPr>
      <w:rFonts w:ascii="Arial" w:hAnsi="Arial"/>
      <w:sz w:val="20"/>
    </w:rPr>
  </w:style>
  <w:style w:styleId="Style_56_ch" w:type="character">
    <w:name w:val=" Знак Знак Знак Знак1 Знак Знак"/>
    <w:basedOn w:val="Style_12_ch"/>
    <w:link w:val="Style_56"/>
    <w:rPr>
      <w:rFonts w:ascii="Arial" w:hAnsi="Arial"/>
      <w:sz w:val="20"/>
    </w:rPr>
  </w:style>
  <w:style w:styleId="Style_57" w:type="paragraph">
    <w:name w:val="Стиль текста"/>
    <w:basedOn w:val="Style_58"/>
    <w:link w:val="Style_57_ch"/>
    <w:pPr>
      <w:keepLines w:val="1"/>
      <w:widowControl w:val="1"/>
      <w:spacing w:after="60" w:before="60"/>
      <w:ind/>
      <w:jc w:val="both"/>
    </w:pPr>
    <w:rPr>
      <w:rFonts w:ascii="Times New Roman" w:hAnsi="Times New Roman"/>
      <w:sz w:val="24"/>
    </w:rPr>
  </w:style>
  <w:style w:styleId="Style_57_ch" w:type="character">
    <w:name w:val="Стиль текста"/>
    <w:basedOn w:val="Style_58_ch"/>
    <w:link w:val="Style_57"/>
    <w:rPr>
      <w:rFonts w:ascii="Times New Roman" w:hAnsi="Times New Roman"/>
      <w:sz w:val="24"/>
    </w:rPr>
  </w:style>
  <w:style w:styleId="Style_59" w:type="paragraph">
    <w:name w:val="heading 5"/>
    <w:basedOn w:val="Style_12"/>
    <w:next w:val="Style_12"/>
    <w:link w:val="Style_59_ch"/>
    <w:uiPriority w:val="9"/>
    <w:qFormat/>
    <w:pPr>
      <w:keepNext w:val="1"/>
      <w:widowControl w:val="1"/>
      <w:ind w:right="-43"/>
      <w:jc w:val="center"/>
      <w:outlineLvl w:val="4"/>
    </w:pPr>
    <w:rPr>
      <w:b w:val="1"/>
    </w:rPr>
  </w:style>
  <w:style w:styleId="Style_59_ch" w:type="character">
    <w:name w:val="heading 5"/>
    <w:basedOn w:val="Style_12_ch"/>
    <w:link w:val="Style_59"/>
    <w:rPr>
      <w:b w:val="1"/>
    </w:rPr>
  </w:style>
  <w:style w:styleId="Style_60" w:type="paragraph">
    <w:name w:val="Body Text 3"/>
    <w:basedOn w:val="Style_12"/>
    <w:link w:val="Style_60_ch"/>
    <w:pPr>
      <w:widowControl w:val="1"/>
      <w:spacing w:after="120"/>
      <w:ind/>
    </w:pPr>
    <w:rPr>
      <w:sz w:val="16"/>
    </w:rPr>
  </w:style>
  <w:style w:styleId="Style_60_ch" w:type="character">
    <w:name w:val="Body Text 3"/>
    <w:basedOn w:val="Style_12_ch"/>
    <w:link w:val="Style_60"/>
    <w:rPr>
      <w:sz w:val="16"/>
    </w:rPr>
  </w:style>
  <w:style w:styleId="Style_61" w:type="paragraph">
    <w:name w:val="heading 1"/>
    <w:basedOn w:val="Style_12"/>
    <w:next w:val="Style_12"/>
    <w:link w:val="Style_61_ch"/>
    <w:uiPriority w:val="9"/>
    <w:qFormat/>
    <w:pPr>
      <w:keepNext w:val="1"/>
      <w:widowControl w:val="1"/>
      <w:ind w:right="-365"/>
      <w:jc w:val="center"/>
      <w:outlineLvl w:val="0"/>
    </w:pPr>
    <w:rPr>
      <w:b w:val="1"/>
    </w:rPr>
  </w:style>
  <w:style w:styleId="Style_61_ch" w:type="character">
    <w:name w:val="heading 1"/>
    <w:basedOn w:val="Style_12_ch"/>
    <w:link w:val="Style_61"/>
    <w:rPr>
      <w:b w:val="1"/>
    </w:rPr>
  </w:style>
  <w:style w:styleId="Style_62" w:type="paragraph">
    <w:name w:val=" Знак"/>
    <w:basedOn w:val="Style_12"/>
    <w:link w:val="Style_62_ch"/>
    <w:pPr>
      <w:widowControl w:val="0"/>
      <w:spacing w:after="160" w:line="240" w:lineRule="exact"/>
      <w:ind/>
      <w:jc w:val="right"/>
    </w:pPr>
    <w:rPr>
      <w:rFonts w:ascii="Arial" w:hAnsi="Arial"/>
      <w:sz w:val="20"/>
    </w:rPr>
  </w:style>
  <w:style w:styleId="Style_62_ch" w:type="character">
    <w:name w:val=" Знак"/>
    <w:basedOn w:val="Style_12_ch"/>
    <w:link w:val="Style_62"/>
    <w:rPr>
      <w:rFonts w:ascii="Arial" w:hAnsi="Arial"/>
      <w:sz w:val="20"/>
    </w:rPr>
  </w:style>
  <w:style w:styleId="Style_63" w:type="paragraph">
    <w:name w:val="Block Text"/>
    <w:basedOn w:val="Style_12"/>
    <w:link w:val="Style_63_ch"/>
    <w:pPr>
      <w:widowControl w:val="1"/>
      <w:ind w:left="-1080" w:right="-365"/>
    </w:pPr>
  </w:style>
  <w:style w:styleId="Style_63_ch" w:type="character">
    <w:name w:val="Block Text"/>
    <w:basedOn w:val="Style_12_ch"/>
    <w:link w:val="Style_63"/>
  </w:style>
  <w:style w:styleId="Style_10" w:type="paragraph">
    <w:name w:val="Default"/>
    <w:link w:val="Style_10_ch"/>
    <w:rPr>
      <w:color w:val="000000"/>
      <w:sz w:val="24"/>
    </w:rPr>
  </w:style>
  <w:style w:styleId="Style_10_ch" w:type="character">
    <w:name w:val="Default"/>
    <w:link w:val="Style_10"/>
    <w:rPr>
      <w:color w:val="000000"/>
      <w:sz w:val="24"/>
    </w:rPr>
  </w:style>
  <w:style w:styleId="Style_64" w:type="paragraph">
    <w:name w:val=" Знак Знак Знак Знак Знак1"/>
    <w:basedOn w:val="Style_12"/>
    <w:link w:val="Style_64_ch"/>
    <w:pPr>
      <w:widowControl w:val="0"/>
      <w:spacing w:after="160" w:line="240" w:lineRule="exact"/>
      <w:ind/>
      <w:jc w:val="right"/>
    </w:pPr>
    <w:rPr>
      <w:sz w:val="20"/>
    </w:rPr>
  </w:style>
  <w:style w:styleId="Style_64_ch" w:type="character">
    <w:name w:val=" Знак Знак Знак Знак Знак1"/>
    <w:basedOn w:val="Style_12_ch"/>
    <w:link w:val="Style_64"/>
    <w:rPr>
      <w:sz w:val="20"/>
    </w:rPr>
  </w:style>
  <w:style w:styleId="Style_65" w:type="paragraph">
    <w:name w:val="Preformat"/>
    <w:link w:val="Style_65_ch"/>
    <w:rPr>
      <w:rFonts w:ascii="Courier New" w:hAnsi="Courier New"/>
    </w:rPr>
  </w:style>
  <w:style w:styleId="Style_65_ch" w:type="character">
    <w:name w:val="Preformat"/>
    <w:link w:val="Style_65"/>
    <w:rPr>
      <w:rFonts w:ascii="Courier New" w:hAnsi="Courier New"/>
    </w:rPr>
  </w:style>
  <w:style w:styleId="Style_66" w:type="paragraph">
    <w:name w:val=" Знак3 Знак Знак Знак Знак Знак"/>
    <w:basedOn w:val="Style_12"/>
    <w:link w:val="Style_66_ch"/>
    <w:pPr>
      <w:widowControl w:val="0"/>
      <w:spacing w:after="160" w:line="240" w:lineRule="exact"/>
      <w:ind/>
      <w:jc w:val="right"/>
    </w:pPr>
    <w:rPr>
      <w:sz w:val="20"/>
    </w:rPr>
  </w:style>
  <w:style w:styleId="Style_66_ch" w:type="character">
    <w:name w:val=" Знак3 Знак Знак Знак Знак Знак"/>
    <w:basedOn w:val="Style_12_ch"/>
    <w:link w:val="Style_66"/>
    <w:rPr>
      <w:sz w:val="20"/>
    </w:rPr>
  </w:style>
  <w:style w:styleId="Style_67" w:type="paragraph">
    <w:name w:val="Hyperlink"/>
    <w:link w:val="Style_67_ch"/>
    <w:rPr>
      <w:color w:val="0000FF"/>
      <w:u w:val="single"/>
    </w:rPr>
  </w:style>
  <w:style w:styleId="Style_67_ch" w:type="character">
    <w:name w:val="Hyperlink"/>
    <w:link w:val="Style_67"/>
    <w:rPr>
      <w:color w:val="0000FF"/>
      <w:u w:val="single"/>
    </w:rPr>
  </w:style>
  <w:style w:styleId="Style_4" w:type="paragraph">
    <w:name w:val="Footnote"/>
    <w:basedOn w:val="Style_12"/>
    <w:link w:val="Style_4_ch"/>
    <w:rPr>
      <w:sz w:val="20"/>
    </w:rPr>
  </w:style>
  <w:style w:styleId="Style_4_ch" w:type="character">
    <w:name w:val="Footnote"/>
    <w:basedOn w:val="Style_12_ch"/>
    <w:link w:val="Style_4"/>
    <w:rPr>
      <w:sz w:val="20"/>
    </w:rPr>
  </w:style>
  <w:style w:styleId="Style_68" w:type="paragraph">
    <w:name w:val=" Знак1"/>
    <w:basedOn w:val="Style_12"/>
    <w:link w:val="Style_68_ch"/>
    <w:pPr>
      <w:widowControl w:val="0"/>
      <w:spacing w:after="160" w:line="240" w:lineRule="exact"/>
      <w:ind/>
      <w:jc w:val="right"/>
    </w:pPr>
    <w:rPr>
      <w:rFonts w:ascii="Arial" w:hAnsi="Arial"/>
      <w:sz w:val="20"/>
    </w:rPr>
  </w:style>
  <w:style w:styleId="Style_68_ch" w:type="character">
    <w:name w:val=" Знак1"/>
    <w:basedOn w:val="Style_12_ch"/>
    <w:link w:val="Style_68"/>
    <w:rPr>
      <w:rFonts w:ascii="Arial" w:hAnsi="Arial"/>
      <w:sz w:val="20"/>
    </w:rPr>
  </w:style>
  <w:style w:styleId="Style_69" w:type="paragraph">
    <w:name w:val="toc 1"/>
    <w:next w:val="Style_12"/>
    <w:link w:val="Style_69_ch"/>
    <w:uiPriority w:val="39"/>
    <w:pPr>
      <w:widowControl w:val="1"/>
      <w:ind w:firstLine="0" w:left="0"/>
      <w:jc w:val="left"/>
    </w:pPr>
    <w:rPr>
      <w:rFonts w:ascii="XO Thames" w:hAnsi="XO Thames"/>
      <w:b w:val="1"/>
      <w:sz w:val="28"/>
    </w:rPr>
  </w:style>
  <w:style w:styleId="Style_69_ch" w:type="character">
    <w:name w:val="toc 1"/>
    <w:link w:val="Style_69"/>
    <w:rPr>
      <w:rFonts w:ascii="XO Thames" w:hAnsi="XO Thames"/>
      <w:b w:val="1"/>
      <w:sz w:val="28"/>
    </w:rPr>
  </w:style>
  <w:style w:styleId="Style_2" w:type="paragraph">
    <w:name w:val="page number"/>
    <w:basedOn w:val="Style_70"/>
    <w:link w:val="Style_2_ch"/>
  </w:style>
  <w:style w:styleId="Style_2_ch" w:type="character">
    <w:name w:val="page number"/>
    <w:basedOn w:val="Style_70_ch"/>
    <w:link w:val="Style_2"/>
  </w:style>
  <w:style w:styleId="Style_71" w:type="paragraph">
    <w:name w:val="Header and Footer"/>
    <w:link w:val="Style_71_ch"/>
    <w:pPr>
      <w:widowControl w:val="1"/>
      <w:spacing w:line="240" w:lineRule="auto"/>
      <w:ind/>
      <w:jc w:val="both"/>
    </w:pPr>
    <w:rPr>
      <w:rFonts w:ascii="XO Thames" w:hAnsi="XO Thames"/>
      <w:sz w:val="28"/>
    </w:rPr>
  </w:style>
  <w:style w:styleId="Style_71_ch" w:type="character">
    <w:name w:val="Header and Footer"/>
    <w:link w:val="Style_71"/>
    <w:rPr>
      <w:rFonts w:ascii="XO Thames" w:hAnsi="XO Thames"/>
      <w:sz w:val="28"/>
    </w:rPr>
  </w:style>
  <w:style w:styleId="Style_72" w:type="paragraph">
    <w:name w:val=" Знак Знак Знак Знак Знак Знак Знак Знак1 Знак"/>
    <w:basedOn w:val="Style_12"/>
    <w:link w:val="Style_72_ch"/>
    <w:pPr>
      <w:widowControl w:val="0"/>
      <w:spacing w:after="160" w:line="240" w:lineRule="exact"/>
      <w:ind/>
      <w:jc w:val="right"/>
    </w:pPr>
    <w:rPr>
      <w:sz w:val="20"/>
    </w:rPr>
  </w:style>
  <w:style w:styleId="Style_72_ch" w:type="character">
    <w:name w:val=" Знак Знак Знак Знак Знак Знак Знак Знак1 Знак"/>
    <w:basedOn w:val="Style_12_ch"/>
    <w:link w:val="Style_72"/>
    <w:rPr>
      <w:sz w:val="20"/>
    </w:rPr>
  </w:style>
  <w:style w:styleId="Style_73" w:type="paragraph">
    <w:name w:val="Основной текст1"/>
    <w:basedOn w:val="Style_12"/>
    <w:link w:val="Style_73_ch"/>
    <w:pPr>
      <w:widowControl w:val="1"/>
      <w:spacing w:line="360" w:lineRule="auto"/>
      <w:ind/>
      <w:jc w:val="both"/>
    </w:pPr>
    <w:rPr>
      <w:sz w:val="28"/>
    </w:rPr>
  </w:style>
  <w:style w:styleId="Style_73_ch" w:type="character">
    <w:name w:val="Основной текст1"/>
    <w:basedOn w:val="Style_12_ch"/>
    <w:link w:val="Style_73"/>
    <w:rPr>
      <w:sz w:val="28"/>
    </w:rPr>
  </w:style>
  <w:style w:styleId="Style_74" w:type="paragraph">
    <w:name w:val="Знак Знак Знак Знак Знак Знак Знак"/>
    <w:basedOn w:val="Style_12"/>
    <w:link w:val="Style_74_ch"/>
    <w:pPr>
      <w:widowControl w:val="0"/>
      <w:spacing w:after="160" w:line="240" w:lineRule="exact"/>
      <w:ind/>
      <w:jc w:val="right"/>
    </w:pPr>
    <w:rPr>
      <w:rFonts w:ascii="Arial" w:hAnsi="Arial"/>
      <w:sz w:val="20"/>
    </w:rPr>
  </w:style>
  <w:style w:styleId="Style_74_ch" w:type="character">
    <w:name w:val="Знак Знак Знак Знак Знак Знак Знак"/>
    <w:basedOn w:val="Style_12_ch"/>
    <w:link w:val="Style_74"/>
    <w:rPr>
      <w:rFonts w:ascii="Arial" w:hAnsi="Arial"/>
      <w:sz w:val="20"/>
    </w:rPr>
  </w:style>
  <w:style w:styleId="Style_75" w:type="paragraph">
    <w:name w:val="Char Знак Знак Знак Знак Знак Знак"/>
    <w:basedOn w:val="Style_12"/>
    <w:link w:val="Style_75_ch"/>
    <w:pPr>
      <w:widowControl w:val="0"/>
      <w:spacing w:after="160" w:line="240" w:lineRule="exact"/>
      <w:ind/>
      <w:jc w:val="right"/>
    </w:pPr>
    <w:rPr>
      <w:sz w:val="20"/>
    </w:rPr>
  </w:style>
  <w:style w:styleId="Style_75_ch" w:type="character">
    <w:name w:val="Char Знак Знак Знак Знак Знак Знак"/>
    <w:basedOn w:val="Style_12_ch"/>
    <w:link w:val="Style_75"/>
    <w:rPr>
      <w:sz w:val="20"/>
    </w:rPr>
  </w:style>
  <w:style w:styleId="Style_76" w:type="paragraph">
    <w:name w:val="Char Знак Знак Знак Знак Знак Знак Знак Знак Знак Знак Знак Знак Знак Знак"/>
    <w:basedOn w:val="Style_12"/>
    <w:link w:val="Style_76_ch"/>
    <w:pPr>
      <w:widowControl w:val="0"/>
      <w:spacing w:after="160" w:line="240" w:lineRule="exact"/>
      <w:ind/>
      <w:jc w:val="right"/>
    </w:pPr>
    <w:rPr>
      <w:sz w:val="20"/>
    </w:rPr>
  </w:style>
  <w:style w:styleId="Style_76_ch" w:type="character">
    <w:name w:val="Char Знак Знак Знак Знак Знак Знак Знак Знак Знак Знак Знак Знак Знак Знак"/>
    <w:basedOn w:val="Style_12_ch"/>
    <w:link w:val="Style_76"/>
    <w:rPr>
      <w:sz w:val="20"/>
    </w:rPr>
  </w:style>
  <w:style w:styleId="Style_77" w:type="paragraph">
    <w:name w:val="toc 9"/>
    <w:next w:val="Style_12"/>
    <w:link w:val="Style_77_ch"/>
    <w:uiPriority w:val="39"/>
    <w:pPr>
      <w:widowControl w:val="1"/>
      <w:ind w:firstLine="0" w:left="1600"/>
      <w:jc w:val="left"/>
    </w:pPr>
    <w:rPr>
      <w:rFonts w:ascii="XO Thames" w:hAnsi="XO Thames"/>
      <w:sz w:val="28"/>
    </w:rPr>
  </w:style>
  <w:style w:styleId="Style_77_ch" w:type="character">
    <w:name w:val="toc 9"/>
    <w:link w:val="Style_77"/>
    <w:rPr>
      <w:rFonts w:ascii="XO Thames" w:hAnsi="XO Thames"/>
      <w:sz w:val="28"/>
    </w:rPr>
  </w:style>
  <w:style w:styleId="Style_78" w:type="paragraph">
    <w:name w:val=" Знак Знак Знак Знак1 Знак Знак Знак Знак Знак"/>
    <w:basedOn w:val="Style_12"/>
    <w:link w:val="Style_78_ch"/>
    <w:pPr>
      <w:widowControl w:val="0"/>
      <w:spacing w:after="160" w:line="240" w:lineRule="exact"/>
      <w:ind/>
      <w:jc w:val="right"/>
    </w:pPr>
    <w:rPr>
      <w:rFonts w:ascii="Arial" w:hAnsi="Arial"/>
      <w:sz w:val="20"/>
    </w:rPr>
  </w:style>
  <w:style w:styleId="Style_78_ch" w:type="character">
    <w:name w:val=" Знак Знак Знак Знак1 Знак Знак Знак Знак Знак"/>
    <w:basedOn w:val="Style_12_ch"/>
    <w:link w:val="Style_78"/>
    <w:rPr>
      <w:rFonts w:ascii="Arial" w:hAnsi="Arial"/>
      <w:sz w:val="20"/>
    </w:rPr>
  </w:style>
  <w:style w:styleId="Style_79" w:type="paragraph">
    <w:name w:val=" Знак Знак Знак Знак Знак Знак Знак Знак Знак Знак Знак Знак Знак Знак Знак Знак Знак"/>
    <w:basedOn w:val="Style_12"/>
    <w:link w:val="Style_79_ch"/>
    <w:pPr>
      <w:widowControl w:val="0"/>
      <w:spacing w:after="160" w:line="240" w:lineRule="exact"/>
      <w:ind/>
      <w:jc w:val="right"/>
    </w:pPr>
    <w:rPr>
      <w:sz w:val="20"/>
    </w:rPr>
  </w:style>
  <w:style w:styleId="Style_79_ch" w:type="character">
    <w:name w:val=" Знак Знак Знак Знак Знак Знак Знак Знак Знак Знак Знак Знак Знак Знак Знак Знак Знак"/>
    <w:basedOn w:val="Style_12_ch"/>
    <w:link w:val="Style_79"/>
    <w:rPr>
      <w:sz w:val="20"/>
    </w:rPr>
  </w:style>
  <w:style w:styleId="Style_80" w:type="paragraph">
    <w:name w:val=" Знак Знак Знак Знак Знак2 Знак Знак Знак Знак Знак Знак Знак Знак"/>
    <w:basedOn w:val="Style_12"/>
    <w:link w:val="Style_80_ch"/>
    <w:pPr>
      <w:widowControl w:val="0"/>
      <w:spacing w:after="160" w:line="240" w:lineRule="exact"/>
      <w:ind/>
      <w:jc w:val="right"/>
    </w:pPr>
    <w:rPr>
      <w:rFonts w:ascii="Arial" w:hAnsi="Arial"/>
      <w:sz w:val="20"/>
    </w:rPr>
  </w:style>
  <w:style w:styleId="Style_80_ch" w:type="character">
    <w:name w:val=" Знак Знак Знак Знак Знак2 Знак Знак Знак Знак Знак Знак Знак Знак"/>
    <w:basedOn w:val="Style_12_ch"/>
    <w:link w:val="Style_80"/>
    <w:rPr>
      <w:rFonts w:ascii="Arial" w:hAnsi="Arial"/>
      <w:sz w:val="20"/>
    </w:rPr>
  </w:style>
  <w:style w:styleId="Style_81" w:type="paragraph">
    <w:name w:val="layout"/>
    <w:link w:val="Style_81_ch"/>
  </w:style>
  <w:style w:styleId="Style_81_ch" w:type="character">
    <w:name w:val="layout"/>
    <w:link w:val="Style_81"/>
  </w:style>
  <w:style w:styleId="Style_82" w:type="paragraph">
    <w:name w:val="1"/>
    <w:basedOn w:val="Style_12"/>
    <w:link w:val="Style_82_ch"/>
    <w:pPr>
      <w:widowControl w:val="0"/>
      <w:spacing w:after="160" w:line="240" w:lineRule="exact"/>
      <w:ind/>
      <w:jc w:val="right"/>
    </w:pPr>
    <w:rPr>
      <w:sz w:val="20"/>
    </w:rPr>
  </w:style>
  <w:style w:styleId="Style_82_ch" w:type="character">
    <w:name w:val="1"/>
    <w:basedOn w:val="Style_12_ch"/>
    <w:link w:val="Style_82"/>
    <w:rPr>
      <w:sz w:val="20"/>
    </w:rPr>
  </w:style>
  <w:style w:styleId="Style_83" w:type="paragraph">
    <w:name w:val="toc 8"/>
    <w:next w:val="Style_12"/>
    <w:link w:val="Style_83_ch"/>
    <w:uiPriority w:val="39"/>
    <w:pPr>
      <w:widowControl w:val="1"/>
      <w:ind w:firstLine="0" w:left="1400"/>
      <w:jc w:val="left"/>
    </w:pPr>
    <w:rPr>
      <w:rFonts w:ascii="XO Thames" w:hAnsi="XO Thames"/>
      <w:sz w:val="28"/>
    </w:rPr>
  </w:style>
  <w:style w:styleId="Style_83_ch" w:type="character">
    <w:name w:val="toc 8"/>
    <w:link w:val="Style_83"/>
    <w:rPr>
      <w:rFonts w:ascii="XO Thames" w:hAnsi="XO Thames"/>
      <w:sz w:val="28"/>
    </w:rPr>
  </w:style>
  <w:style w:styleId="Style_58" w:type="paragraph">
    <w:name w:val="Body Text"/>
    <w:basedOn w:val="Style_12"/>
    <w:link w:val="Style_58_ch"/>
    <w:pPr>
      <w:widowControl w:val="0"/>
      <w:spacing w:after="120"/>
      <w:ind/>
    </w:pPr>
    <w:rPr>
      <w:rFonts w:ascii="Arial" w:hAnsi="Arial"/>
      <w:sz w:val="18"/>
    </w:rPr>
  </w:style>
  <w:style w:styleId="Style_58_ch" w:type="character">
    <w:name w:val="Body Text"/>
    <w:basedOn w:val="Style_12_ch"/>
    <w:link w:val="Style_58"/>
    <w:rPr>
      <w:rFonts w:ascii="Arial" w:hAnsi="Arial"/>
      <w:sz w:val="18"/>
    </w:rPr>
  </w:style>
  <w:style w:styleId="Style_84" w:type="paragraph">
    <w:name w:val=" Знак Знак Знак Знак Знак Знак Знак Знак Знак Знак Знак Знак Знак Знак"/>
    <w:basedOn w:val="Style_12"/>
    <w:link w:val="Style_84_ch"/>
    <w:pPr>
      <w:widowControl w:val="0"/>
      <w:spacing w:after="160" w:line="240" w:lineRule="exact"/>
      <w:ind/>
      <w:jc w:val="right"/>
    </w:pPr>
    <w:rPr>
      <w:sz w:val="20"/>
    </w:rPr>
  </w:style>
  <w:style w:styleId="Style_84_ch" w:type="character">
    <w:name w:val=" Знак Знак Знак Знак Знак Знак Знак Знак Знак Знак Знак Знак Знак Знак"/>
    <w:basedOn w:val="Style_12_ch"/>
    <w:link w:val="Style_84"/>
    <w:rPr>
      <w:sz w:val="20"/>
    </w:rPr>
  </w:style>
  <w:style w:styleId="Style_6" w:type="paragraph">
    <w:name w:val="ConsNormal"/>
    <w:link w:val="Style_6_ch"/>
    <w:pPr>
      <w:widowControl w:val="1"/>
      <w:ind w:firstLine="720" w:right="19772"/>
    </w:pPr>
    <w:rPr>
      <w:rFonts w:ascii="Arial" w:hAnsi="Arial"/>
    </w:rPr>
  </w:style>
  <w:style w:styleId="Style_6_ch" w:type="character">
    <w:name w:val="ConsNormal"/>
    <w:link w:val="Style_6"/>
    <w:rPr>
      <w:rFonts w:ascii="Arial" w:hAnsi="Arial"/>
    </w:rPr>
  </w:style>
  <w:style w:styleId="Style_85" w:type="paragraph">
    <w:name w:val="Знак1"/>
    <w:basedOn w:val="Style_12"/>
    <w:link w:val="Style_85_ch"/>
    <w:pPr>
      <w:widowControl w:val="0"/>
      <w:spacing w:after="160" w:line="240" w:lineRule="exact"/>
      <w:ind/>
      <w:jc w:val="right"/>
    </w:pPr>
    <w:rPr>
      <w:rFonts w:ascii="Arial" w:hAnsi="Arial"/>
      <w:sz w:val="20"/>
    </w:rPr>
  </w:style>
  <w:style w:styleId="Style_85_ch" w:type="character">
    <w:name w:val="Знак1"/>
    <w:basedOn w:val="Style_12_ch"/>
    <w:link w:val="Style_85"/>
    <w:rPr>
      <w:rFonts w:ascii="Arial" w:hAnsi="Arial"/>
      <w:sz w:val="20"/>
    </w:rPr>
  </w:style>
  <w:style w:styleId="Style_86" w:type="paragraph">
    <w:name w:val="textb"/>
    <w:basedOn w:val="Style_12"/>
    <w:link w:val="Style_86_ch"/>
    <w:rPr>
      <w:rFonts w:ascii="Arial" w:hAnsi="Arial"/>
      <w:b w:val="1"/>
      <w:sz w:val="22"/>
    </w:rPr>
  </w:style>
  <w:style w:styleId="Style_86_ch" w:type="character">
    <w:name w:val="textb"/>
    <w:basedOn w:val="Style_12_ch"/>
    <w:link w:val="Style_86"/>
    <w:rPr>
      <w:rFonts w:ascii="Arial" w:hAnsi="Arial"/>
      <w:b w:val="1"/>
      <w:sz w:val="22"/>
    </w:rPr>
  </w:style>
  <w:style w:styleId="Style_87" w:type="paragraph">
    <w:name w:val=" Знак Знак1"/>
    <w:basedOn w:val="Style_12"/>
    <w:link w:val="Style_87_ch"/>
    <w:pPr>
      <w:widowControl w:val="0"/>
      <w:spacing w:after="160" w:line="240" w:lineRule="exact"/>
      <w:ind/>
      <w:jc w:val="right"/>
    </w:pPr>
    <w:rPr>
      <w:sz w:val="20"/>
    </w:rPr>
  </w:style>
  <w:style w:styleId="Style_87_ch" w:type="character">
    <w:name w:val=" Знак Знак1"/>
    <w:basedOn w:val="Style_12_ch"/>
    <w:link w:val="Style_87"/>
    <w:rPr>
      <w:sz w:val="20"/>
    </w:rPr>
  </w:style>
  <w:style w:styleId="Style_88" w:type="paragraph">
    <w:name w:val="toc 5"/>
    <w:next w:val="Style_12"/>
    <w:link w:val="Style_88_ch"/>
    <w:uiPriority w:val="39"/>
    <w:pPr>
      <w:widowControl w:val="1"/>
      <w:ind w:firstLine="0" w:left="800"/>
      <w:jc w:val="left"/>
    </w:pPr>
    <w:rPr>
      <w:rFonts w:ascii="XO Thames" w:hAnsi="XO Thames"/>
      <w:sz w:val="28"/>
    </w:rPr>
  </w:style>
  <w:style w:styleId="Style_88_ch" w:type="character">
    <w:name w:val="toc 5"/>
    <w:link w:val="Style_88"/>
    <w:rPr>
      <w:rFonts w:ascii="XO Thames" w:hAnsi="XO Thames"/>
      <w:sz w:val="28"/>
    </w:rPr>
  </w:style>
  <w:style w:styleId="Style_89" w:type="paragraph">
    <w:name w:val="1 Знак Знак Знак"/>
    <w:basedOn w:val="Style_12"/>
    <w:link w:val="Style_89_ch"/>
    <w:pPr>
      <w:widowControl w:val="0"/>
      <w:spacing w:after="160" w:line="240" w:lineRule="exact"/>
      <w:ind/>
      <w:jc w:val="right"/>
    </w:pPr>
    <w:rPr>
      <w:sz w:val="20"/>
    </w:rPr>
  </w:style>
  <w:style w:styleId="Style_89_ch" w:type="character">
    <w:name w:val="1 Знак Знак Знак"/>
    <w:basedOn w:val="Style_12_ch"/>
    <w:link w:val="Style_89"/>
    <w:rPr>
      <w:sz w:val="20"/>
    </w:rPr>
  </w:style>
  <w:style w:styleId="Style_90" w:type="paragraph">
    <w:name w:val="1 Знак Знак Знак Знак Знак Знак Знак Знак Знак Знак Знак Знак Знак Знак Знак Знак Знак Знак Знак"/>
    <w:basedOn w:val="Style_12"/>
    <w:link w:val="Style_90_ch"/>
    <w:pPr>
      <w:widowControl w:val="0"/>
      <w:spacing w:after="160" w:line="240" w:lineRule="exact"/>
      <w:ind/>
      <w:jc w:val="right"/>
    </w:pPr>
    <w:rPr>
      <w:sz w:val="20"/>
    </w:rPr>
  </w:style>
  <w:style w:styleId="Style_90_ch" w:type="character">
    <w:name w:val="1 Знак Знак Знак Знак Знак Знак Знак Знак Знак Знак Знак Знак Знак Знак Знак Знак Знак Знак Знак"/>
    <w:basedOn w:val="Style_12_ch"/>
    <w:link w:val="Style_90"/>
    <w:rPr>
      <w:sz w:val="20"/>
    </w:rPr>
  </w:style>
  <w:style w:styleId="Style_91" w:type="paragraph">
    <w:name w:val=" Знак3 Знак Знак Знак Знак Знак Знак Знак Знак"/>
    <w:basedOn w:val="Style_12"/>
    <w:link w:val="Style_91_ch"/>
    <w:pPr>
      <w:widowControl w:val="0"/>
      <w:spacing w:after="160" w:line="240" w:lineRule="exact"/>
      <w:ind/>
      <w:jc w:val="right"/>
    </w:pPr>
    <w:rPr>
      <w:rFonts w:ascii="Arial" w:hAnsi="Arial"/>
      <w:sz w:val="20"/>
    </w:rPr>
  </w:style>
  <w:style w:styleId="Style_91_ch" w:type="character">
    <w:name w:val=" Знак3 Знак Знак Знак Знак Знак Знак Знак Знак"/>
    <w:basedOn w:val="Style_12_ch"/>
    <w:link w:val="Style_91"/>
    <w:rPr>
      <w:rFonts w:ascii="Arial" w:hAnsi="Arial"/>
      <w:sz w:val="20"/>
    </w:rPr>
  </w:style>
  <w:style w:styleId="Style_92" w:type="paragraph">
    <w:name w:val="заголовок 21"/>
    <w:basedOn w:val="Style_12"/>
    <w:next w:val="Style_12"/>
    <w:link w:val="Style_92_ch"/>
    <w:pPr>
      <w:widowControl w:val="0"/>
      <w:spacing w:after="60" w:before="240"/>
      <w:ind/>
      <w:jc w:val="center"/>
    </w:pPr>
    <w:rPr>
      <w:b w:val="1"/>
    </w:rPr>
  </w:style>
  <w:style w:styleId="Style_92_ch" w:type="character">
    <w:name w:val="заголовок 21"/>
    <w:basedOn w:val="Style_12_ch"/>
    <w:link w:val="Style_92"/>
    <w:rPr>
      <w:b w:val="1"/>
    </w:rPr>
  </w:style>
  <w:style w:styleId="Style_93" w:type="paragraph">
    <w:name w:val=" Знак Знак"/>
    <w:basedOn w:val="Style_12"/>
    <w:link w:val="Style_93_ch"/>
    <w:pPr>
      <w:widowControl w:val="0"/>
      <w:spacing w:after="160" w:line="240" w:lineRule="exact"/>
      <w:ind/>
      <w:jc w:val="right"/>
    </w:pPr>
    <w:rPr>
      <w:sz w:val="20"/>
    </w:rPr>
  </w:style>
  <w:style w:styleId="Style_93_ch" w:type="character">
    <w:name w:val=" Знак Знак"/>
    <w:basedOn w:val="Style_12_ch"/>
    <w:link w:val="Style_93"/>
    <w:rPr>
      <w:sz w:val="20"/>
    </w:rPr>
  </w:style>
  <w:style w:styleId="Style_94" w:type="paragraph">
    <w:name w:val="Normal (Web)"/>
    <w:basedOn w:val="Style_12"/>
    <w:link w:val="Style_94_ch"/>
    <w:pPr>
      <w:widowControl w:val="0"/>
      <w:ind/>
    </w:pPr>
  </w:style>
  <w:style w:styleId="Style_94_ch" w:type="character">
    <w:name w:val="Normal (Web)"/>
    <w:basedOn w:val="Style_12_ch"/>
    <w:link w:val="Style_94"/>
  </w:style>
  <w:style w:styleId="Style_8" w:type="paragraph">
    <w:name w:val="ConsPlusNormal"/>
    <w:link w:val="Style_8_ch"/>
    <w:pPr>
      <w:widowControl w:val="1"/>
      <w:ind w:firstLine="720"/>
    </w:pPr>
    <w:rPr>
      <w:rFonts w:ascii="Arial" w:hAnsi="Arial"/>
    </w:rPr>
  </w:style>
  <w:style w:styleId="Style_8_ch" w:type="character">
    <w:name w:val="ConsPlusNormal"/>
    <w:link w:val="Style_8"/>
    <w:rPr>
      <w:rFonts w:ascii="Arial" w:hAnsi="Arial"/>
    </w:rPr>
  </w:style>
  <w:style w:styleId="Style_95" w:type="paragraph">
    <w:name w:val="Знак"/>
    <w:basedOn w:val="Style_12"/>
    <w:link w:val="Style_95_ch"/>
    <w:pPr>
      <w:widowControl w:val="0"/>
      <w:spacing w:after="160" w:line="240" w:lineRule="exact"/>
      <w:ind/>
      <w:jc w:val="right"/>
    </w:pPr>
    <w:rPr>
      <w:rFonts w:ascii="Arial" w:hAnsi="Arial"/>
      <w:sz w:val="20"/>
    </w:rPr>
  </w:style>
  <w:style w:styleId="Style_95_ch" w:type="character">
    <w:name w:val="Знак"/>
    <w:basedOn w:val="Style_12_ch"/>
    <w:link w:val="Style_95"/>
    <w:rPr>
      <w:rFonts w:ascii="Arial" w:hAnsi="Arial"/>
      <w:sz w:val="20"/>
    </w:rPr>
  </w:style>
  <w:style w:styleId="Style_96" w:type="paragraph">
    <w:name w:val="1 Знак Знак Знак Знак Знак Знак"/>
    <w:basedOn w:val="Style_12"/>
    <w:link w:val="Style_96_ch"/>
    <w:pPr>
      <w:widowControl w:val="0"/>
      <w:spacing w:after="160" w:line="240" w:lineRule="exact"/>
      <w:ind/>
      <w:jc w:val="right"/>
    </w:pPr>
    <w:rPr>
      <w:sz w:val="20"/>
    </w:rPr>
  </w:style>
  <w:style w:styleId="Style_96_ch" w:type="character">
    <w:name w:val="1 Знак Знак Знак Знак Знак Знак"/>
    <w:basedOn w:val="Style_12_ch"/>
    <w:link w:val="Style_96"/>
    <w:rPr>
      <w:sz w:val="20"/>
    </w:rPr>
  </w:style>
  <w:style w:styleId="Style_97" w:type="paragraph">
    <w:name w:val="Char Знак Знак"/>
    <w:basedOn w:val="Style_12"/>
    <w:link w:val="Style_97_ch"/>
    <w:pPr>
      <w:widowControl w:val="0"/>
      <w:spacing w:after="160" w:line="240" w:lineRule="exact"/>
      <w:ind/>
      <w:jc w:val="right"/>
    </w:pPr>
    <w:rPr>
      <w:sz w:val="20"/>
    </w:rPr>
  </w:style>
  <w:style w:styleId="Style_97_ch" w:type="character">
    <w:name w:val="Char Знак Знак"/>
    <w:basedOn w:val="Style_12_ch"/>
    <w:link w:val="Style_97"/>
    <w:rPr>
      <w:sz w:val="20"/>
    </w:rPr>
  </w:style>
  <w:style w:styleId="Style_98" w:type="paragraph">
    <w:name w:val="Subtitle"/>
    <w:basedOn w:val="Style_12"/>
    <w:link w:val="Style_98_ch"/>
    <w:uiPriority w:val="11"/>
    <w:qFormat/>
    <w:rPr>
      <w:i w:val="1"/>
      <w:sz w:val="20"/>
    </w:rPr>
  </w:style>
  <w:style w:styleId="Style_98_ch" w:type="character">
    <w:name w:val="Subtitle"/>
    <w:basedOn w:val="Style_12_ch"/>
    <w:link w:val="Style_98"/>
    <w:rPr>
      <w:i w:val="1"/>
      <w:sz w:val="20"/>
    </w:rPr>
  </w:style>
  <w:style w:styleId="Style_99" w:type="paragraph">
    <w:name w:val="Основной текст с отступом 31"/>
    <w:basedOn w:val="Style_12"/>
    <w:link w:val="Style_99_ch"/>
    <w:pPr>
      <w:widowControl w:val="1"/>
      <w:ind w:firstLine="720"/>
      <w:jc w:val="both"/>
    </w:pPr>
    <w:rPr>
      <w:rFonts w:ascii="Times New Roman CYR" w:hAnsi="Times New Roman CYR"/>
      <w:sz w:val="22"/>
    </w:rPr>
  </w:style>
  <w:style w:styleId="Style_99_ch" w:type="character">
    <w:name w:val="Основной текст с отступом 31"/>
    <w:basedOn w:val="Style_12_ch"/>
    <w:link w:val="Style_99"/>
    <w:rPr>
      <w:rFonts w:ascii="Times New Roman CYR" w:hAnsi="Times New Roman CYR"/>
      <w:sz w:val="22"/>
    </w:rPr>
  </w:style>
  <w:style w:styleId="Style_100" w:type="paragraph">
    <w:name w:val=" Знак3 Знак Знак Знак Знак"/>
    <w:basedOn w:val="Style_12"/>
    <w:link w:val="Style_100_ch"/>
    <w:pPr>
      <w:widowControl w:val="0"/>
      <w:spacing w:after="160" w:line="240" w:lineRule="exact"/>
      <w:ind/>
      <w:jc w:val="right"/>
    </w:pPr>
    <w:rPr>
      <w:rFonts w:ascii="Arial" w:hAnsi="Arial"/>
      <w:sz w:val="20"/>
    </w:rPr>
  </w:style>
  <w:style w:styleId="Style_100_ch" w:type="character">
    <w:name w:val=" Знак3 Знак Знак Знак Знак"/>
    <w:basedOn w:val="Style_12_ch"/>
    <w:link w:val="Style_100"/>
    <w:rPr>
      <w:rFonts w:ascii="Arial" w:hAnsi="Arial"/>
      <w:sz w:val="20"/>
    </w:rPr>
  </w:style>
  <w:style w:styleId="Style_101" w:type="paragraph">
    <w:name w:val=" Знак Знак Знак"/>
    <w:basedOn w:val="Style_12"/>
    <w:link w:val="Style_101_ch"/>
    <w:pPr>
      <w:widowControl w:val="0"/>
      <w:spacing w:after="160" w:line="240" w:lineRule="exact"/>
      <w:ind/>
      <w:jc w:val="right"/>
    </w:pPr>
    <w:rPr>
      <w:sz w:val="20"/>
    </w:rPr>
  </w:style>
  <w:style w:styleId="Style_101_ch" w:type="character">
    <w:name w:val=" Знак Знак Знак"/>
    <w:basedOn w:val="Style_12_ch"/>
    <w:link w:val="Style_101"/>
    <w:rPr>
      <w:sz w:val="20"/>
    </w:rPr>
  </w:style>
  <w:style w:styleId="Style_102" w:type="paragraph">
    <w:name w:val=" Знак Знак Знак Знак Знак Знак Знак Знак"/>
    <w:basedOn w:val="Style_12"/>
    <w:link w:val="Style_102_ch"/>
    <w:pPr>
      <w:widowControl w:val="0"/>
      <w:spacing w:after="160" w:line="240" w:lineRule="exact"/>
      <w:ind/>
      <w:jc w:val="right"/>
    </w:pPr>
    <w:rPr>
      <w:sz w:val="20"/>
    </w:rPr>
  </w:style>
  <w:style w:styleId="Style_102_ch" w:type="character">
    <w:name w:val=" Знак Знак Знак Знак Знак Знак Знак Знак"/>
    <w:basedOn w:val="Style_12_ch"/>
    <w:link w:val="Style_102"/>
    <w:rPr>
      <w:sz w:val="20"/>
    </w:rPr>
  </w:style>
  <w:style w:styleId="Style_103" w:type="paragraph">
    <w:name w:val="Title"/>
    <w:basedOn w:val="Style_12"/>
    <w:link w:val="Style_103_ch"/>
    <w:uiPriority w:val="10"/>
    <w:qFormat/>
    <w:pPr>
      <w:widowControl w:val="1"/>
      <w:ind/>
      <w:jc w:val="center"/>
    </w:pPr>
    <w:rPr>
      <w:b w:val="1"/>
    </w:rPr>
  </w:style>
  <w:style w:styleId="Style_103_ch" w:type="character">
    <w:name w:val="Title"/>
    <w:basedOn w:val="Style_12_ch"/>
    <w:link w:val="Style_103"/>
    <w:rPr>
      <w:b w:val="1"/>
    </w:rPr>
  </w:style>
  <w:style w:styleId="Style_104" w:type="paragraph">
    <w:name w:val="heading 4"/>
    <w:basedOn w:val="Style_12"/>
    <w:next w:val="Style_12"/>
    <w:link w:val="Style_104_ch"/>
    <w:uiPriority w:val="9"/>
    <w:qFormat/>
    <w:pPr>
      <w:keepNext w:val="1"/>
      <w:widowControl w:val="1"/>
      <w:ind w:right="-43"/>
      <w:outlineLvl w:val="3"/>
    </w:pPr>
    <w:rPr>
      <w:b w:val="1"/>
    </w:rPr>
  </w:style>
  <w:style w:styleId="Style_104_ch" w:type="character">
    <w:name w:val="heading 4"/>
    <w:basedOn w:val="Style_12_ch"/>
    <w:link w:val="Style_104"/>
    <w:rPr>
      <w:b w:val="1"/>
    </w:rPr>
  </w:style>
  <w:style w:styleId="Style_5" w:type="paragraph">
    <w:name w:val="footnote reference"/>
    <w:link w:val="Style_5_ch"/>
    <w:rPr>
      <w:vertAlign w:val="superscript"/>
    </w:rPr>
  </w:style>
  <w:style w:styleId="Style_5_ch" w:type="character">
    <w:name w:val="footnote reference"/>
    <w:link w:val="Style_5"/>
    <w:rPr>
      <w:vertAlign w:val="superscript"/>
    </w:rPr>
  </w:style>
  <w:style w:styleId="Style_105" w:type="paragraph">
    <w:name w:val="Char Знак Знак Знак Знак Знак"/>
    <w:basedOn w:val="Style_12"/>
    <w:link w:val="Style_105_ch"/>
    <w:pPr>
      <w:widowControl w:val="0"/>
      <w:spacing w:after="160" w:line="240" w:lineRule="exact"/>
      <w:ind/>
      <w:jc w:val="right"/>
    </w:pPr>
    <w:rPr>
      <w:rFonts w:ascii="Arial" w:hAnsi="Arial"/>
      <w:sz w:val="20"/>
    </w:rPr>
  </w:style>
  <w:style w:styleId="Style_105_ch" w:type="character">
    <w:name w:val="Char Знак Знак Знак Знак Знак"/>
    <w:basedOn w:val="Style_12_ch"/>
    <w:link w:val="Style_105"/>
    <w:rPr>
      <w:rFonts w:ascii="Arial" w:hAnsi="Arial"/>
      <w:sz w:val="20"/>
    </w:rPr>
  </w:style>
  <w:style w:styleId="Style_106" w:type="paragraph">
    <w:name w:val="heading 2"/>
    <w:basedOn w:val="Style_12"/>
    <w:next w:val="Style_12"/>
    <w:link w:val="Style_106_ch"/>
    <w:uiPriority w:val="9"/>
    <w:qFormat/>
    <w:pPr>
      <w:keepNext w:val="1"/>
      <w:widowControl w:val="1"/>
      <w:ind w:right="-365"/>
      <w:outlineLvl w:val="1"/>
    </w:pPr>
    <w:rPr>
      <w:b w:val="1"/>
    </w:rPr>
  </w:style>
  <w:style w:styleId="Style_106_ch" w:type="character">
    <w:name w:val="heading 2"/>
    <w:basedOn w:val="Style_12_ch"/>
    <w:link w:val="Style_106"/>
    <w:rPr>
      <w:b w:val="1"/>
    </w:rPr>
  </w:style>
  <w:style w:styleId="Style_107" w:type="paragraph">
    <w:name w:val=" Знак Знак2 Знак"/>
    <w:basedOn w:val="Style_12"/>
    <w:link w:val="Style_107_ch"/>
    <w:pPr>
      <w:widowControl w:val="0"/>
      <w:spacing w:after="160" w:line="240" w:lineRule="exact"/>
      <w:ind/>
      <w:jc w:val="right"/>
    </w:pPr>
    <w:rPr>
      <w:sz w:val="20"/>
    </w:rPr>
  </w:style>
  <w:style w:styleId="Style_107_ch" w:type="character">
    <w:name w:val=" Знак Знак2 Знак"/>
    <w:basedOn w:val="Style_12_ch"/>
    <w:link w:val="Style_107"/>
    <w:rPr>
      <w:sz w:val="20"/>
    </w:rPr>
  </w:style>
  <w:style w:styleId="Style_70" w:type="paragraph">
    <w:name w:val="Default Paragraph Font"/>
    <w:link w:val="Style_70_ch"/>
  </w:style>
  <w:style w:styleId="Style_70_ch" w:type="character">
    <w:name w:val="Default Paragraph Font"/>
    <w:link w:val="Style_70"/>
  </w:style>
  <w:style w:styleId="Style_108" w:type="paragraph">
    <w:name w:val="1 Знак Знак Знак Знак Знак Знак Знак Знак Знак Знак Знак Знак Знак Знак Знак Знак Знак Знак Знак Знак Знак Знак Знак Знак Знак"/>
    <w:basedOn w:val="Style_12"/>
    <w:link w:val="Style_108_ch"/>
    <w:pPr>
      <w:widowControl w:val="0"/>
      <w:spacing w:after="160" w:line="240" w:lineRule="exact"/>
      <w:ind/>
      <w:jc w:val="right"/>
    </w:pPr>
    <w:rPr>
      <w:sz w:val="20"/>
    </w:rPr>
  </w:style>
  <w:style w:styleId="Style_108_ch" w:type="character">
    <w:name w:val="1 Знак Знак Знак Знак Знак Знак Знак Знак Знак Знак Знак Знак Знак Знак Знак Знак Знак Знак Знак Знак Знак Знак Знак Знак Знак"/>
    <w:basedOn w:val="Style_12_ch"/>
    <w:link w:val="Style_108"/>
    <w:rPr>
      <w:sz w:val="20"/>
    </w:rPr>
  </w:style>
  <w:style w:styleId="Style_109" w:type="paragraph">
    <w:name w:val="Heading"/>
    <w:link w:val="Style_109_ch"/>
    <w:rPr>
      <w:rFonts w:ascii="Arial" w:hAnsi="Arial"/>
      <w:b w:val="1"/>
      <w:sz w:val="22"/>
    </w:rPr>
  </w:style>
  <w:style w:styleId="Style_109_ch" w:type="character">
    <w:name w:val="Heading"/>
    <w:link w:val="Style_109"/>
    <w:rPr>
      <w:rFonts w:ascii="Arial" w:hAnsi="Arial"/>
      <w:b w:val="1"/>
      <w:sz w:val="22"/>
    </w:rPr>
  </w:style>
  <w:style w:styleId="Style_110" w:type="paragraph">
    <w:name w:val="heading 6"/>
    <w:basedOn w:val="Style_12"/>
    <w:next w:val="Style_12"/>
    <w:link w:val="Style_110_ch"/>
    <w:uiPriority w:val="9"/>
    <w:qFormat/>
    <w:pPr>
      <w:widowControl w:val="1"/>
      <w:spacing w:after="60" w:before="240"/>
      <w:ind/>
      <w:outlineLvl w:val="5"/>
    </w:pPr>
    <w:rPr>
      <w:b w:val="1"/>
      <w:sz w:val="22"/>
    </w:rPr>
  </w:style>
  <w:style w:styleId="Style_110_ch" w:type="character">
    <w:name w:val="heading 6"/>
    <w:basedOn w:val="Style_12_ch"/>
    <w:link w:val="Style_110"/>
    <w:rPr>
      <w:b w:val="1"/>
      <w:sz w:val="22"/>
    </w:rPr>
  </w:style>
  <w:style w:styleId="Style_111" w:type="paragraph">
    <w:name w:val=" Знак Знак Знак Знак Знак Знак Знак Знак Знак Знак"/>
    <w:basedOn w:val="Style_12"/>
    <w:link w:val="Style_111_ch"/>
    <w:pPr>
      <w:widowControl w:val="0"/>
      <w:spacing w:after="160" w:line="240" w:lineRule="exact"/>
      <w:ind/>
      <w:jc w:val="right"/>
    </w:pPr>
    <w:rPr>
      <w:rFonts w:ascii="Arial" w:hAnsi="Arial"/>
      <w:sz w:val="20"/>
    </w:rPr>
  </w:style>
  <w:style w:styleId="Style_111_ch" w:type="character">
    <w:name w:val=" Знак Знак Знак Знак Знак Знак Знак Знак Знак Знак"/>
    <w:basedOn w:val="Style_12_ch"/>
    <w:link w:val="Style_111"/>
    <w:rPr>
      <w:rFonts w:ascii="Arial" w:hAnsi="Arial"/>
      <w:sz w:val="20"/>
    </w:rPr>
  </w:style>
  <w:style w:default="1" w:styleId="Style_11" w:type="table">
    <w:name w:val="Normal Table"/>
    <w:tblPr>
      <w:tblInd w:type="dxa" w:w="0"/>
      <w:tblCellMar>
        <w:top w:type="dxa" w:w="0"/>
        <w:left w:type="dxa" w:w="108"/>
        <w:bottom w:type="dxa" w:w="0"/>
        <w:right w:type="dxa" w:w="108"/>
      </w:tblCellMar>
    </w:tblPr>
  </w:style>
  <w:style w:styleId="Style_112" w:type="table">
    <w:name w:val="Table Grid"/>
    <w:basedOn w:val="Style_11"/>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ettings.xml" Type="http://schemas.openxmlformats.org/officeDocument/2006/relationships/settings"/>
  <Relationship Id="rId1" Target="header1.xml" Type="http://schemas.openxmlformats.org/officeDocument/2006/relationships/header"/>
  <Relationship Id="rId13" Target="numbering.xml" Type="http://schemas.openxmlformats.org/officeDocument/2006/relationships/numbering"/>
  <Relationship Id="rId12" Target="endnotes.xml" Type="http://schemas.openxmlformats.org/officeDocument/2006/relationships/endnotes"/>
  <Relationship Id="rId10" Target="theme/theme1.xml" Type="http://schemas.openxmlformats.org/officeDocument/2006/relationships/theme"/>
  <Relationship Id="rId2" Target="footer2.xml" Type="http://schemas.openxmlformats.org/officeDocument/2006/relationships/footer"/>
  <Relationship Id="rId3" Target="header3.xml" Type="http://schemas.openxmlformats.org/officeDocument/2006/relationships/header"/>
  <Relationship Id="rId8" Target="stylesWithEffects.xml" Type="http://schemas.microsoft.com/office/2007/relationships/stylesWithEffects"/>
  <Relationship Id="rId4" Target="footer4.xml" Type="http://schemas.openxmlformats.org/officeDocument/2006/relationships/footer"/>
  <Relationship Id="rId11" Target="footnotes.xml" Type="http://schemas.openxmlformats.org/officeDocument/2006/relationships/footnotes"/>
  <Relationship Id="rId9" Target="webSettings.xml" Type="http://schemas.openxmlformats.org/officeDocument/2006/relationships/webSettings"/>
  <Relationship Id="rId7" Target="styles.xml" Type="http://schemas.openxmlformats.org/officeDocument/2006/relationships/styles"/>
  <Relationship Id="rId5"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2026-04-30T15:50:53Z</dcterms:created>
  <dcterms:modified xsi:type="dcterms:W3CDTF">2026-05-04T04:07:36Z</dcterms:modified>
</cp:coreProperties>
</file>