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11"/>
        <w:ind w:left="142"/>
        <w:rPr>
          <w:highlight w:val="none"/>
          <w:shd w:fill="auto" w:val="clear"/>
        </w:rPr>
      </w:pPr>
      <w:r>
        <w:rPr>
          <w:shd w:fill="auto" w:val="clear"/>
        </w:rPr>
        <w:t>Договор № ____________</w:t>
      </w:r>
    </w:p>
    <w:p>
      <w:pPr>
        <w:pStyle w:val="11"/>
        <w:ind w:left="142"/>
        <w:rPr>
          <w:highlight w:val="none"/>
          <w:shd w:fill="auto" w:val="clear"/>
        </w:rPr>
      </w:pPr>
      <w:r>
        <w:rPr>
          <w:shd w:fill="auto" w:val="clear"/>
        </w:rPr>
        <w:t>на поставку  расходных материалов для оргтехники</w:t>
      </w:r>
    </w:p>
    <w:p>
      <w:pPr>
        <w:pStyle w:val="11"/>
        <w:spacing w:lineRule="auto" w:line="360"/>
        <w:ind w:firstLine="425" w:left="142"/>
        <w:rPr>
          <w:highlight w:val="none"/>
          <w:shd w:fill="auto" w:val="clear"/>
        </w:rPr>
      </w:pPr>
      <w:r>
        <w:rPr>
          <w:shd w:fill="auto" w:val="clear"/>
        </w:rPr>
      </w:r>
    </w:p>
    <w:p>
      <w:pPr>
        <w:pStyle w:val="11"/>
        <w:spacing w:lineRule="auto" w:line="360"/>
        <w:ind w:left="142"/>
        <w:jc w:val="left"/>
        <w:rPr>
          <w:highlight w:val="none"/>
          <w:shd w:fill="auto" w:val="clear"/>
        </w:rPr>
      </w:pPr>
      <w:r>
        <w:rPr>
          <w:shd w:fill="auto" w:val="clear"/>
        </w:rPr>
        <w:t>г. Санкт-Петербург</w:t>
        <w:tab/>
        <w:t xml:space="preserve">                                                                                                                         «__» мая 2026 г.</w:t>
      </w:r>
    </w:p>
    <w:p>
      <w:pPr>
        <w:pStyle w:val="BodyText"/>
        <w:rPr>
          <w:sz w:val="22"/>
          <w:highlight w:val="none"/>
          <w:shd w:fill="auto" w:val="clear"/>
        </w:rPr>
      </w:pPr>
      <w:r>
        <w:rPr>
          <w:sz w:val="22"/>
          <w:shd w:fill="auto" w:val="clear"/>
        </w:rPr>
      </w:r>
    </w:p>
    <w:p>
      <w:pPr>
        <w:pStyle w:val="Footer"/>
        <w:tabs>
          <w:tab w:val="clear" w:pos="4677"/>
          <w:tab w:val="left" w:pos="708" w:leader="none"/>
          <w:tab w:val="right" w:pos="9355" w:leader="none"/>
        </w:tabs>
        <w:ind w:firstLine="709"/>
        <w:jc w:val="both"/>
        <w:rPr>
          <w:highlight w:val="none"/>
          <w:shd w:fill="auto" w:val="clear"/>
        </w:rPr>
      </w:pPr>
      <w:r>
        <w:rPr>
          <w:color w:val="000000"/>
          <w:shd w:fill="auto" w:val="clear"/>
        </w:rPr>
        <w:t>_____________________________________________________________________</w:t>
      </w:r>
      <w:r>
        <w:rPr>
          <w:color w:val="404040"/>
          <w:shd w:fill="auto" w:val="clear"/>
        </w:rPr>
        <w:t xml:space="preserve">, </w:t>
      </w:r>
      <w:r>
        <w:rPr>
          <w:shd w:fill="auto" w:val="clear"/>
        </w:rPr>
        <w:t xml:space="preserve">далее именуемое «Поставщик», в лице </w:t>
      </w:r>
      <w:r>
        <w:rPr>
          <w:b/>
          <w:sz w:val="23"/>
          <w:szCs w:val="23"/>
          <w:shd w:fill="auto" w:val="clear"/>
        </w:rPr>
        <w:t>____________________</w:t>
      </w:r>
      <w:r>
        <w:rPr>
          <w:b/>
          <w:shd w:fill="auto" w:val="clear"/>
        </w:rPr>
        <w:t>_________________________________</w:t>
      </w:r>
      <w:r>
        <w:rPr>
          <w:color w:val="404040"/>
          <w:shd w:fill="auto" w:val="clear"/>
        </w:rPr>
        <w:t xml:space="preserve">, </w:t>
      </w:r>
      <w:r>
        <w:rPr>
          <w:shd w:fill="auto" w:val="clear"/>
        </w:rPr>
        <w:t xml:space="preserve">действующего на основании _________________, с одной стороны, и </w:t>
      </w:r>
      <w:r>
        <w:rPr>
          <w:b/>
          <w:shd w:fill="auto" w:val="clear"/>
        </w:rPr>
        <w:t>Санкт-Петербургское государственное бюджетное учреждение здравоохранения «Городское патолого-анатомическое бюро»</w:t>
      </w:r>
      <w:r>
        <w:rPr>
          <w:shd w:fill="auto" w:val="clear"/>
        </w:rPr>
        <w:t>, именуемое в дальнейшем «Заказчик», в лице главного врача Майской Марины Юрьевны, действующего на основании Устава, с другой стороны, заключили настоящий договор о нижеследующем:</w:t>
      </w:r>
    </w:p>
    <w:p>
      <w:pPr>
        <w:pStyle w:val="Footer"/>
        <w:tabs>
          <w:tab w:val="clear" w:pos="4677"/>
          <w:tab w:val="left" w:pos="708" w:leader="none"/>
          <w:tab w:val="right" w:pos="9355" w:leader="none"/>
        </w:tabs>
        <w:ind w:firstLine="709"/>
        <w:jc w:val="both"/>
        <w:rPr>
          <w:highlight w:val="none"/>
          <w:shd w:fill="auto" w:val="clear"/>
        </w:rPr>
      </w:pPr>
      <w:r>
        <w:rPr>
          <w:shd w:fill="auto" w:val="clear"/>
        </w:rPr>
      </w:r>
    </w:p>
    <w:p>
      <w:pPr>
        <w:pStyle w:val="Normal"/>
        <w:spacing w:before="0" w:after="0"/>
        <w:contextualSpacing/>
        <w:jc w:val="center"/>
        <w:rPr>
          <w:highlight w:val="none"/>
          <w:shd w:fill="auto" w:val="clear"/>
        </w:rPr>
      </w:pPr>
      <w:r>
        <w:rPr>
          <w:b/>
          <w:bCs/>
          <w:shd w:fill="auto" w:val="clear"/>
        </w:rPr>
        <w:t>1. ПРЕДМЕТ ДОГОВОРА</w:t>
      </w:r>
    </w:p>
    <w:p>
      <w:pPr>
        <w:pStyle w:val="Normal"/>
        <w:ind w:firstLine="720"/>
        <w:jc w:val="both"/>
        <w:rPr>
          <w:highlight w:val="none"/>
          <w:shd w:fill="auto" w:val="clear"/>
        </w:rPr>
      </w:pPr>
      <w:r>
        <w:rPr>
          <w:shd w:fill="auto" w:val="clear"/>
        </w:rPr>
        <w:t xml:space="preserve">В соответствие с настоящим Договором Поставщик обязуется поставить и передать в собственность Заказчику, а Заказчик принять и оплатить </w:t>
      </w:r>
      <w:r>
        <w:rPr>
          <w:b/>
          <w:shd w:fill="auto" w:val="clear"/>
        </w:rPr>
        <w:t>расходные материалы для оргтехники</w:t>
      </w:r>
      <w:r>
        <w:rPr>
          <w:shd w:fill="auto" w:val="clear"/>
        </w:rPr>
        <w:t xml:space="preserve"> (далее - «Товар») согласно Спецификации к настоящему Договору (Приложение №1).</w:t>
      </w:r>
    </w:p>
    <w:p>
      <w:pPr>
        <w:pStyle w:val="Normal"/>
        <w:spacing w:before="0" w:after="0"/>
        <w:ind w:firstLine="425"/>
        <w:contextualSpacing/>
        <w:jc w:val="both"/>
        <w:rPr>
          <w:highlight w:val="none"/>
          <w:shd w:fill="auto" w:val="clear"/>
        </w:rPr>
      </w:pPr>
      <w:r>
        <w:rPr>
          <w:shd w:fill="auto" w:val="clear"/>
        </w:rPr>
        <w:t xml:space="preserve">Идентификационный код закупки: </w:t>
      </w:r>
      <w:r>
        <w:rPr>
          <w:color w:val="000000"/>
          <w:shd w:fill="auto" w:val="clear"/>
        </w:rPr>
        <w:t>262780207217978020100100050000000244.</w:t>
      </w:r>
    </w:p>
    <w:p>
      <w:pPr>
        <w:pStyle w:val="Normal"/>
        <w:spacing w:before="0" w:after="0"/>
        <w:ind w:firstLine="425"/>
        <w:contextualSpacing/>
        <w:jc w:val="center"/>
        <w:rPr>
          <w:b/>
          <w:highlight w:val="none"/>
          <w:shd w:fill="auto" w:val="clear"/>
        </w:rPr>
      </w:pPr>
      <w:r>
        <w:rPr>
          <w:b/>
          <w:shd w:fill="auto" w:val="clear"/>
        </w:rPr>
      </w:r>
    </w:p>
    <w:p>
      <w:pPr>
        <w:pStyle w:val="Normal"/>
        <w:spacing w:before="0" w:after="0"/>
        <w:ind w:firstLine="425"/>
        <w:contextualSpacing/>
        <w:jc w:val="center"/>
        <w:rPr>
          <w:highlight w:val="none"/>
          <w:shd w:fill="auto" w:val="clear"/>
        </w:rPr>
      </w:pPr>
      <w:r>
        <w:rPr>
          <w:b/>
          <w:shd w:fill="auto" w:val="clear"/>
        </w:rPr>
        <w:t>2. ЦЕНА ТОВАРА И ПОРЯДОК РАСЧЕТОВ</w:t>
      </w:r>
    </w:p>
    <w:p>
      <w:pPr>
        <w:pStyle w:val="Normal"/>
        <w:jc w:val="both"/>
        <w:rPr>
          <w:highlight w:val="none"/>
          <w:shd w:fill="auto" w:val="clear"/>
        </w:rPr>
      </w:pPr>
      <w:r>
        <w:rPr>
          <w:shd w:fill="auto" w:val="clear"/>
        </w:rPr>
        <w:t xml:space="preserve">         </w:t>
      </w:r>
      <w:r>
        <w:rPr>
          <w:shd w:fill="auto" w:val="clear"/>
        </w:rPr>
        <w:t>2.1</w:t>
        <w:tab/>
        <w:t>Стоимость товара, согласно спецификации (приложение № 1), поставляемых по настоящему договору составляет  ______________ рублей ___ копеек (________________________________рублей _____ копеек) , в том числе НДС ( ___%) - __________ рублей ____копеек (__________ рублей __ копеек)</w:t>
      </w:r>
    </w:p>
    <w:p>
      <w:pPr>
        <w:pStyle w:val="Normal"/>
        <w:jc w:val="both"/>
        <w:rPr/>
      </w:pPr>
      <w:r>
        <w:rPr>
          <w:shd w:fill="auto" w:val="clear"/>
        </w:rPr>
        <w:t>Источник финансирования: внебюджетные средства, средства бюджетных учреждений.</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2.2 Оплата производится только за фактически поставленный товар на основании счета в течение 7 (семи) рабочих дней с момента приема товара Заказчиком путем перечисления денежных средств на расчетный счёт Поставщика, в безналичной форме.</w:t>
      </w:r>
    </w:p>
    <w:p>
      <w:pPr>
        <w:pStyle w:val="Normal"/>
        <w:spacing w:before="0" w:after="0"/>
        <w:ind w:firstLine="425"/>
        <w:contextualSpacing/>
        <w:jc w:val="both"/>
        <w:rPr>
          <w:highlight w:val="none"/>
          <w:shd w:fill="auto" w:val="clear"/>
        </w:rPr>
      </w:pPr>
      <w:r>
        <w:rPr>
          <w:shd w:fill="auto" w:val="clear"/>
        </w:rPr>
        <w:t>2.3. Авансирование не предусмотрено.</w:t>
      </w:r>
    </w:p>
    <w:p>
      <w:pPr>
        <w:pStyle w:val="Normal"/>
        <w:spacing w:before="0" w:after="0"/>
        <w:ind w:firstLine="425"/>
        <w:contextualSpacing/>
        <w:jc w:val="both"/>
        <w:rPr>
          <w:highlight w:val="none"/>
          <w:shd w:fill="auto" w:val="clear"/>
        </w:rPr>
      </w:pPr>
      <w:r>
        <w:rPr>
          <w:shd w:fill="auto" w:val="clear"/>
        </w:rPr>
        <w:t>2.4. Денежное обязательство Заказчика считается исполненным с момента поступления денежных средств на расчетный счет Поставщика.</w:t>
      </w:r>
    </w:p>
    <w:p>
      <w:pPr>
        <w:pStyle w:val="Normal"/>
        <w:spacing w:before="0" w:after="0"/>
        <w:ind w:firstLine="425"/>
        <w:contextualSpacing/>
        <w:jc w:val="both"/>
        <w:rPr>
          <w:highlight w:val="none"/>
          <w:shd w:fill="auto" w:val="clear"/>
        </w:rPr>
      </w:pPr>
      <w:r>
        <w:rPr>
          <w:shd w:fill="auto" w:val="clear"/>
        </w:rPr>
      </w:r>
    </w:p>
    <w:p>
      <w:pPr>
        <w:pStyle w:val="Normal"/>
        <w:spacing w:before="0" w:after="0"/>
        <w:ind w:firstLine="425"/>
        <w:contextualSpacing/>
        <w:jc w:val="center"/>
        <w:rPr>
          <w:highlight w:val="none"/>
          <w:shd w:fill="auto" w:val="clear"/>
        </w:rPr>
      </w:pPr>
      <w:r>
        <w:rPr>
          <w:b/>
          <w:shd w:fill="auto" w:val="clear"/>
        </w:rPr>
        <w:t>3. ПОРЯДОК СДАЧИ И ПРИЕМКИ</w:t>
      </w:r>
    </w:p>
    <w:p>
      <w:pPr>
        <w:pStyle w:val="Normal"/>
        <w:tabs>
          <w:tab w:val="clear" w:pos="708"/>
          <w:tab w:val="left" w:pos="851" w:leader="none"/>
        </w:tabs>
        <w:spacing w:before="0" w:after="0"/>
        <w:ind w:firstLine="425"/>
        <w:contextualSpacing/>
        <w:jc w:val="both"/>
        <w:rPr>
          <w:highlight w:val="none"/>
          <w:shd w:fill="auto" w:val="clear"/>
        </w:rPr>
      </w:pPr>
      <w:r>
        <w:rPr>
          <w:color w:val="FF0000"/>
          <w:shd w:fill="auto" w:val="clear"/>
        </w:rPr>
        <w:tab/>
      </w:r>
      <w:r>
        <w:rPr>
          <w:shd w:fill="auto" w:val="clear"/>
        </w:rPr>
        <w:t>3.1. Поставка</w:t>
      </w:r>
      <w:r>
        <w:rPr>
          <w:b/>
          <w:i/>
          <w:shd w:fill="auto" w:val="clear"/>
        </w:rPr>
        <w:t xml:space="preserve"> </w:t>
      </w:r>
      <w:r>
        <w:rPr>
          <w:shd w:fill="auto" w:val="clear"/>
        </w:rPr>
        <w:t>Товара производится Поставщиком в течение 7 (семи) рабочих дней с даты подписания договора.</w:t>
      </w:r>
    </w:p>
    <w:p>
      <w:pPr>
        <w:pStyle w:val="Normal"/>
        <w:ind w:firstLine="700"/>
        <w:jc w:val="both"/>
        <w:rPr/>
      </w:pPr>
      <w:r>
        <w:rPr>
          <w:shd w:fill="auto" w:val="clear"/>
        </w:rPr>
        <w:t xml:space="preserve">Поставщик не менее чем за 1 (один) рабочий день до дня осуществления поставки согласовывает с Заказчиком дату и время доставки товара в письменном виде по адресу электронной почты </w:t>
      </w:r>
      <w:hyperlink r:id="rId2">
        <w:r>
          <w:rPr>
            <w:shd w:fill="auto" w:val="clear"/>
            <w:lang w:val="en-US"/>
          </w:rPr>
          <w:t>it</w:t>
        </w:r>
        <w:r>
          <w:rPr>
            <w:shd w:fill="auto" w:val="clear"/>
          </w:rPr>
          <w:t>@</w:t>
        </w:r>
        <w:r>
          <w:rPr>
            <w:shd w:fill="auto" w:val="clear"/>
            <w:lang w:val="en-US"/>
          </w:rPr>
          <w:t>gpab</w:t>
        </w:r>
        <w:r>
          <w:rPr>
            <w:shd w:fill="auto" w:val="clear"/>
          </w:rPr>
          <w:t>.</w:t>
        </w:r>
        <w:r>
          <w:rPr>
            <w:shd w:fill="auto" w:val="clear"/>
            <w:lang w:val="en-US"/>
          </w:rPr>
          <w:t>spb</w:t>
        </w:r>
        <w:r>
          <w:rPr>
            <w:shd w:fill="auto" w:val="clear"/>
          </w:rPr>
          <w:t>.</w:t>
        </w:r>
        <w:r>
          <w:rPr>
            <w:shd w:fill="auto" w:val="clear"/>
            <w:lang w:val="en-US"/>
          </w:rPr>
          <w:t>ru</w:t>
        </w:r>
      </w:hyperlink>
      <w:r>
        <w:rPr>
          <w:shd w:fill="auto" w:val="clear"/>
        </w:rPr>
        <w:t>, либо устно по телефону +7 (812) 338-94-97. Поставка товара может быть осуществлена Поставщиком только после согласования Заказчиком точной даты и времени доставки товара.</w:t>
      </w:r>
    </w:p>
    <w:p>
      <w:pPr>
        <w:pStyle w:val="Normal"/>
        <w:ind w:firstLine="700"/>
        <w:jc w:val="both"/>
        <w:rPr>
          <w:highlight w:val="none"/>
          <w:shd w:fill="auto" w:val="clear"/>
        </w:rPr>
      </w:pPr>
      <w:r>
        <w:rPr>
          <w:shd w:fill="auto" w:val="clear"/>
        </w:rPr>
        <w:t xml:space="preserve">3.2. Товар доставляется за счет Поставщика по адресу: г. Санкт-Петербург, Учебный переулок д. 5, лит. Е, на второй этаж (включая подъем на второй этаж). </w:t>
      </w:r>
    </w:p>
    <w:p>
      <w:pPr>
        <w:pStyle w:val="Normal"/>
        <w:ind w:firstLine="700"/>
        <w:jc w:val="both"/>
        <w:rPr>
          <w:highlight w:val="none"/>
          <w:shd w:fill="auto" w:val="clear"/>
        </w:rPr>
      </w:pPr>
      <w:r>
        <w:rPr>
          <w:shd w:fill="auto" w:val="clear"/>
        </w:rPr>
        <w:t>3.3.  Вместе с Товаром Поставщик передает или пересылает в электронном виде с помощью систем ЭДО (подписанные электронной подписью) Заказчику следующие</w:t>
      </w:r>
      <w:r>
        <w:rPr>
          <w:shd w:fill="auto" w:val="clear"/>
          <w:lang w:val="ru-RU"/>
        </w:rPr>
        <w:t xml:space="preserve"> закрывающие </w:t>
      </w:r>
      <w:r>
        <w:rPr>
          <w:shd w:fill="auto" w:val="clear"/>
        </w:rPr>
        <w:t>документы:</w:t>
      </w:r>
    </w:p>
    <w:p>
      <w:pPr>
        <w:pStyle w:val="Normal"/>
        <w:numPr>
          <w:ilvl w:val="0"/>
          <w:numId w:val="1"/>
        </w:numPr>
        <w:tabs>
          <w:tab w:val="clear" w:pos="708"/>
          <w:tab w:val="left" w:pos="1418" w:leader="none"/>
        </w:tabs>
        <w:ind w:firstLine="700" w:left="0"/>
        <w:jc w:val="both"/>
        <w:rPr>
          <w:highlight w:val="none"/>
          <w:shd w:fill="auto" w:val="clear"/>
        </w:rPr>
      </w:pPr>
      <w:r>
        <w:rPr>
          <w:shd w:fill="auto" w:val="clear"/>
        </w:rPr>
        <w:t>оригинал товарной накладной унифицированной формы ТОРГ-12 – 1 (один) экземпляр, подписанный уполномоченным Поставщиком лицом, с приложением документа, подтверждающего полномочие представителя Поставщика на передачу Товара (либо УПД);</w:t>
      </w:r>
    </w:p>
    <w:p>
      <w:pPr>
        <w:pStyle w:val="Normal"/>
        <w:numPr>
          <w:ilvl w:val="0"/>
          <w:numId w:val="1"/>
        </w:numPr>
        <w:tabs>
          <w:tab w:val="clear" w:pos="708"/>
          <w:tab w:val="left" w:pos="1418" w:leader="none"/>
        </w:tabs>
        <w:ind w:firstLine="700" w:left="0"/>
        <w:jc w:val="both"/>
        <w:rPr>
          <w:highlight w:val="none"/>
          <w:shd w:fill="auto" w:val="clear"/>
        </w:rPr>
      </w:pPr>
      <w:r>
        <w:rPr>
          <w:shd w:fill="auto" w:val="clear"/>
        </w:rPr>
        <w:t>оригинал счета-фактуры,</w:t>
      </w:r>
      <w:r>
        <w:rPr>
          <w:color w:val="000000"/>
          <w:shd w:fill="auto" w:val="clear"/>
        </w:rPr>
        <w:t xml:space="preserve"> </w:t>
      </w:r>
      <w:r>
        <w:rPr>
          <w:shd w:fill="auto" w:val="clear"/>
        </w:rPr>
        <w:t xml:space="preserve">оформленный в соответствии с требованиями п.п. 5 и 6 ст. 169 Налогового кодекса Российской Федерации – 1 (один) экземпляр (если </w:t>
      </w:r>
      <w:bookmarkStart w:id="0" w:name="_GoBack"/>
      <w:bookmarkEnd w:id="0"/>
      <w:r>
        <w:rPr>
          <w:shd w:fill="auto" w:val="clear"/>
        </w:rPr>
        <w:t>УПД не предоставляется);</w:t>
      </w:r>
    </w:p>
    <w:p>
      <w:pPr>
        <w:pStyle w:val="Normal"/>
        <w:numPr>
          <w:ilvl w:val="0"/>
          <w:numId w:val="1"/>
        </w:numPr>
        <w:tabs>
          <w:tab w:val="clear" w:pos="708"/>
          <w:tab w:val="left" w:pos="1418" w:leader="none"/>
        </w:tabs>
        <w:ind w:firstLine="700" w:left="0"/>
        <w:jc w:val="both"/>
        <w:rPr>
          <w:highlight w:val="none"/>
          <w:shd w:fill="auto" w:val="clear"/>
        </w:rPr>
      </w:pPr>
      <w:r>
        <w:rPr>
          <w:shd w:fill="auto" w:val="clear"/>
        </w:rPr>
        <w:t>сертификат качества, санитарно-эпидемиологическое заключение, паспорта или иные, подтверждающие качество Товара документы, выдаваемые заводом-изготовителем или самим Поставщиком.</w:t>
      </w:r>
    </w:p>
    <w:p>
      <w:pPr>
        <w:pStyle w:val="Normal"/>
        <w:tabs>
          <w:tab w:val="clear" w:pos="708"/>
          <w:tab w:val="left" w:pos="1418" w:leader="none"/>
        </w:tabs>
        <w:ind w:left="700"/>
        <w:jc w:val="both"/>
        <w:rPr>
          <w:highlight w:val="none"/>
          <w:shd w:fill="auto" w:val="clear"/>
        </w:rPr>
      </w:pPr>
      <w:r>
        <w:rPr>
          <w:shd w:fill="auto" w:val="clear"/>
        </w:rPr>
        <w:t>3.4. Товар поставляется новым и не с истекшим сроком годности/эксплуатации.</w:t>
      </w:r>
    </w:p>
    <w:p>
      <w:pPr>
        <w:pStyle w:val="Normal"/>
        <w:tabs>
          <w:tab w:val="clear" w:pos="708"/>
          <w:tab w:val="left" w:pos="1418" w:leader="none"/>
        </w:tabs>
        <w:ind w:firstLine="700"/>
        <w:jc w:val="both"/>
        <w:rPr>
          <w:highlight w:val="none"/>
          <w:shd w:fill="auto" w:val="clear"/>
        </w:rPr>
      </w:pPr>
      <w:r>
        <w:rPr>
          <w:shd w:fill="auto" w:val="clear"/>
        </w:rPr>
        <w:t>3.5. В момент отгрузки товара лицо принимающее товар обязано провести внешний осмотр товара на предмет отсутствия видимых повреждений.</w:t>
      </w:r>
    </w:p>
    <w:p>
      <w:pPr>
        <w:pStyle w:val="Normal"/>
        <w:tabs>
          <w:tab w:val="clear" w:pos="708"/>
          <w:tab w:val="left" w:pos="1418" w:leader="none"/>
        </w:tabs>
        <w:ind w:firstLine="700"/>
        <w:jc w:val="both"/>
        <w:rPr>
          <w:highlight w:val="none"/>
          <w:shd w:fill="auto" w:val="clear"/>
        </w:rPr>
      </w:pPr>
      <w:r>
        <w:rPr>
          <w:shd w:fill="auto" w:val="clear"/>
        </w:rPr>
        <w:t>3.6 В случае поставки некачественного Товара, Товар подлежит замене или возврату его стоимости.</w:t>
      </w:r>
    </w:p>
    <w:p>
      <w:pPr>
        <w:pStyle w:val="Normal"/>
        <w:tabs>
          <w:tab w:val="clear" w:pos="708"/>
          <w:tab w:val="left" w:pos="1418" w:leader="none"/>
        </w:tabs>
        <w:ind w:firstLine="700"/>
        <w:jc w:val="both"/>
        <w:rPr>
          <w:highlight w:val="none"/>
          <w:shd w:fill="auto" w:val="clear"/>
        </w:rPr>
      </w:pPr>
      <w:r>
        <w:rPr>
          <w:shd w:fill="auto" w:val="clear"/>
        </w:rPr>
        <w:t>3.7 После передачи Товара Поставщик обязуется передать в течение 5 (пяти) рабочих дней закрывающие документы Покупателю.</w:t>
      </w:r>
    </w:p>
    <w:p>
      <w:pPr>
        <w:pStyle w:val="Normal"/>
        <w:tabs>
          <w:tab w:val="clear" w:pos="708"/>
          <w:tab w:val="left" w:pos="1418" w:leader="none"/>
        </w:tabs>
        <w:ind w:firstLine="700"/>
        <w:jc w:val="both"/>
        <w:rPr>
          <w:highlight w:val="none"/>
          <w:shd w:fill="auto" w:val="clear"/>
        </w:rPr>
      </w:pPr>
      <w:r>
        <w:rPr>
          <w:shd w:fill="auto" w:val="clear"/>
        </w:rPr>
        <w:t>3.8 Покупатель обязуется подписывать закрывающие документы в течение 5 (пяти) рабочих дней с момента их получения.</w:t>
      </w:r>
    </w:p>
    <w:p>
      <w:pPr>
        <w:pStyle w:val="Normal"/>
        <w:tabs>
          <w:tab w:val="clear" w:pos="708"/>
          <w:tab w:val="left" w:pos="1418" w:leader="none"/>
        </w:tabs>
        <w:ind w:firstLine="700"/>
        <w:jc w:val="both"/>
        <w:rPr>
          <w:highlight w:val="none"/>
          <w:shd w:fill="auto" w:val="clear"/>
        </w:rPr>
      </w:pPr>
      <w:r>
        <w:rPr>
          <w:shd w:fill="auto" w:val="clear"/>
        </w:rPr>
        <w:t>3.9. В случае несогласия с содержимым документа Покупатель в срок, обозначенный в п. 3.8, должен оформить отказ в подписи документов.</w:t>
      </w:r>
    </w:p>
    <w:p>
      <w:pPr>
        <w:pStyle w:val="Normal"/>
        <w:tabs>
          <w:tab w:val="clear" w:pos="708"/>
          <w:tab w:val="left" w:pos="1418" w:leader="none"/>
        </w:tabs>
        <w:ind w:firstLine="700"/>
        <w:jc w:val="both"/>
        <w:rPr>
          <w:highlight w:val="none"/>
          <w:shd w:fill="auto" w:val="clear"/>
        </w:rPr>
      </w:pPr>
      <w:r>
        <w:rPr>
          <w:shd w:fill="auto" w:val="clear"/>
        </w:rPr>
        <w:t>3.10 В случае нарушения срока, указанного в п.3.8 и невыполнения действий, предусмотренных в п. 3.9., документ признается действительным и принятым обеими Сторонами.</w:t>
      </w:r>
    </w:p>
    <w:p>
      <w:pPr>
        <w:pStyle w:val="Normal"/>
        <w:spacing w:before="0" w:after="0"/>
        <w:ind w:firstLine="425"/>
        <w:contextualSpacing/>
        <w:jc w:val="center"/>
        <w:rPr>
          <w:b/>
          <w:highlight w:val="none"/>
          <w:shd w:fill="auto" w:val="clear"/>
        </w:rPr>
      </w:pPr>
      <w:r>
        <w:rPr>
          <w:b/>
          <w:shd w:fill="auto" w:val="clear"/>
        </w:rPr>
      </w:r>
    </w:p>
    <w:p>
      <w:pPr>
        <w:pStyle w:val="Normal"/>
        <w:spacing w:before="0" w:after="0"/>
        <w:ind w:firstLine="425"/>
        <w:contextualSpacing/>
        <w:jc w:val="center"/>
        <w:rPr>
          <w:highlight w:val="none"/>
          <w:shd w:fill="auto" w:val="clear"/>
        </w:rPr>
      </w:pPr>
      <w:r>
        <w:rPr>
          <w:b/>
          <w:shd w:fill="auto" w:val="clear"/>
        </w:rPr>
        <w:t>4. ОТВЕТСТВЕННОСТЬ СТОРОН</w:t>
      </w:r>
    </w:p>
    <w:p>
      <w:pPr>
        <w:pStyle w:val="Normal"/>
        <w:spacing w:before="0" w:after="0"/>
        <w:ind w:firstLine="425"/>
        <w:contextualSpacing/>
        <w:jc w:val="both"/>
        <w:rPr>
          <w:highlight w:val="none"/>
          <w:shd w:fill="auto" w:val="clear"/>
        </w:rPr>
      </w:pPr>
      <w:r>
        <w:rPr>
          <w:shd w:fill="auto" w:val="clear"/>
        </w:rPr>
        <w:t>4.1.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pPr>
        <w:pStyle w:val="Normal"/>
        <w:spacing w:before="0" w:after="0"/>
        <w:ind w:firstLine="425"/>
        <w:contextualSpacing/>
        <w:jc w:val="both"/>
        <w:rPr>
          <w:highlight w:val="none"/>
          <w:shd w:fill="auto" w:val="clear"/>
        </w:rPr>
      </w:pPr>
      <w:r>
        <w:rPr>
          <w:shd w:fill="auto" w:val="clear"/>
        </w:rPr>
        <w:t xml:space="preserve">4.2. </w:t>
      </w:r>
      <w:r>
        <w:rPr>
          <w:color w:val="000000"/>
          <w:shd w:fill="auto" w:val="clear"/>
        </w:rPr>
        <w:t>В случае просрочки сроков исполнения обязательств по настоящему договору одной из Сторон, другая Сторона вправе начислить пени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 Пени устанавливаются в размере одной трехсотой действующей на дату уплаты пени ключевой ставки Центрального банка Российской Федерации от не уплаченной в срок суммы или от стоимости не оказанных в срок услуг.</w:t>
      </w:r>
    </w:p>
    <w:p>
      <w:pPr>
        <w:pStyle w:val="Normal"/>
        <w:spacing w:before="0" w:after="0"/>
        <w:ind w:firstLine="425"/>
        <w:contextualSpacing/>
        <w:jc w:val="both"/>
        <w:rPr>
          <w:highlight w:val="none"/>
          <w:shd w:fill="auto" w:val="clear"/>
        </w:rPr>
      </w:pPr>
      <w:r>
        <w:rPr>
          <w:color w:val="000000"/>
          <w:shd w:fill="auto" w:val="clear"/>
        </w:rPr>
        <w:t>4.3. В случае ненадлежащего исполнения условий настоящего договора, за исключение просрочки сроков исполнения обязательств Стороны вправе применить друг к другу штрафные санкции. Размер штрафа определяется в соответствии с требованиями Федерального закона,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shd w:fill="auto" w:val="clear"/>
        </w:rPr>
        <w:t>.</w:t>
      </w:r>
    </w:p>
    <w:p>
      <w:pPr>
        <w:pStyle w:val="Normal"/>
        <w:spacing w:before="0" w:after="0"/>
        <w:ind w:firstLine="425"/>
        <w:contextualSpacing/>
        <w:jc w:val="both"/>
        <w:rPr>
          <w:highlight w:val="none"/>
          <w:shd w:fill="auto" w:val="clear"/>
        </w:rPr>
      </w:pPr>
      <w:r>
        <w:rPr>
          <w:shd w:fill="auto" w:val="clear"/>
        </w:rPr>
        <w:t xml:space="preserve">4.4. </w:t>
      </w:r>
      <w:r>
        <w:rPr>
          <w:rFonts w:cs="Tahoma"/>
          <w:shd w:fill="auto" w:val="clear"/>
        </w:rPr>
        <w:t>Стороны договорились, что к их отношениям по настоящему договору нормы ст.317.1. ГК РФ не применяются.</w:t>
      </w:r>
    </w:p>
    <w:p>
      <w:pPr>
        <w:pStyle w:val="Normal"/>
        <w:spacing w:before="0" w:after="0"/>
        <w:ind w:firstLine="425"/>
        <w:contextualSpacing/>
        <w:jc w:val="both"/>
        <w:rPr>
          <w:highlight w:val="none"/>
          <w:shd w:fill="auto" w:val="clear"/>
        </w:rPr>
      </w:pPr>
      <w:r>
        <w:rPr>
          <w:shd w:fill="auto" w:val="clear"/>
        </w:rPr>
        <w:t>4.5</w:t>
        <w:tab/>
        <w:t>. Продавец не несет ответственность за невыполнение обязательств по настоящему Договору, если оно вызвано действием или бездействием Заказчика.</w:t>
      </w:r>
    </w:p>
    <w:p>
      <w:pPr>
        <w:pStyle w:val="Normal"/>
        <w:spacing w:before="0" w:after="0"/>
        <w:ind w:firstLine="425"/>
        <w:contextualSpacing/>
        <w:jc w:val="both"/>
        <w:rPr>
          <w:highlight w:val="none"/>
          <w:shd w:fill="auto" w:val="clear"/>
        </w:rPr>
      </w:pPr>
      <w:r>
        <w:rPr>
          <w:shd w:fill="auto" w:val="clear"/>
        </w:rPr>
        <w:t>4.6</w:t>
        <w:tab/>
        <w:t>. Разногласия по договору решаются путем переговоров непосредственно между Сторонами. Если согласие не будет достигнуто в течение двух недель, дело будет рассматриваться в Арбитражном суде по адресу местонахождения истца.</w:t>
      </w:r>
    </w:p>
    <w:p>
      <w:pPr>
        <w:pStyle w:val="Normal"/>
        <w:spacing w:before="0" w:after="0"/>
        <w:ind w:firstLine="425"/>
        <w:contextualSpacing/>
        <w:jc w:val="both"/>
        <w:rPr>
          <w:highlight w:val="none"/>
          <w:shd w:fill="auto" w:val="clear"/>
        </w:rPr>
      </w:pPr>
      <w:r>
        <w:rPr>
          <w:shd w:fill="auto" w:val="clear"/>
        </w:rPr>
        <w:t>4.7</w:t>
      </w:r>
      <w:r>
        <w:rPr>
          <w:rFonts w:eastAsia="NSimSun" w:cs="Arial"/>
          <w:kern w:val="2"/>
          <w:sz w:val="24"/>
          <w:szCs w:val="24"/>
          <w:shd w:fill="auto" w:val="clear"/>
          <w:lang w:eastAsia="zh-CN" w:bidi="hi-IN"/>
        </w:rPr>
        <w:t xml:space="preserve"> Поставщик </w:t>
      </w:r>
      <w:r>
        <w:rPr>
          <w:rFonts w:eastAsia="NSimSun" w:cs="Arial"/>
          <w:color w:val="000000"/>
          <w:kern w:val="2"/>
          <w:sz w:val="24"/>
          <w:szCs w:val="24"/>
          <w:shd w:fill="auto" w:val="clear"/>
          <w:lang w:eastAsia="zh-CN" w:bidi="hi-IN"/>
        </w:rPr>
        <w:t xml:space="preserve"> декларирует, что на момент заключения Контракта соответствует  требованиям, установленным пунктами 3 - 5, 7 – 11 части 1 статьи 31 Федерального закона от 05.04.2013 № 44-ФЗ (</w:t>
      </w:r>
      <w:r>
        <w:rPr>
          <w:rFonts w:eastAsia="NSimSun" w:cs="Arial"/>
          <w:i/>
          <w:iCs/>
          <w:color w:val="000000"/>
          <w:kern w:val="2"/>
          <w:sz w:val="24"/>
          <w:szCs w:val="24"/>
          <w:shd w:fill="auto" w:val="clear"/>
          <w:lang w:eastAsia="zh-CN" w:bidi="hi-IN"/>
        </w:rPr>
        <w:t xml:space="preserve">Приложение №2 к </w:t>
      </w:r>
      <w:r>
        <w:rPr>
          <w:rFonts w:cs="Arial"/>
          <w:i/>
          <w:iCs/>
          <w:color w:val="000000"/>
          <w:kern w:val="2"/>
          <w:sz w:val="24"/>
          <w:szCs w:val="24"/>
          <w:shd w:fill="auto" w:val="clear"/>
          <w:lang w:eastAsia="zh-CN" w:bidi="hi-IN"/>
        </w:rPr>
        <w:t>Договору</w:t>
      </w:r>
      <w:r>
        <w:rPr>
          <w:rFonts w:eastAsia="NSimSun" w:cs="Arial"/>
          <w:color w:val="000000"/>
          <w:kern w:val="2"/>
          <w:sz w:val="24"/>
          <w:szCs w:val="24"/>
          <w:shd w:fill="auto" w:val="clear"/>
          <w:lang w:eastAsia="zh-CN" w:bidi="hi-IN"/>
        </w:rPr>
        <w:t>).</w:t>
      </w:r>
    </w:p>
    <w:p>
      <w:pPr>
        <w:pStyle w:val="Normal"/>
        <w:spacing w:before="0" w:after="0"/>
        <w:ind w:firstLine="425"/>
        <w:contextualSpacing/>
        <w:jc w:val="both"/>
        <w:rPr>
          <w:highlight w:val="none"/>
          <w:shd w:fill="auto" w:val="clear"/>
        </w:rPr>
      </w:pPr>
      <w:r>
        <w:rPr>
          <w:rFonts w:eastAsia="NSimSun" w:cs="Arial"/>
          <w:color w:val="000000"/>
          <w:kern w:val="2"/>
          <w:sz w:val="24"/>
          <w:szCs w:val="24"/>
          <w:shd w:fill="auto" w:val="clear"/>
          <w:lang w:eastAsia="zh-CN" w:bidi="hi-IN"/>
        </w:rPr>
        <w:t>4.8  Информация об поставщике  отсутствует 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w:t>
      </w:r>
    </w:p>
    <w:p>
      <w:pPr>
        <w:pStyle w:val="Normal"/>
        <w:spacing w:before="0" w:after="0"/>
        <w:ind w:firstLine="425"/>
        <w:contextualSpacing/>
        <w:jc w:val="center"/>
        <w:rPr>
          <w:highlight w:val="none"/>
          <w:shd w:fill="auto" w:val="clear"/>
        </w:rPr>
      </w:pPr>
      <w:r>
        <w:rPr>
          <w:shd w:fill="auto" w:val="clear"/>
        </w:rPr>
      </w:r>
    </w:p>
    <w:p>
      <w:pPr>
        <w:pStyle w:val="Normal"/>
        <w:spacing w:before="0" w:after="0"/>
        <w:ind w:firstLine="425"/>
        <w:contextualSpacing/>
        <w:jc w:val="center"/>
        <w:rPr>
          <w:highlight w:val="none"/>
          <w:shd w:fill="auto" w:val="clear"/>
        </w:rPr>
      </w:pPr>
      <w:r>
        <w:rPr>
          <w:b/>
          <w:bCs/>
          <w:shd w:fill="auto" w:val="clear"/>
        </w:rPr>
        <w:t>5. ГАРАНТИЙНЫЕ ОБЯЗАТЕЛЬСТВА</w:t>
      </w:r>
    </w:p>
    <w:p>
      <w:pPr>
        <w:pStyle w:val="Normal"/>
        <w:ind w:firstLine="425"/>
        <w:jc w:val="both"/>
        <w:rPr>
          <w:highlight w:val="none"/>
          <w:shd w:fill="auto" w:val="clear"/>
        </w:rPr>
      </w:pPr>
      <w:r>
        <w:rPr>
          <w:shd w:fill="auto" w:val="clear"/>
        </w:rPr>
        <w:t>5.1. Заказчик в случае обнаружения дефектов и недостатков в течение гарантийного срока письменно уведомляет поставщика обо всех претензиях, связанных с товаром. После получения такого уведомления поставщик в течение 30 календарных дней обязан устранить неисправность. В случае если устранить неисправность окажется невозможно, Поставщик обязуется заменить элемент, имеющий дефект или недостаток, на такой же элемент, имеющий аналогичную функциональную характеристику или заменить товар целиком, в случае выявления брака, товар подлежит замене либо возврату стоимости товара.</w:t>
      </w:r>
    </w:p>
    <w:p>
      <w:pPr>
        <w:pStyle w:val="Normal"/>
        <w:spacing w:before="0" w:after="0"/>
        <w:ind w:firstLine="425"/>
        <w:contextualSpacing/>
        <w:jc w:val="both"/>
        <w:rPr>
          <w:highlight w:val="none"/>
          <w:shd w:fill="auto" w:val="clear"/>
        </w:rPr>
      </w:pPr>
      <w:r>
        <w:rPr>
          <w:shd w:fill="auto" w:val="clear"/>
        </w:rPr>
        <w:t>5.2. Поставщик предоставляет гарантию качества Товара в объеме и на срок, установленный заводом-изготовителем Товара, но не менее чем 12 (двенадцать) месяцев со дня приемки товара по товарной накладной.</w:t>
      </w:r>
    </w:p>
    <w:p>
      <w:pPr>
        <w:pStyle w:val="Normal"/>
        <w:spacing w:before="0" w:after="0"/>
        <w:ind w:firstLine="425"/>
        <w:contextualSpacing/>
        <w:jc w:val="center"/>
        <w:rPr>
          <w:b/>
          <w:highlight w:val="none"/>
          <w:shd w:fill="auto" w:val="clear"/>
        </w:rPr>
      </w:pPr>
      <w:r>
        <w:rPr>
          <w:b/>
          <w:shd w:fill="auto" w:val="clear"/>
        </w:rPr>
      </w:r>
    </w:p>
    <w:p>
      <w:pPr>
        <w:pStyle w:val="Normal"/>
        <w:spacing w:before="0" w:after="0"/>
        <w:ind w:firstLine="425"/>
        <w:contextualSpacing/>
        <w:jc w:val="center"/>
        <w:rPr>
          <w:highlight w:val="none"/>
          <w:shd w:fill="auto" w:val="clear"/>
        </w:rPr>
      </w:pPr>
      <w:r>
        <w:rPr>
          <w:b/>
          <w:shd w:fill="auto" w:val="clear"/>
        </w:rPr>
        <w:t>6. ОБСТОЯТЕЛЬСТВА НЕПРЕОДОЛИМОЙ СИЛЫ (ФОРС - МАЖОР)</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6.1.</w:t>
      </w:r>
      <w:r>
        <w:rPr>
          <w:spacing w:val="-4"/>
          <w:shd w:fill="auto" w:val="clear"/>
        </w:rPr>
        <w:tab/>
        <w:t>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6.2.</w:t>
        <w:tab/>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договору в соответствии с законным порядком.</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6.3.</w:t>
        <w:tab/>
        <w:t>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6.4.</w:t>
        <w:tab/>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6.5.</w:t>
        <w:tab/>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6.6.</w:t>
        <w:tab/>
        <w:t>Если действие обстоятельств непреодолимой силы продолжается более 6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pPr>
        <w:pStyle w:val="Normal"/>
        <w:spacing w:before="0" w:after="0"/>
        <w:ind w:firstLine="425"/>
        <w:contextualSpacing/>
        <w:jc w:val="center"/>
        <w:rPr>
          <w:b/>
          <w:highlight w:val="none"/>
          <w:shd w:fill="auto" w:val="clear"/>
        </w:rPr>
      </w:pPr>
      <w:r>
        <w:rPr>
          <w:b/>
          <w:shd w:fill="auto" w:val="clear"/>
        </w:rPr>
      </w:r>
    </w:p>
    <w:p>
      <w:pPr>
        <w:pStyle w:val="Normal"/>
        <w:spacing w:before="0" w:after="0"/>
        <w:ind w:firstLine="425"/>
        <w:contextualSpacing/>
        <w:jc w:val="center"/>
        <w:rPr>
          <w:highlight w:val="none"/>
          <w:shd w:fill="auto" w:val="clear"/>
        </w:rPr>
      </w:pPr>
      <w:r>
        <w:rPr>
          <w:b/>
          <w:shd w:fill="auto" w:val="clear"/>
        </w:rPr>
        <w:t>7. СРОК ДЕЙСТВИЯ ДОГОВОРА</w:t>
      </w:r>
    </w:p>
    <w:p>
      <w:pPr>
        <w:pStyle w:val="BodyText2"/>
        <w:tabs>
          <w:tab w:val="clear" w:pos="708"/>
          <w:tab w:val="left" w:pos="709" w:leader="none"/>
        </w:tabs>
        <w:spacing w:lineRule="auto" w:line="240" w:before="0" w:after="0"/>
        <w:ind w:firstLine="425"/>
        <w:contextualSpacing/>
        <w:jc w:val="both"/>
        <w:rPr>
          <w:highlight w:val="none"/>
          <w:shd w:fill="auto" w:val="clear"/>
        </w:rPr>
      </w:pPr>
      <w:r>
        <w:rPr>
          <w:shd w:fill="auto" w:val="clear"/>
        </w:rPr>
        <w:t xml:space="preserve"> </w:t>
      </w:r>
      <w:r>
        <w:rPr>
          <w:shd w:fill="auto" w:val="clear"/>
        </w:rPr>
        <w:t>7.1. Срок действия настоящего Договора – с момента его подписания до 31.12.2026 года и до полного исполнения Сторонами своих обязательств по настоящему Договору.</w:t>
      </w:r>
    </w:p>
    <w:p>
      <w:pPr>
        <w:pStyle w:val="Normal"/>
        <w:tabs>
          <w:tab w:val="clear" w:pos="708"/>
          <w:tab w:val="left" w:pos="709" w:leader="none"/>
        </w:tabs>
        <w:spacing w:before="0" w:after="0"/>
        <w:ind w:firstLine="425"/>
        <w:contextualSpacing/>
        <w:jc w:val="both"/>
        <w:rPr>
          <w:highlight w:val="none"/>
          <w:shd w:fill="auto" w:val="clear"/>
        </w:rPr>
      </w:pPr>
      <w:r>
        <w:rPr>
          <w:shd w:fill="auto" w:val="clear"/>
        </w:rPr>
      </w:r>
    </w:p>
    <w:p>
      <w:pPr>
        <w:pStyle w:val="Normal"/>
        <w:tabs>
          <w:tab w:val="clear" w:pos="708"/>
          <w:tab w:val="left" w:pos="851" w:leader="none"/>
        </w:tabs>
        <w:spacing w:before="0" w:after="0"/>
        <w:ind w:firstLine="425"/>
        <w:contextualSpacing/>
        <w:jc w:val="center"/>
        <w:rPr>
          <w:highlight w:val="none"/>
          <w:shd w:fill="auto" w:val="clear"/>
        </w:rPr>
      </w:pPr>
      <w:r>
        <w:rPr>
          <w:b/>
          <w:shd w:fill="auto" w:val="clear"/>
        </w:rPr>
        <w:t>8. КОНФИДЕНЦИАЛЬНОСТЬ</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8.1.</w:t>
        <w:tab/>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8.2.</w:t>
        <w:tab/>
        <w:t>Требования п. 8.1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Однако даже в этом случае Стороны обязаны согласовать друг с другом объем и характер предоставляемой информации.</w:t>
      </w:r>
    </w:p>
    <w:p>
      <w:pPr>
        <w:pStyle w:val="Normal"/>
        <w:tabs>
          <w:tab w:val="clear" w:pos="708"/>
          <w:tab w:val="left" w:pos="851" w:leader="none"/>
        </w:tabs>
        <w:spacing w:before="0" w:after="0"/>
        <w:ind w:firstLine="425"/>
        <w:contextualSpacing/>
        <w:jc w:val="both"/>
        <w:rPr>
          <w:highlight w:val="none"/>
          <w:shd w:fill="auto" w:val="clear"/>
        </w:rPr>
      </w:pPr>
      <w:r>
        <w:rPr>
          <w:shd w:fill="auto" w:val="clear"/>
        </w:rPr>
        <w:t>8.3.</w:t>
        <w:tab/>
        <w:t>Любой ущерб, причиненный Стороне несоблюдением требований статьи 8 настоящего договора, подлежит полному возмещению виновной Стороной.</w:t>
      </w:r>
    </w:p>
    <w:p>
      <w:pPr>
        <w:pStyle w:val="Normal"/>
        <w:spacing w:before="0" w:after="0"/>
        <w:ind w:firstLine="425"/>
        <w:contextualSpacing/>
        <w:jc w:val="both"/>
        <w:rPr>
          <w:highlight w:val="none"/>
          <w:shd w:fill="auto" w:val="clear"/>
        </w:rPr>
      </w:pPr>
      <w:r>
        <w:rPr>
          <w:shd w:fill="auto" w:val="clear"/>
        </w:rPr>
      </w:r>
    </w:p>
    <w:p>
      <w:pPr>
        <w:pStyle w:val="Normal"/>
        <w:spacing w:before="0" w:after="0"/>
        <w:ind w:firstLine="425"/>
        <w:contextualSpacing/>
        <w:jc w:val="center"/>
        <w:rPr>
          <w:highlight w:val="none"/>
          <w:shd w:fill="auto" w:val="clear"/>
        </w:rPr>
      </w:pPr>
      <w:r>
        <w:rPr>
          <w:b/>
          <w:shd w:fill="auto" w:val="clear"/>
        </w:rPr>
        <w:t>9. ПРОЧИЕ УСЛОВИЯ</w:t>
      </w:r>
    </w:p>
    <w:p>
      <w:pPr>
        <w:pStyle w:val="Normal"/>
        <w:tabs>
          <w:tab w:val="clear" w:pos="708"/>
          <w:tab w:val="left" w:pos="993" w:leader="none"/>
        </w:tabs>
        <w:spacing w:before="0" w:after="0"/>
        <w:ind w:firstLine="425"/>
        <w:contextualSpacing/>
        <w:jc w:val="both"/>
        <w:rPr>
          <w:highlight w:val="none"/>
          <w:shd w:fill="auto" w:val="clear"/>
        </w:rPr>
      </w:pPr>
      <w:r>
        <w:rPr>
          <w:shd w:fill="auto" w:val="clear"/>
        </w:rPr>
        <w:t>9.1.</w:t>
        <w:tab/>
        <w:t>Все изменения и дополнения к настоящему договору совершаются в письменной форме по взаимному согласию Сторон.</w:t>
      </w:r>
    </w:p>
    <w:p>
      <w:pPr>
        <w:pStyle w:val="Normal"/>
        <w:tabs>
          <w:tab w:val="clear" w:pos="708"/>
          <w:tab w:val="left" w:pos="993" w:leader="none"/>
        </w:tabs>
        <w:spacing w:before="0" w:after="0"/>
        <w:ind w:firstLine="425"/>
        <w:contextualSpacing/>
        <w:jc w:val="both"/>
        <w:rPr>
          <w:highlight w:val="none"/>
          <w:shd w:fill="auto" w:val="clear"/>
        </w:rPr>
      </w:pPr>
      <w:r>
        <w:rPr>
          <w:shd w:fill="auto" w:val="clear"/>
        </w:rPr>
        <w:t>9.2.</w:t>
        <w:tab/>
        <w:t>Вопросы, не урегулированные настоящим договором, регламентируются нормами действующего законодательства.</w:t>
      </w:r>
    </w:p>
    <w:p>
      <w:pPr>
        <w:pStyle w:val="Normal"/>
        <w:tabs>
          <w:tab w:val="clear" w:pos="708"/>
          <w:tab w:val="left" w:pos="993" w:leader="none"/>
        </w:tabs>
        <w:spacing w:before="0" w:after="0"/>
        <w:ind w:firstLine="425"/>
        <w:contextualSpacing/>
        <w:jc w:val="both"/>
        <w:rPr>
          <w:highlight w:val="none"/>
          <w:shd w:fill="auto" w:val="clear"/>
        </w:rPr>
      </w:pPr>
      <w:r>
        <w:rPr>
          <w:shd w:fill="auto" w:val="clear"/>
        </w:rPr>
        <w:t>9.3.</w:t>
        <w:tab/>
        <w:t>Настоящий договор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pPr>
        <w:pStyle w:val="Normal"/>
        <w:tabs>
          <w:tab w:val="clear" w:pos="708"/>
          <w:tab w:val="left" w:pos="993" w:leader="none"/>
        </w:tabs>
        <w:spacing w:before="0" w:after="0"/>
        <w:ind w:firstLine="425"/>
        <w:contextualSpacing/>
        <w:jc w:val="both"/>
        <w:rPr>
          <w:highlight w:val="none"/>
          <w:shd w:fill="auto" w:val="clear"/>
        </w:rPr>
      </w:pPr>
      <w:r>
        <w:rPr>
          <w:shd w:fill="auto" w:val="clear"/>
        </w:rPr>
        <w:t xml:space="preserve">9.4. В случае изменения своего места нахождения, почтового адреса, номеров телефонов, факсов, банковских либо иных реквизитов стороны обязаны уведомить об этом друг друга в недельный срок со дня таких изменений. </w:t>
      </w:r>
    </w:p>
    <w:p>
      <w:pPr>
        <w:pStyle w:val="Normal"/>
        <w:tabs>
          <w:tab w:val="clear" w:pos="708"/>
          <w:tab w:val="left" w:pos="993" w:leader="none"/>
        </w:tabs>
        <w:spacing w:before="0" w:after="0"/>
        <w:ind w:firstLine="425"/>
        <w:contextualSpacing/>
        <w:jc w:val="both"/>
        <w:rPr>
          <w:highlight w:val="none"/>
          <w:shd w:fill="auto" w:val="clear"/>
        </w:rPr>
      </w:pPr>
      <w:r>
        <w:rPr>
          <w:shd w:fill="auto" w:val="clear"/>
        </w:rPr>
        <w:t>9.5. Все приложения к контракту являются его неотъемлемой частью.</w:t>
      </w:r>
    </w:p>
    <w:p>
      <w:pPr>
        <w:pStyle w:val="Normal"/>
        <w:tabs>
          <w:tab w:val="clear" w:pos="708"/>
          <w:tab w:val="left" w:pos="993" w:leader="none"/>
        </w:tabs>
        <w:spacing w:before="0" w:after="0"/>
        <w:ind w:firstLine="425"/>
        <w:contextualSpacing/>
        <w:jc w:val="both"/>
        <w:rPr>
          <w:highlight w:val="none"/>
          <w:shd w:fill="auto" w:val="clear"/>
        </w:rPr>
      </w:pPr>
      <w:r>
        <w:rPr>
          <w:shd w:fill="auto" w:val="clear"/>
        </w:rPr>
        <w:tab/>
      </w:r>
    </w:p>
    <w:p>
      <w:pPr>
        <w:pStyle w:val="Normal"/>
        <w:spacing w:before="0" w:after="0"/>
        <w:ind w:firstLine="425"/>
        <w:contextualSpacing/>
        <w:jc w:val="center"/>
        <w:rPr>
          <w:highlight w:val="none"/>
          <w:shd w:fill="auto" w:val="clear"/>
        </w:rPr>
      </w:pPr>
      <w:r>
        <w:rPr>
          <w:b/>
          <w:shd w:fill="auto" w:val="clear"/>
        </w:rPr>
        <w:t>10. АНТИКОРРУПЦИОННЫЕ УСЛОВИЯ</w:t>
      </w:r>
    </w:p>
    <w:p>
      <w:pPr>
        <w:pStyle w:val="Normal"/>
        <w:spacing w:before="0" w:after="0"/>
        <w:ind w:firstLine="425"/>
        <w:contextualSpacing/>
        <w:jc w:val="both"/>
        <w:rPr>
          <w:highlight w:val="none"/>
          <w:shd w:fill="auto" w:val="clear"/>
        </w:rPr>
      </w:pPr>
      <w:r>
        <w:rPr>
          <w:shd w:fill="auto" w:val="clear"/>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pPr>
        <w:pStyle w:val="Normal"/>
        <w:spacing w:before="0" w:after="0"/>
        <w:ind w:firstLine="425"/>
        <w:contextualSpacing/>
        <w:jc w:val="both"/>
        <w:rPr>
          <w:highlight w:val="none"/>
          <w:shd w:fill="auto" w:val="clear"/>
        </w:rPr>
      </w:pPr>
      <w:r>
        <w:rPr>
          <w:shd w:fill="auto" w:val="clear"/>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pPr>
        <w:pStyle w:val="Normal"/>
        <w:spacing w:before="0" w:after="0"/>
        <w:ind w:firstLine="425"/>
        <w:contextualSpacing/>
        <w:jc w:val="both"/>
        <w:rPr>
          <w:highlight w:val="none"/>
          <w:shd w:fill="auto" w:val="clear"/>
        </w:rPr>
      </w:pPr>
      <w:r>
        <w:rPr>
          <w:shd w:fill="auto" w:val="clear"/>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pacing w:before="0" w:after="0"/>
        <w:ind w:firstLine="425"/>
        <w:contextualSpacing/>
        <w:jc w:val="both"/>
        <w:rPr>
          <w:highlight w:val="none"/>
          <w:shd w:fill="auto" w:val="clear"/>
        </w:rPr>
      </w:pPr>
      <w:r>
        <w:rPr>
          <w:shd w:fill="auto" w:val="clear"/>
        </w:rPr>
        <w:t>- не совершать иных действий, нарушающих антикоррупционное законодательство Российской Федерации.</w:t>
      </w:r>
    </w:p>
    <w:p>
      <w:pPr>
        <w:pStyle w:val="Normal"/>
        <w:spacing w:before="0" w:after="0"/>
        <w:ind w:firstLine="425"/>
        <w:contextualSpacing/>
        <w:jc w:val="both"/>
        <w:rPr>
          <w:highlight w:val="none"/>
          <w:shd w:fill="auto" w:val="clear"/>
        </w:rPr>
      </w:pPr>
      <w:r>
        <w:rPr>
          <w:shd w:fill="auto" w:val="clear"/>
        </w:rPr>
      </w:r>
    </w:p>
    <w:p>
      <w:pPr>
        <w:pStyle w:val="Normal"/>
        <w:spacing w:before="0" w:after="0"/>
        <w:ind w:firstLine="425"/>
        <w:contextualSpacing/>
        <w:jc w:val="center"/>
        <w:rPr>
          <w:highlight w:val="none"/>
          <w:shd w:fill="auto" w:val="clear"/>
        </w:rPr>
      </w:pPr>
      <w:r>
        <w:rPr>
          <w:b/>
          <w:shd w:fill="auto" w:val="clear"/>
        </w:rPr>
        <w:t>11. ПРИЛОЖЕНИЯ</w:t>
      </w:r>
    </w:p>
    <w:p>
      <w:pPr>
        <w:pStyle w:val="Normal"/>
        <w:spacing w:before="0" w:after="0"/>
        <w:ind w:firstLine="425"/>
        <w:contextualSpacing/>
        <w:jc w:val="both"/>
        <w:rPr>
          <w:highlight w:val="none"/>
          <w:shd w:fill="auto" w:val="clear"/>
        </w:rPr>
      </w:pPr>
      <w:r>
        <w:rPr>
          <w:shd w:fill="auto" w:val="clear"/>
        </w:rPr>
        <w:t>Приложение № 1. Спецификация</w:t>
      </w:r>
    </w:p>
    <w:p>
      <w:pPr>
        <w:pStyle w:val="Normal"/>
        <w:spacing w:before="0" w:after="0"/>
        <w:ind w:firstLine="425"/>
        <w:contextualSpacing/>
        <w:jc w:val="both"/>
        <w:rPr>
          <w:highlight w:val="none"/>
          <w:shd w:fill="auto" w:val="clear"/>
        </w:rPr>
      </w:pPr>
      <w:r>
        <w:rPr>
          <w:shd w:fill="auto" w:val="clear"/>
        </w:rPr>
        <w:t>Приложение № 2. Декларация  соответствия</w:t>
      </w:r>
    </w:p>
    <w:p>
      <w:pPr>
        <w:pStyle w:val="Normal"/>
        <w:spacing w:before="0" w:after="0"/>
        <w:ind w:firstLine="425"/>
        <w:contextualSpacing/>
        <w:jc w:val="both"/>
        <w:rPr>
          <w:highlight w:val="none"/>
          <w:shd w:fill="auto" w:val="clear"/>
        </w:rPr>
      </w:pPr>
      <w:r>
        <w:rPr>
          <w:shd w:fill="auto" w:val="clear"/>
        </w:rPr>
        <w:t xml:space="preserve"> </w:t>
      </w:r>
    </w:p>
    <w:p>
      <w:pPr>
        <w:pStyle w:val="Normal"/>
        <w:spacing w:before="0" w:after="0"/>
        <w:ind w:firstLine="425"/>
        <w:contextualSpacing/>
        <w:jc w:val="center"/>
        <w:rPr>
          <w:highlight w:val="none"/>
          <w:shd w:fill="auto" w:val="clear"/>
        </w:rPr>
      </w:pPr>
      <w:r>
        <w:rPr>
          <w:b/>
          <w:shd w:fill="auto" w:val="clear"/>
        </w:rPr>
        <w:t>12. РЕКВИЗИТЫ СТОРОН</w:t>
      </w:r>
    </w:p>
    <w:p>
      <w:pPr>
        <w:pStyle w:val="Normal"/>
        <w:spacing w:before="0" w:after="0"/>
        <w:ind w:firstLine="425"/>
        <w:contextualSpacing/>
        <w:jc w:val="center"/>
        <w:rPr>
          <w:b/>
          <w:highlight w:val="none"/>
          <w:shd w:fill="auto" w:val="clear"/>
        </w:rPr>
      </w:pPr>
      <w:r>
        <w:rPr>
          <w:b/>
          <w:shd w:fill="auto" w:val="clear"/>
        </w:rPr>
      </w:r>
    </w:p>
    <w:tbl>
      <w:tblPr>
        <w:tblW w:w="9922"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5036"/>
        <w:gridCol w:w="4885"/>
      </w:tblGrid>
      <w:tr>
        <w:trPr/>
        <w:tc>
          <w:tcPr>
            <w:tcW w:w="5036" w:type="dxa"/>
            <w:tcBorders/>
          </w:tcPr>
          <w:p>
            <w:pPr>
              <w:pStyle w:val="Normal"/>
              <w:widowControl w:val="false"/>
              <w:tabs>
                <w:tab w:val="clear" w:pos="708"/>
                <w:tab w:val="left" w:pos="9142" w:leader="none"/>
              </w:tabs>
              <w:spacing w:before="0" w:after="0"/>
              <w:ind w:firstLine="425"/>
              <w:contextualSpacing/>
              <w:rPr>
                <w:highlight w:val="none"/>
                <w:shd w:fill="auto" w:val="clear"/>
              </w:rPr>
            </w:pPr>
            <w:r>
              <w:rPr>
                <w:b/>
                <w:shd w:fill="auto" w:val="clear"/>
              </w:rPr>
              <w:t>Заказчик:</w:t>
            </w:r>
          </w:p>
          <w:p>
            <w:pPr>
              <w:pStyle w:val="Normal"/>
              <w:widowControl w:val="false"/>
              <w:tabs>
                <w:tab w:val="clear" w:pos="708"/>
                <w:tab w:val="left" w:pos="-108" w:leader="none"/>
                <w:tab w:val="left" w:pos="0" w:leader="none"/>
              </w:tabs>
              <w:rPr>
                <w:highlight w:val="none"/>
                <w:shd w:fill="auto" w:val="clear"/>
              </w:rPr>
            </w:pPr>
            <w:r>
              <w:rPr>
                <w:b/>
                <w:shd w:fill="auto" w:val="clear"/>
              </w:rPr>
              <w:t>Санкт-Петербургское государственное бюджетное учреждение здравоохранения «Городское патолого-анатомическое бюро»</w:t>
            </w:r>
          </w:p>
          <w:p>
            <w:pPr>
              <w:pStyle w:val="Normal"/>
              <w:widowControl w:val="false"/>
              <w:ind w:left="107"/>
              <w:rPr>
                <w:sz w:val="20"/>
                <w:szCs w:val="20"/>
              </w:rPr>
            </w:pPr>
            <w:r>
              <w:rPr>
                <w:sz w:val="20"/>
                <w:szCs w:val="20"/>
              </w:rPr>
              <w:t>Адрес: 194354, СПб., Учебный пер., д.5</w:t>
            </w:r>
          </w:p>
          <w:p>
            <w:pPr>
              <w:pStyle w:val="Normal"/>
              <w:widowControl w:val="false"/>
              <w:ind w:left="107"/>
              <w:rPr>
                <w:sz w:val="20"/>
                <w:szCs w:val="20"/>
              </w:rPr>
            </w:pPr>
            <w:r>
              <w:rPr>
                <w:sz w:val="20"/>
                <w:szCs w:val="20"/>
              </w:rPr>
              <w:t>Тел. (812) 338-48-60</w:t>
            </w:r>
          </w:p>
          <w:p>
            <w:pPr>
              <w:pStyle w:val="Normal"/>
              <w:widowControl w:val="false"/>
              <w:ind w:left="107"/>
              <w:rPr>
                <w:sz w:val="20"/>
                <w:szCs w:val="20"/>
              </w:rPr>
            </w:pPr>
            <w:r>
              <w:rPr>
                <w:sz w:val="20"/>
                <w:szCs w:val="20"/>
              </w:rPr>
              <w:t>Эл. почта: pab@zdrav.spb.ru</w:t>
            </w:r>
          </w:p>
          <w:p>
            <w:pPr>
              <w:pStyle w:val="Normal"/>
              <w:widowControl w:val="false"/>
              <w:ind w:left="107"/>
              <w:rPr>
                <w:sz w:val="20"/>
                <w:szCs w:val="20"/>
              </w:rPr>
            </w:pPr>
            <w:r>
              <w:rPr>
                <w:sz w:val="20"/>
                <w:szCs w:val="20"/>
              </w:rPr>
              <w:t>ИНН 7802072179, КПП 780201001, Получатель: Комитет финансов г. Санкт-Петербург (СПб ГБУЗ «Городское патолого-анатомическое бюро», л\с 0151017)</w:t>
            </w:r>
          </w:p>
          <w:p>
            <w:pPr>
              <w:pStyle w:val="Normal"/>
              <w:widowControl w:val="false"/>
              <w:ind w:left="107"/>
              <w:rPr>
                <w:sz w:val="20"/>
                <w:szCs w:val="20"/>
              </w:rPr>
            </w:pPr>
            <w:r>
              <w:rPr>
                <w:sz w:val="20"/>
                <w:szCs w:val="20"/>
              </w:rPr>
              <w:t>Номер счета банка получателя:  40</w:t>
            </w:r>
            <w:r>
              <w:rPr>
                <w:sz w:val="20"/>
                <w:szCs w:val="20"/>
                <w:lang w:eastAsia="zh-CN"/>
              </w:rPr>
              <w:t>1</w:t>
            </w:r>
            <w:r>
              <w:rPr>
                <w:sz w:val="20"/>
                <w:szCs w:val="20"/>
              </w:rPr>
              <w:t>02810945370000005</w:t>
            </w:r>
          </w:p>
          <w:p>
            <w:pPr>
              <w:pStyle w:val="Normal"/>
              <w:widowControl w:val="false"/>
              <w:ind w:left="107"/>
              <w:rPr>
                <w:sz w:val="20"/>
                <w:szCs w:val="20"/>
              </w:rPr>
            </w:pPr>
            <w:r>
              <w:rPr>
                <w:sz w:val="20"/>
                <w:szCs w:val="20"/>
              </w:rPr>
              <w:t>Казначейский счет получателя: 03224643400000007200</w:t>
            </w:r>
          </w:p>
          <w:p>
            <w:pPr>
              <w:pStyle w:val="Normal"/>
              <w:widowControl w:val="false"/>
              <w:ind w:left="107"/>
              <w:rPr>
                <w:sz w:val="20"/>
                <w:szCs w:val="20"/>
              </w:rPr>
            </w:pPr>
            <w:r>
              <w:rPr>
                <w:bCs/>
                <w:sz w:val="20"/>
                <w:szCs w:val="20"/>
                <w:shd w:fill="auto" w:val="clear"/>
              </w:rPr>
              <w:t>ОКЦ №1 СЗГУ</w:t>
            </w:r>
            <w:r>
              <w:rPr>
                <w:sz w:val="20"/>
                <w:szCs w:val="20"/>
                <w:shd w:fill="auto" w:val="clear"/>
              </w:rPr>
              <w:t xml:space="preserve"> Банка России//УФК по г. Санкт-Петербургу, г. Санкт-Петербург. БИК </w:t>
            </w:r>
            <w:r>
              <w:rPr>
                <w:sz w:val="20"/>
                <w:szCs w:val="20"/>
                <w:shd w:fill="auto" w:val="clear"/>
                <w:lang w:eastAsia="zh-CN"/>
              </w:rPr>
              <w:t>014030106</w:t>
            </w:r>
          </w:p>
          <w:p>
            <w:pPr>
              <w:pStyle w:val="Normal"/>
              <w:widowControl w:val="false"/>
              <w:tabs>
                <w:tab w:val="clear" w:pos="708"/>
                <w:tab w:val="left" w:pos="-108" w:leader="none"/>
                <w:tab w:val="left" w:pos="0" w:leader="none"/>
              </w:tabs>
              <w:rPr>
                <w:highlight w:val="none"/>
                <w:shd w:fill="auto" w:val="clear"/>
              </w:rPr>
            </w:pPr>
            <w:r>
              <w:rPr>
                <w:shd w:fill="auto" w:val="clear"/>
              </w:rPr>
            </w:r>
          </w:p>
          <w:p>
            <w:pPr>
              <w:pStyle w:val="Normal"/>
              <w:widowControl w:val="false"/>
              <w:ind w:left="107"/>
              <w:rPr>
                <w:sz w:val="20"/>
                <w:szCs w:val="20"/>
              </w:rPr>
            </w:pPr>
            <w:r>
              <w:rPr>
                <w:sz w:val="20"/>
                <w:szCs w:val="20"/>
              </w:rPr>
              <w:t>Ответственное лицо</w:t>
            </w:r>
          </w:p>
          <w:p>
            <w:pPr>
              <w:pStyle w:val="Normal"/>
              <w:widowControl w:val="false"/>
              <w:ind w:left="107"/>
              <w:rPr>
                <w:sz w:val="20"/>
                <w:szCs w:val="20"/>
              </w:rPr>
            </w:pPr>
            <w:r>
              <w:rPr>
                <w:sz w:val="20"/>
                <w:szCs w:val="20"/>
              </w:rPr>
              <w:t>Колесников Виктор Сергеевич</w:t>
            </w:r>
          </w:p>
          <w:p>
            <w:pPr>
              <w:pStyle w:val="Normal"/>
              <w:widowControl w:val="false"/>
              <w:ind w:left="107"/>
              <w:rPr>
                <w:sz w:val="20"/>
                <w:szCs w:val="20"/>
              </w:rPr>
            </w:pPr>
            <w:r>
              <w:rPr>
                <w:sz w:val="20"/>
                <w:szCs w:val="20"/>
              </w:rPr>
              <w:t xml:space="preserve">Тел. </w:t>
            </w:r>
            <w:r>
              <w:rPr>
                <w:rFonts w:ascii="Times New Roman" w:hAnsi="Times New Roman"/>
                <w:sz w:val="20"/>
                <w:szCs w:val="20"/>
              </w:rPr>
              <w:t>+7 (812) 338-94-97</w:t>
            </w:r>
          </w:p>
          <w:p>
            <w:pPr>
              <w:pStyle w:val="Normal"/>
              <w:jc w:val="both"/>
              <w:rPr>
                <w:b w:val="false"/>
                <w:bCs w:val="false"/>
                <w:i w:val="false"/>
                <w:i w:val="false"/>
                <w:iCs w:val="false"/>
              </w:rPr>
            </w:pPr>
            <w:r>
              <w:rPr>
                <w:rFonts w:ascii="Times New Roman" w:hAnsi="Times New Roman"/>
                <w:b w:val="false"/>
                <w:bCs w:val="false"/>
                <w:i w:val="false"/>
                <w:iCs w:val="false"/>
                <w:sz w:val="20"/>
                <w:szCs w:val="20"/>
                <w:lang w:val="en-US"/>
              </w:rPr>
              <w:t xml:space="preserve">   </w:t>
            </w:r>
            <w:r>
              <w:rPr>
                <w:rFonts w:ascii="Times New Roman" w:hAnsi="Times New Roman"/>
                <w:b w:val="false"/>
                <w:bCs w:val="false"/>
                <w:i w:val="false"/>
                <w:iCs w:val="false"/>
                <w:sz w:val="20"/>
                <w:szCs w:val="20"/>
                <w:lang w:val="en-US"/>
              </w:rPr>
              <w:t>it@gpab.spb.ru</w:t>
            </w:r>
          </w:p>
        </w:tc>
        <w:tc>
          <w:tcPr>
            <w:tcW w:w="4885" w:type="dxa"/>
            <w:tcBorders/>
          </w:tcPr>
          <w:p>
            <w:pPr>
              <w:pStyle w:val="Normal"/>
              <w:widowControl w:val="false"/>
              <w:tabs>
                <w:tab w:val="clear" w:pos="708"/>
                <w:tab w:val="left" w:pos="9142" w:leader="none"/>
              </w:tabs>
              <w:spacing w:before="0" w:after="0"/>
              <w:ind w:firstLine="425"/>
              <w:contextualSpacing/>
              <w:rPr>
                <w:highlight w:val="none"/>
                <w:shd w:fill="auto" w:val="clear"/>
              </w:rPr>
            </w:pPr>
            <w:r>
              <w:rPr>
                <w:b/>
                <w:shd w:fill="auto" w:val="clear"/>
              </w:rPr>
              <w:t xml:space="preserve">        </w:t>
            </w:r>
            <w:r>
              <w:rPr>
                <w:b/>
                <w:shd w:fill="auto" w:val="clear"/>
              </w:rPr>
              <w:t>Поставщик:</w:t>
            </w:r>
          </w:p>
          <w:p>
            <w:pPr>
              <w:pStyle w:val="Normal"/>
              <w:widowControl w:val="false"/>
              <w:tabs>
                <w:tab w:val="clear" w:pos="708"/>
                <w:tab w:val="left" w:pos="9142" w:leader="none"/>
              </w:tabs>
              <w:spacing w:before="0" w:after="0"/>
              <w:contextualSpacing/>
              <w:rPr>
                <w:highlight w:val="none"/>
                <w:shd w:fill="auto" w:val="clear"/>
              </w:rPr>
            </w:pPr>
            <w:r>
              <w:rPr>
                <w:shd w:fill="auto" w:val="clear"/>
              </w:rPr>
            </w:r>
          </w:p>
          <w:p>
            <w:pPr>
              <w:pStyle w:val="Normal"/>
              <w:widowControl w:val="false"/>
              <w:rPr>
                <w:highlight w:val="none"/>
                <w:shd w:fill="auto" w:val="clear"/>
              </w:rPr>
            </w:pPr>
            <w:r>
              <w:rPr>
                <w:shd w:fill="auto" w:val="clear"/>
              </w:rPr>
              <w:t>Юридический адрес</w:t>
            </w:r>
          </w:p>
          <w:p>
            <w:pPr>
              <w:pStyle w:val="Normal"/>
              <w:widowControl w:val="false"/>
              <w:rPr>
                <w:highlight w:val="none"/>
                <w:shd w:fill="auto" w:val="clear"/>
              </w:rPr>
            </w:pPr>
            <w:r>
              <w:rPr>
                <w:shd w:fill="auto" w:val="clear"/>
              </w:rPr>
              <w:t>Фактический адрес</w:t>
            </w:r>
          </w:p>
          <w:p>
            <w:pPr>
              <w:pStyle w:val="Normal"/>
              <w:widowControl w:val="false"/>
              <w:rPr>
                <w:highlight w:val="none"/>
                <w:shd w:fill="auto" w:val="clear"/>
              </w:rPr>
            </w:pPr>
            <w:r>
              <w:rPr>
                <w:shd w:fill="auto" w:val="clear"/>
              </w:rPr>
              <w:t>ИНН</w:t>
            </w:r>
          </w:p>
          <w:p>
            <w:pPr>
              <w:pStyle w:val="Normal"/>
              <w:widowControl w:val="false"/>
              <w:rPr>
                <w:highlight w:val="none"/>
                <w:shd w:fill="auto" w:val="clear"/>
              </w:rPr>
            </w:pPr>
            <w:r>
              <w:rPr>
                <w:shd w:fill="auto" w:val="clear"/>
              </w:rPr>
              <w:t>КПП</w:t>
            </w:r>
          </w:p>
          <w:p>
            <w:pPr>
              <w:pStyle w:val="Normal"/>
              <w:widowControl w:val="false"/>
              <w:rPr>
                <w:highlight w:val="none"/>
                <w:shd w:fill="auto" w:val="clear"/>
              </w:rPr>
            </w:pPr>
            <w:r>
              <w:rPr>
                <w:shd w:fill="auto" w:val="clear"/>
              </w:rPr>
              <w:t>ОГРН</w:t>
            </w:r>
          </w:p>
          <w:p>
            <w:pPr>
              <w:pStyle w:val="Normal"/>
              <w:widowControl w:val="false"/>
              <w:rPr>
                <w:highlight w:val="none"/>
                <w:shd w:fill="auto" w:val="clear"/>
              </w:rPr>
            </w:pPr>
            <w:r>
              <w:rPr>
                <w:shd w:fill="auto" w:val="clear"/>
              </w:rPr>
              <w:t>Расчётный счёт</w:t>
            </w:r>
          </w:p>
          <w:p>
            <w:pPr>
              <w:pStyle w:val="Normal"/>
              <w:widowControl w:val="false"/>
              <w:rPr>
                <w:highlight w:val="none"/>
                <w:shd w:fill="auto" w:val="clear"/>
              </w:rPr>
            </w:pPr>
            <w:r>
              <w:rPr>
                <w:shd w:fill="auto" w:val="clear"/>
              </w:rPr>
              <w:t>Корреспондентский счёт</w:t>
            </w:r>
          </w:p>
          <w:p>
            <w:pPr>
              <w:pStyle w:val="Normal"/>
              <w:widowControl w:val="false"/>
              <w:rPr>
                <w:highlight w:val="none"/>
                <w:shd w:fill="auto" w:val="clear"/>
              </w:rPr>
            </w:pPr>
            <w:r>
              <w:rPr>
                <w:shd w:fill="auto" w:val="clear"/>
              </w:rPr>
              <w:t>БИК</w:t>
            </w:r>
          </w:p>
          <w:p>
            <w:pPr>
              <w:pStyle w:val="Normal"/>
              <w:widowControl w:val="false"/>
              <w:rPr>
                <w:highlight w:val="none"/>
                <w:shd w:fill="auto" w:val="clear"/>
              </w:rPr>
            </w:pPr>
            <w:r>
              <w:rPr>
                <w:shd w:fill="auto" w:val="clear"/>
              </w:rPr>
              <w:t>Телефон</w:t>
            </w:r>
          </w:p>
          <w:p>
            <w:pPr>
              <w:pStyle w:val="Normal"/>
              <w:widowControl w:val="false"/>
              <w:rPr>
                <w:highlight w:val="none"/>
                <w:shd w:fill="auto" w:val="clear"/>
              </w:rPr>
            </w:pPr>
            <w:r>
              <w:rPr>
                <w:shd w:fill="auto" w:val="clear"/>
              </w:rPr>
              <w:t>e-mail</w:t>
            </w:r>
          </w:p>
        </w:tc>
      </w:tr>
    </w:tbl>
    <w:p>
      <w:pPr>
        <w:pStyle w:val="Heading1"/>
        <w:spacing w:before="0" w:after="0"/>
        <w:ind w:hanging="284" w:left="0"/>
        <w:contextualSpacing/>
        <w:jc w:val="center"/>
        <w:rPr>
          <w:sz w:val="22"/>
          <w:highlight w:val="none"/>
          <w:shd w:fill="auto" w:val="clear"/>
          <w:lang w:val="en-US"/>
        </w:rPr>
      </w:pPr>
      <w:r>
        <w:rPr>
          <w:sz w:val="22"/>
          <w:shd w:fill="auto" w:val="clear"/>
          <w:lang w:val="en-US"/>
        </w:rPr>
      </w:r>
    </w:p>
    <w:p>
      <w:pPr>
        <w:pStyle w:val="Heading1"/>
        <w:spacing w:before="0" w:after="0"/>
        <w:ind w:hanging="284" w:left="0"/>
        <w:contextualSpacing/>
        <w:jc w:val="center"/>
        <w:rPr>
          <w:sz w:val="22"/>
          <w:highlight w:val="none"/>
          <w:shd w:fill="auto" w:val="clear"/>
        </w:rPr>
      </w:pPr>
      <w:r>
        <w:rPr>
          <w:sz w:val="22"/>
          <w:shd w:fill="auto" w:val="clear"/>
        </w:rPr>
      </w:r>
    </w:p>
    <w:p>
      <w:pPr>
        <w:pStyle w:val="Normal"/>
        <w:shd w:val="clear" w:color="auto" w:fill="FFFFFF"/>
        <w:tabs>
          <w:tab w:val="clear" w:pos="708"/>
          <w:tab w:val="left" w:pos="0" w:leader="none"/>
        </w:tabs>
        <w:spacing w:lineRule="auto" w:line="360"/>
        <w:ind w:left="5"/>
        <w:jc w:val="both"/>
        <w:rPr>
          <w:highlight w:val="none"/>
          <w:shd w:fill="auto" w:val="clear"/>
        </w:rPr>
      </w:pPr>
      <w:r>
        <w:rPr>
          <w:b/>
          <w:bCs/>
          <w:color w:val="000000"/>
          <w:spacing w:val="1"/>
          <w:shd w:fill="auto" w:val="clear"/>
          <w:lang w:eastAsia="zh-CN"/>
        </w:rPr>
        <w:t xml:space="preserve">  </w:t>
      </w:r>
      <w:r>
        <w:rPr>
          <w:b/>
          <w:bCs/>
          <w:color w:val="000000"/>
          <w:spacing w:val="1"/>
          <w:shd w:fill="auto" w:val="clear"/>
          <w:lang w:eastAsia="zh-CN"/>
        </w:rPr>
        <w:t>Заказчик:</w:t>
      </w:r>
      <w:r>
        <w:rPr>
          <w:b/>
          <w:bCs/>
          <w:color w:val="000000"/>
          <w:shd w:fill="auto" w:val="clear"/>
          <w:lang w:eastAsia="zh-CN"/>
        </w:rPr>
        <w:tab/>
        <w:t xml:space="preserve">                                                                  </w:t>
        <w:tab/>
      </w:r>
      <w:r>
        <w:rPr>
          <w:b/>
          <w:bCs/>
          <w:color w:val="000000"/>
          <w:spacing w:val="-4"/>
          <w:shd w:fill="auto" w:val="clear"/>
          <w:lang w:eastAsia="zh-CN"/>
        </w:rPr>
        <w:t>Поставщик:</w:t>
      </w:r>
      <w:r>
        <w:rPr>
          <w:b/>
          <w:bCs/>
          <w:color w:val="000000"/>
          <w:shd w:fill="auto" w:val="clear"/>
          <w:lang w:eastAsia="zh-CN"/>
        </w:rPr>
        <w:t xml:space="preserve">    </w:t>
      </w:r>
    </w:p>
    <w:tbl>
      <w:tblPr>
        <w:tblW w:w="1003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19"/>
        <w:gridCol w:w="4819"/>
      </w:tblGrid>
      <w:tr>
        <w:trPr/>
        <w:tc>
          <w:tcPr>
            <w:tcW w:w="5219" w:type="dxa"/>
            <w:tcBorders/>
            <w:shd w:color="auto" w:fill="auto" w:val="clear"/>
          </w:tcPr>
          <w:p>
            <w:pPr>
              <w:pStyle w:val="Normal"/>
              <w:widowControl w:val="false"/>
              <w:spacing w:before="0" w:after="0"/>
              <w:contextualSpacing/>
              <w:rPr>
                <w:highlight w:val="none"/>
                <w:shd w:fill="auto" w:val="clear"/>
              </w:rPr>
            </w:pPr>
            <w:r>
              <w:rPr>
                <w:b/>
                <w:shd w:fill="auto" w:val="clear"/>
              </w:rPr>
              <w:t>Главный врач СПб ГБУЗ «ГПАБ»</w:t>
            </w:r>
          </w:p>
          <w:p>
            <w:pPr>
              <w:pStyle w:val="Normal"/>
              <w:widowControl w:val="false"/>
              <w:spacing w:before="0" w:after="0"/>
              <w:contextualSpacing/>
              <w:rPr>
                <w:b/>
                <w:highlight w:val="none"/>
                <w:shd w:fill="auto" w:val="clear"/>
              </w:rPr>
            </w:pPr>
            <w:r>
              <w:rPr>
                <w:b/>
                <w:shd w:fill="auto" w:val="clear"/>
              </w:rPr>
            </w:r>
          </w:p>
          <w:p>
            <w:pPr>
              <w:pStyle w:val="Normal"/>
              <w:widowControl w:val="false"/>
              <w:spacing w:before="0" w:after="0"/>
              <w:contextualSpacing/>
              <w:rPr>
                <w:highlight w:val="none"/>
                <w:shd w:fill="auto" w:val="clear"/>
              </w:rPr>
            </w:pPr>
            <w:r>
              <w:rPr>
                <w:shd w:fill="auto" w:val="clear"/>
              </w:rPr>
            </w:r>
          </w:p>
          <w:p>
            <w:pPr>
              <w:pStyle w:val="Normal"/>
              <w:widowControl w:val="false"/>
              <w:spacing w:before="0" w:after="0"/>
              <w:contextualSpacing/>
              <w:rPr>
                <w:highlight w:val="none"/>
                <w:shd w:fill="auto" w:val="clear"/>
              </w:rPr>
            </w:pPr>
            <w:r>
              <w:rPr>
                <w:shd w:fill="auto" w:val="clear"/>
              </w:rPr>
            </w:r>
          </w:p>
          <w:p>
            <w:pPr>
              <w:pStyle w:val="Normal"/>
              <w:widowControl w:val="false"/>
              <w:spacing w:before="0" w:after="0"/>
              <w:contextualSpacing/>
              <w:rPr>
                <w:highlight w:val="none"/>
                <w:shd w:fill="auto" w:val="clear"/>
              </w:rPr>
            </w:pPr>
            <w:r>
              <w:rPr>
                <w:shd w:fill="auto" w:val="clear"/>
              </w:rPr>
              <w:t>_________________/М.Ю. Майская/</w:t>
            </w:r>
          </w:p>
        </w:tc>
        <w:tc>
          <w:tcPr>
            <w:tcW w:w="4819" w:type="dxa"/>
            <w:tcBorders/>
            <w:shd w:color="auto" w:fill="auto" w:val="clear"/>
          </w:tcPr>
          <w:p>
            <w:pPr>
              <w:pStyle w:val="Normal"/>
              <w:widowControl w:val="false"/>
              <w:spacing w:before="0" w:after="0"/>
              <w:contextualSpacing/>
              <w:rPr>
                <w:b/>
                <w:highlight w:val="none"/>
                <w:shd w:fill="auto" w:val="clear"/>
              </w:rPr>
            </w:pPr>
            <w:r>
              <w:rPr>
                <w:b/>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5770" w:leader="none"/>
              </w:tabs>
              <w:ind w:left="11"/>
              <w:rPr>
                <w:highlight w:val="none"/>
                <w:shd w:fill="auto" w:val="clear"/>
              </w:rPr>
            </w:pPr>
            <w:r>
              <w:rPr>
                <w:color w:val="000000"/>
                <w:spacing w:val="-3"/>
                <w:shd w:fill="auto" w:val="clear"/>
                <w:lang w:eastAsia="zh-CN"/>
              </w:rPr>
              <w:t>_______________ / _________________</w:t>
            </w:r>
          </w:p>
        </w:tc>
      </w:tr>
    </w:tbl>
    <w:p>
      <w:pPr>
        <w:pStyle w:val="FR1"/>
        <w:numPr>
          <w:ilvl w:val="0"/>
          <w:numId w:val="0"/>
        </w:numPr>
        <w:spacing w:before="0" w:after="0"/>
        <w:ind w:hanging="0" w:left="0"/>
        <w:outlineLvl w:val="0"/>
        <w:rPr>
          <w:b w:val="false"/>
          <w:bCs/>
          <w:color w:val="000000"/>
          <w:szCs w:val="22"/>
          <w:highlight w:val="none"/>
          <w:shd w:fill="auto" w:val="clear"/>
        </w:rPr>
      </w:pPr>
      <w:r>
        <w:rPr>
          <w:b w:val="false"/>
          <w:bCs/>
          <w:color w:val="000000"/>
          <w:szCs w:val="22"/>
          <w:shd w:fill="auto" w:val="clear"/>
        </w:rPr>
      </w:r>
    </w:p>
    <w:p>
      <w:pPr>
        <w:pStyle w:val="FR1"/>
        <w:numPr>
          <w:ilvl w:val="0"/>
          <w:numId w:val="0"/>
        </w:numPr>
        <w:spacing w:before="0" w:after="0"/>
        <w:ind w:hanging="0" w:left="0"/>
        <w:outlineLvl w:val="0"/>
        <w:rPr>
          <w:b w:val="false"/>
          <w:bCs/>
          <w:color w:val="000000"/>
          <w:szCs w:val="22"/>
          <w:highlight w:val="none"/>
          <w:shd w:fill="auto" w:val="clear"/>
        </w:rPr>
      </w:pPr>
      <w:r>
        <w:rPr>
          <w:b w:val="false"/>
          <w:bCs/>
          <w:color w:val="000000"/>
          <w:szCs w:val="22"/>
          <w:shd w:fill="auto" w:val="clear"/>
        </w:rPr>
      </w:r>
    </w:p>
    <w:p>
      <w:pPr>
        <w:pStyle w:val="FR1"/>
        <w:numPr>
          <w:ilvl w:val="0"/>
          <w:numId w:val="0"/>
        </w:numPr>
        <w:spacing w:before="0" w:after="0"/>
        <w:ind w:hanging="0" w:left="0"/>
        <w:outlineLvl w:val="0"/>
        <w:rPr>
          <w:highlight w:val="none"/>
          <w:shd w:fill="auto" w:val="clear"/>
        </w:rPr>
      </w:pPr>
      <w:r>
        <w:rPr>
          <w:b w:val="false"/>
          <w:bCs/>
          <w:color w:val="000000"/>
          <w:szCs w:val="22"/>
          <w:shd w:fill="auto" w:val="clear"/>
        </w:rPr>
        <w:t xml:space="preserve">                                                                                          </w:t>
      </w:r>
    </w:p>
    <w:p>
      <w:pPr>
        <w:pStyle w:val="FR1"/>
        <w:numPr>
          <w:ilvl w:val="0"/>
          <w:numId w:val="0"/>
        </w:numPr>
        <w:spacing w:before="0" w:after="0"/>
        <w:ind w:hanging="0" w:left="0"/>
        <w:outlineLvl w:val="0"/>
        <w:rPr>
          <w:highlight w:val="none"/>
          <w:shd w:fill="auto" w:val="clear"/>
        </w:rPr>
      </w:pPr>
      <w:r>
        <w:rPr>
          <w:b w:val="false"/>
          <w:bCs/>
          <w:color w:val="000000"/>
          <w:szCs w:val="22"/>
          <w:shd w:fill="auto" w:val="clear"/>
        </w:rPr>
        <w:t xml:space="preserve">                                                                                          </w:t>
      </w:r>
    </w:p>
    <w:p>
      <w:pPr>
        <w:pStyle w:val="BodyText"/>
        <w:rPr>
          <w:sz w:val="22"/>
          <w:highlight w:val="none"/>
          <w:shd w:fill="auto" w:val="clear"/>
        </w:rPr>
      </w:pPr>
      <w:r>
        <w:rPr>
          <w:sz w:val="22"/>
          <w:shd w:fill="auto" w:val="clear"/>
        </w:rPr>
      </w:r>
      <w:r>
        <w:br w:type="page"/>
      </w:r>
    </w:p>
    <w:p>
      <w:pPr>
        <w:pStyle w:val="FR1"/>
        <w:numPr>
          <w:ilvl w:val="0"/>
          <w:numId w:val="0"/>
        </w:numPr>
        <w:spacing w:before="0" w:after="0"/>
        <w:ind w:hanging="0" w:left="4956"/>
        <w:jc w:val="right"/>
        <w:outlineLvl w:val="0"/>
        <w:rPr>
          <w:highlight w:val="none"/>
          <w:shd w:fill="auto" w:val="clear"/>
        </w:rPr>
      </w:pPr>
      <w:r>
        <w:rPr>
          <w:b w:val="false"/>
          <w:bCs/>
          <w:color w:val="000000"/>
          <w:szCs w:val="22"/>
          <w:shd w:fill="auto" w:val="clear"/>
        </w:rPr>
        <w:t>Приложение № 1 к  Договору</w:t>
      </w:r>
    </w:p>
    <w:p>
      <w:pPr>
        <w:pStyle w:val="FR1"/>
        <w:numPr>
          <w:ilvl w:val="0"/>
          <w:numId w:val="0"/>
        </w:numPr>
        <w:spacing w:before="0" w:after="0"/>
        <w:ind w:hanging="0" w:left="4956"/>
        <w:jc w:val="right"/>
        <w:outlineLvl w:val="0"/>
        <w:rPr>
          <w:highlight w:val="none"/>
          <w:shd w:fill="auto" w:val="clear"/>
        </w:rPr>
      </w:pPr>
      <w:r>
        <w:rPr>
          <w:b w:val="false"/>
          <w:bCs/>
          <w:color w:val="000000"/>
          <w:szCs w:val="22"/>
          <w:shd w:fill="auto" w:val="clear"/>
        </w:rPr>
        <w:t xml:space="preserve">  </w:t>
      </w:r>
      <w:r>
        <w:rPr>
          <w:b w:val="false"/>
          <w:bCs/>
          <w:color w:val="000000"/>
          <w:szCs w:val="22"/>
          <w:shd w:fill="auto" w:val="clear"/>
        </w:rPr>
        <w:t>от «__» мая 2026г. № ________________</w:t>
      </w:r>
    </w:p>
    <w:p>
      <w:pPr>
        <w:pStyle w:val="FR1"/>
        <w:numPr>
          <w:ilvl w:val="0"/>
          <w:numId w:val="0"/>
        </w:numPr>
        <w:spacing w:before="0" w:after="0"/>
        <w:ind w:hanging="0" w:left="0"/>
        <w:outlineLvl w:val="0"/>
        <w:rPr>
          <w:b w:val="false"/>
          <w:bCs/>
          <w:color w:val="000000"/>
          <w:szCs w:val="22"/>
          <w:highlight w:val="none"/>
          <w:shd w:fill="auto" w:val="clear"/>
        </w:rPr>
      </w:pPr>
      <w:r>
        <w:rPr>
          <w:b w:val="false"/>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highlight w:val="none"/>
          <w:shd w:fill="auto" w:val="clear"/>
        </w:rPr>
      </w:pPr>
      <w:r>
        <w:rPr>
          <w:bCs/>
          <w:color w:val="000000"/>
          <w:szCs w:val="22"/>
          <w:shd w:fill="auto" w:val="clear"/>
        </w:rPr>
        <w:t>Спецификация</w:t>
      </w:r>
    </w:p>
    <w:p>
      <w:pPr>
        <w:pStyle w:val="Normal"/>
        <w:jc w:val="center"/>
        <w:rPr>
          <w:sz w:val="20"/>
          <w:szCs w:val="20"/>
        </w:rPr>
      </w:pPr>
      <w:r>
        <w:rPr>
          <w:b/>
          <w:bCs/>
          <w:i/>
          <w:iCs/>
          <w:color w:val="FF0000"/>
          <w:sz w:val="20"/>
          <w:szCs w:val="20"/>
          <w:shd w:fill="auto" w:val="clear"/>
        </w:rPr>
        <w:t>(Характеристики товара заполняются согласно оферте поставщика)</w:t>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tbl>
      <w:tblPr>
        <w:tblW w:w="9927" w:type="dxa"/>
        <w:jc w:val="left"/>
        <w:tblInd w:w="79" w:type="dxa"/>
        <w:tblLayout w:type="fixed"/>
        <w:tblCellMar>
          <w:top w:w="102" w:type="dxa"/>
          <w:left w:w="62" w:type="dxa"/>
          <w:bottom w:w="102" w:type="dxa"/>
          <w:right w:w="62" w:type="dxa"/>
        </w:tblCellMar>
        <w:tblLook w:firstRow="0" w:noVBand="0" w:lastRow="0" w:firstColumn="0" w:lastColumn="0" w:noHBand="0" w:val="0000"/>
      </w:tblPr>
      <w:tblGrid>
        <w:gridCol w:w="723"/>
        <w:gridCol w:w="3653"/>
        <w:gridCol w:w="1149"/>
        <w:gridCol w:w="1551"/>
        <w:gridCol w:w="1418"/>
        <w:gridCol w:w="1432"/>
      </w:tblGrid>
      <w:tr>
        <w:trPr/>
        <w:tc>
          <w:tcPr>
            <w:tcW w:w="7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none"/>
                <w:shd w:fill="auto" w:val="clear"/>
              </w:rPr>
            </w:pPr>
            <w:r>
              <w:rPr>
                <w:shd w:fill="auto" w:val="clear"/>
              </w:rPr>
              <w:t>N п/п</w:t>
            </w:r>
          </w:p>
        </w:tc>
        <w:tc>
          <w:tcPr>
            <w:tcW w:w="36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highlight w:val="none"/>
                <w:shd w:fill="auto" w:val="clear"/>
              </w:rPr>
            </w:pPr>
            <w:r>
              <w:rPr>
                <w:b/>
                <w:bCs/>
                <w:color w:val="000000"/>
                <w:shd w:fill="auto" w:val="clear"/>
              </w:rPr>
              <w:t>Наименование</w:t>
            </w:r>
          </w:p>
          <w:p>
            <w:pPr>
              <w:pStyle w:val="Normal"/>
              <w:widowControl w:val="false"/>
              <w:jc w:val="center"/>
              <w:rPr>
                <w:highlight w:val="none"/>
                <w:shd w:fill="auto" w:val="clear"/>
              </w:rPr>
            </w:pPr>
            <w:r>
              <w:rPr>
                <w:b/>
                <w:bCs/>
                <w:color w:val="000000"/>
                <w:shd w:fill="auto" w:val="clear"/>
              </w:rPr>
              <w:t>товара, характеристики</w:t>
            </w:r>
          </w:p>
        </w:tc>
        <w:tc>
          <w:tcPr>
            <w:tcW w:w="11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highlight w:val="none"/>
                <w:shd w:fill="auto" w:val="clear"/>
              </w:rPr>
            </w:pPr>
            <w:r>
              <w:rPr>
                <w:b/>
                <w:bCs/>
                <w:color w:val="000000"/>
                <w:shd w:fill="auto" w:val="clear"/>
              </w:rPr>
              <w:t>Ед.</w:t>
            </w:r>
          </w:p>
          <w:p>
            <w:pPr>
              <w:pStyle w:val="Normal"/>
              <w:widowControl w:val="false"/>
              <w:jc w:val="center"/>
              <w:rPr>
                <w:highlight w:val="none"/>
                <w:shd w:fill="auto" w:val="clear"/>
              </w:rPr>
            </w:pPr>
            <w:r>
              <w:rPr>
                <w:b/>
                <w:bCs/>
                <w:color w:val="000000"/>
                <w:shd w:fill="auto" w:val="clear"/>
              </w:rPr>
              <w:t>изм.</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highlight w:val="none"/>
                <w:shd w:fill="auto" w:val="clear"/>
              </w:rPr>
            </w:pPr>
            <w:r>
              <w:rPr>
                <w:b/>
                <w:bCs/>
                <w:color w:val="000000"/>
                <w:shd w:fill="auto" w:val="clear"/>
              </w:rPr>
              <w:t>Кол-</w:t>
            </w:r>
          </w:p>
          <w:p>
            <w:pPr>
              <w:pStyle w:val="Normal"/>
              <w:widowControl w:val="false"/>
              <w:jc w:val="center"/>
              <w:rPr>
                <w:highlight w:val="none"/>
                <w:shd w:fill="auto" w:val="clear"/>
              </w:rPr>
            </w:pPr>
            <w:r>
              <w:rPr>
                <w:b/>
                <w:bCs/>
                <w:color w:val="000000"/>
                <w:shd w:fill="auto" w:val="clear"/>
              </w:rPr>
              <w:t>во</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highlight w:val="none"/>
                <w:shd w:fill="auto" w:val="clear"/>
              </w:rPr>
            </w:pPr>
            <w:r>
              <w:rPr>
                <w:b/>
                <w:bCs/>
                <w:color w:val="000000"/>
                <w:shd w:fill="auto" w:val="clear"/>
              </w:rPr>
              <w:t>Цена за ед. с НДС, руб.</w:t>
            </w:r>
          </w:p>
        </w:tc>
        <w:tc>
          <w:tcPr>
            <w:tcW w:w="14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highlight w:val="none"/>
                <w:shd w:fill="auto" w:val="clear"/>
              </w:rPr>
            </w:pPr>
            <w:r>
              <w:rPr>
                <w:b/>
                <w:bCs/>
                <w:color w:val="000000"/>
                <w:shd w:fill="auto" w:val="clear"/>
              </w:rPr>
              <w:t>Сумма с НДС, руб.</w:t>
            </w:r>
          </w:p>
        </w:tc>
      </w:tr>
      <w:tr>
        <w:trPr/>
        <w:tc>
          <w:tcPr>
            <w:tcW w:w="7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
              </w:numPr>
              <w:rPr>
                <w:rFonts w:ascii="Times New Roman" w:hAnsi="Times New Roman"/>
                <w:sz w:val="20"/>
                <w:szCs w:val="20"/>
                <w:highlight w:val="none"/>
                <w:shd w:fill="auto" w:val="clear"/>
              </w:rPr>
            </w:pPr>
            <w:r>
              <w:rPr>
                <w:rFonts w:ascii="Times New Roman" w:hAnsi="Times New Roman"/>
                <w:sz w:val="20"/>
                <w:szCs w:val="20"/>
                <w:shd w:fill="auto" w:val="clear"/>
              </w:rPr>
            </w:r>
          </w:p>
        </w:tc>
        <w:tc>
          <w:tcPr>
            <w:tcW w:w="3653"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none"/>
                <w:shd w:fill="auto" w:val="clear"/>
              </w:rPr>
            </w:pPr>
            <w:r>
              <w:rPr>
                <w:shd w:fill="auto" w:val="clear"/>
              </w:rPr>
            </w:r>
          </w:p>
        </w:tc>
        <w:tc>
          <w:tcPr>
            <w:tcW w:w="114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z w:val="20"/>
                <w:szCs w:val="20"/>
                <w:shd w:fill="auto" w:val="clear"/>
              </w:rPr>
              <w:t>шт</w:t>
            </w:r>
          </w:p>
        </w:tc>
        <w:tc>
          <w:tcPr>
            <w:tcW w:w="15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3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r>
      <w:tr>
        <w:trPr/>
        <w:tc>
          <w:tcPr>
            <w:tcW w:w="7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
              </w:numPr>
              <w:rPr>
                <w:rFonts w:ascii="Times New Roman" w:hAnsi="Times New Roman"/>
                <w:sz w:val="20"/>
                <w:szCs w:val="20"/>
                <w:highlight w:val="none"/>
                <w:shd w:fill="auto" w:val="clear"/>
              </w:rPr>
            </w:pPr>
            <w:r>
              <w:rPr>
                <w:rFonts w:ascii="Times New Roman" w:hAnsi="Times New Roman"/>
                <w:sz w:val="20"/>
                <w:szCs w:val="20"/>
                <w:shd w:fill="auto" w:val="clear"/>
              </w:rPr>
            </w:r>
          </w:p>
        </w:tc>
        <w:tc>
          <w:tcPr>
            <w:tcW w:w="365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0"/>
                <w:szCs w:val="20"/>
                <w:highlight w:val="none"/>
                <w:shd w:fill="auto" w:val="clear"/>
              </w:rPr>
            </w:pPr>
            <w:r>
              <w:rPr>
                <w:rFonts w:ascii="Times New Roman" w:hAnsi="Times New Roman"/>
                <w:sz w:val="20"/>
                <w:szCs w:val="20"/>
                <w:shd w:fill="auto" w:val="clear"/>
              </w:rPr>
            </w:r>
          </w:p>
        </w:tc>
        <w:tc>
          <w:tcPr>
            <w:tcW w:w="114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z w:val="20"/>
                <w:szCs w:val="20"/>
                <w:shd w:fill="auto" w:val="clear"/>
              </w:rPr>
              <w:t>шт</w:t>
            </w:r>
          </w:p>
        </w:tc>
        <w:tc>
          <w:tcPr>
            <w:tcW w:w="15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3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r>
      <w:tr>
        <w:trPr/>
        <w:tc>
          <w:tcPr>
            <w:tcW w:w="723" w:type="dxa"/>
            <w:tcBorders>
              <w:left w:val="single" w:sz="4" w:space="0" w:color="000000"/>
              <w:bottom w:val="single" w:sz="4" w:space="0" w:color="000000"/>
              <w:right w:val="single" w:sz="4" w:space="0" w:color="000000"/>
            </w:tcBorders>
          </w:tcPr>
          <w:p>
            <w:pPr>
              <w:pStyle w:val="Normal"/>
              <w:widowControl w:val="false"/>
              <w:numPr>
                <w:ilvl w:val="0"/>
                <w:numId w:val="2"/>
              </w:numPr>
              <w:rPr>
                <w:rFonts w:ascii="Times New Roman" w:hAnsi="Times New Roman"/>
                <w:sz w:val="20"/>
                <w:szCs w:val="20"/>
                <w:highlight w:val="none"/>
                <w:shd w:fill="auto" w:val="clear"/>
              </w:rPr>
            </w:pPr>
            <w:r>
              <w:rPr>
                <w:rFonts w:ascii="Times New Roman" w:hAnsi="Times New Roman"/>
                <w:sz w:val="20"/>
                <w:szCs w:val="20"/>
                <w:shd w:fill="auto" w:val="clear"/>
              </w:rPr>
            </w:r>
          </w:p>
        </w:tc>
        <w:tc>
          <w:tcPr>
            <w:tcW w:w="3653"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0"/>
                <w:szCs w:val="20"/>
                <w:highlight w:val="none"/>
                <w:shd w:fill="auto" w:val="clear"/>
              </w:rPr>
            </w:pPr>
            <w:r>
              <w:rPr>
                <w:rFonts w:ascii="Times New Roman" w:hAnsi="Times New Roman"/>
                <w:sz w:val="20"/>
                <w:szCs w:val="20"/>
                <w:shd w:fill="auto" w:val="clear"/>
              </w:rPr>
            </w:r>
          </w:p>
        </w:tc>
        <w:tc>
          <w:tcPr>
            <w:tcW w:w="1149"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z w:val="20"/>
                <w:szCs w:val="20"/>
                <w:shd w:fill="auto" w:val="clear"/>
              </w:rPr>
              <w:t>шт</w:t>
            </w:r>
          </w:p>
        </w:tc>
        <w:tc>
          <w:tcPr>
            <w:tcW w:w="1551"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18"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32"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r>
      <w:tr>
        <w:trPr/>
        <w:tc>
          <w:tcPr>
            <w:tcW w:w="723" w:type="dxa"/>
            <w:tcBorders>
              <w:left w:val="single" w:sz="4" w:space="0" w:color="000000"/>
              <w:bottom w:val="single" w:sz="4" w:space="0" w:color="000000"/>
              <w:right w:val="single" w:sz="4" w:space="0" w:color="000000"/>
            </w:tcBorders>
          </w:tcPr>
          <w:p>
            <w:pPr>
              <w:pStyle w:val="Normal"/>
              <w:widowControl w:val="false"/>
              <w:numPr>
                <w:ilvl w:val="0"/>
                <w:numId w:val="2"/>
              </w:numPr>
              <w:rPr>
                <w:rFonts w:ascii="Times New Roman" w:hAnsi="Times New Roman"/>
                <w:sz w:val="20"/>
                <w:szCs w:val="20"/>
                <w:highlight w:val="none"/>
                <w:shd w:fill="auto" w:val="clear"/>
              </w:rPr>
            </w:pPr>
            <w:r>
              <w:rPr>
                <w:rFonts w:ascii="Times New Roman" w:hAnsi="Times New Roman"/>
                <w:sz w:val="20"/>
                <w:szCs w:val="20"/>
                <w:shd w:fill="auto" w:val="clear"/>
              </w:rPr>
            </w:r>
          </w:p>
        </w:tc>
        <w:tc>
          <w:tcPr>
            <w:tcW w:w="3653"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0"/>
                <w:szCs w:val="20"/>
                <w:highlight w:val="none"/>
                <w:shd w:fill="auto" w:val="clear"/>
              </w:rPr>
            </w:pPr>
            <w:r>
              <w:rPr>
                <w:rFonts w:ascii="Times New Roman" w:hAnsi="Times New Roman"/>
                <w:sz w:val="20"/>
                <w:szCs w:val="20"/>
                <w:shd w:fill="auto" w:val="clear"/>
              </w:rPr>
            </w:r>
          </w:p>
        </w:tc>
        <w:tc>
          <w:tcPr>
            <w:tcW w:w="1149"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z w:val="20"/>
                <w:szCs w:val="20"/>
                <w:shd w:fill="auto" w:val="clear"/>
              </w:rPr>
              <w:t>шт</w:t>
            </w:r>
          </w:p>
        </w:tc>
        <w:tc>
          <w:tcPr>
            <w:tcW w:w="1551"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18"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32"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r>
      <w:tr>
        <w:trPr/>
        <w:tc>
          <w:tcPr>
            <w:tcW w:w="723" w:type="dxa"/>
            <w:tcBorders>
              <w:left w:val="single" w:sz="4" w:space="0" w:color="000000"/>
              <w:bottom w:val="single" w:sz="4" w:space="0" w:color="000000"/>
              <w:right w:val="single" w:sz="4" w:space="0" w:color="000000"/>
            </w:tcBorders>
          </w:tcPr>
          <w:p>
            <w:pPr>
              <w:pStyle w:val="Normal"/>
              <w:widowControl w:val="false"/>
              <w:numPr>
                <w:ilvl w:val="0"/>
                <w:numId w:val="2"/>
              </w:numPr>
              <w:rPr>
                <w:rFonts w:ascii="Times New Roman" w:hAnsi="Times New Roman"/>
                <w:sz w:val="20"/>
                <w:szCs w:val="20"/>
                <w:highlight w:val="none"/>
                <w:shd w:fill="auto" w:val="clear"/>
              </w:rPr>
            </w:pPr>
            <w:r>
              <w:rPr>
                <w:rFonts w:ascii="Times New Roman" w:hAnsi="Times New Roman"/>
                <w:sz w:val="20"/>
                <w:szCs w:val="20"/>
                <w:shd w:fill="auto" w:val="clear"/>
              </w:rPr>
            </w:r>
          </w:p>
        </w:tc>
        <w:tc>
          <w:tcPr>
            <w:tcW w:w="3653"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0"/>
                <w:szCs w:val="20"/>
                <w:highlight w:val="none"/>
                <w:shd w:fill="auto" w:val="clear"/>
              </w:rPr>
            </w:pPr>
            <w:r>
              <w:rPr>
                <w:rFonts w:ascii="Times New Roman" w:hAnsi="Times New Roman"/>
                <w:sz w:val="20"/>
                <w:szCs w:val="20"/>
                <w:shd w:fill="auto" w:val="clear"/>
              </w:rPr>
            </w:r>
          </w:p>
        </w:tc>
        <w:tc>
          <w:tcPr>
            <w:tcW w:w="1149"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z w:val="20"/>
                <w:szCs w:val="20"/>
                <w:shd w:fill="auto" w:val="clear"/>
              </w:rPr>
              <w:t>шт</w:t>
            </w:r>
          </w:p>
        </w:tc>
        <w:tc>
          <w:tcPr>
            <w:tcW w:w="1551"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18"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32"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r>
      <w:tr>
        <w:trPr/>
        <w:tc>
          <w:tcPr>
            <w:tcW w:w="723" w:type="dxa"/>
            <w:tcBorders>
              <w:left w:val="single" w:sz="4" w:space="0" w:color="000000"/>
              <w:bottom w:val="single" w:sz="4" w:space="0" w:color="000000"/>
              <w:right w:val="single" w:sz="4" w:space="0" w:color="000000"/>
            </w:tcBorders>
          </w:tcPr>
          <w:p>
            <w:pPr>
              <w:pStyle w:val="Normal"/>
              <w:widowControl w:val="false"/>
              <w:numPr>
                <w:ilvl w:val="0"/>
                <w:numId w:val="2"/>
              </w:numPr>
              <w:rPr>
                <w:rFonts w:ascii="Times New Roman" w:hAnsi="Times New Roman"/>
                <w:sz w:val="20"/>
                <w:szCs w:val="20"/>
                <w:highlight w:val="none"/>
                <w:shd w:fill="auto" w:val="clear"/>
              </w:rPr>
            </w:pPr>
            <w:r>
              <w:rPr>
                <w:rFonts w:ascii="Times New Roman" w:hAnsi="Times New Roman"/>
                <w:sz w:val="20"/>
                <w:szCs w:val="20"/>
                <w:shd w:fill="auto" w:val="clear"/>
              </w:rPr>
            </w:r>
          </w:p>
        </w:tc>
        <w:tc>
          <w:tcPr>
            <w:tcW w:w="3653" w:type="dxa"/>
            <w:tcBorders>
              <w:left w:val="single" w:sz="4" w:space="0" w:color="000000"/>
              <w:bottom w:val="single" w:sz="4" w:space="0" w:color="000000"/>
              <w:right w:val="single" w:sz="4" w:space="0" w:color="000000"/>
            </w:tcBorders>
          </w:tcPr>
          <w:p>
            <w:pPr>
              <w:pStyle w:val="Normal"/>
              <w:widowControl w:val="false"/>
              <w:rPr>
                <w:rFonts w:ascii="Times New Roman" w:hAnsi="Times New Roman"/>
                <w:sz w:val="20"/>
                <w:szCs w:val="20"/>
                <w:highlight w:val="none"/>
                <w:shd w:fill="auto" w:val="clear"/>
              </w:rPr>
            </w:pPr>
            <w:r>
              <w:rPr>
                <w:rFonts w:ascii="Times New Roman" w:hAnsi="Times New Roman"/>
                <w:sz w:val="20"/>
                <w:szCs w:val="20"/>
                <w:shd w:fill="auto" w:val="clear"/>
              </w:rPr>
            </w:r>
          </w:p>
        </w:tc>
        <w:tc>
          <w:tcPr>
            <w:tcW w:w="1149"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z w:val="20"/>
                <w:szCs w:val="20"/>
                <w:shd w:fill="auto" w:val="clear"/>
              </w:rPr>
              <w:t>шт</w:t>
            </w:r>
          </w:p>
        </w:tc>
        <w:tc>
          <w:tcPr>
            <w:tcW w:w="1551"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18"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c>
          <w:tcPr>
            <w:tcW w:w="1432" w:type="dxa"/>
            <w:tcBorders>
              <w:left w:val="single" w:sz="4" w:space="0" w:color="000000"/>
              <w:bottom w:val="single" w:sz="4" w:space="0" w:color="000000"/>
              <w:right w:val="single" w:sz="4" w:space="0" w:color="000000"/>
            </w:tcBorders>
          </w:tcPr>
          <w:p>
            <w:pPr>
              <w:pStyle w:val="Normal"/>
              <w:widowControl w:val="false"/>
              <w:jc w:val="center"/>
              <w:rPr>
                <w:highlight w:val="none"/>
                <w:shd w:fill="auto" w:val="clear"/>
              </w:rPr>
            </w:pPr>
            <w:r>
              <w:rPr>
                <w:shd w:fill="auto" w:val="clear"/>
              </w:rPr>
            </w:r>
          </w:p>
        </w:tc>
      </w:tr>
    </w:tbl>
    <w:p>
      <w:pPr>
        <w:pStyle w:val="FR1"/>
        <w:numPr>
          <w:ilvl w:val="0"/>
          <w:numId w:val="0"/>
        </w:numPr>
        <w:spacing w:before="0" w:after="0"/>
        <w:ind w:hanging="0" w:left="0"/>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outlineLvl w:val="0"/>
        <w:rPr>
          <w:highlight w:val="none"/>
          <w:shd w:fill="auto" w:val="clear"/>
        </w:rPr>
      </w:pPr>
      <w:r>
        <w:rPr>
          <w:bCs/>
          <w:color w:val="000000"/>
          <w:szCs w:val="22"/>
          <w:shd w:fill="auto" w:val="clear"/>
        </w:rPr>
        <w:t>ИТОГО: ____________ рублей __ копеек (_______________________ рублей __ копеек) , в том числе НДС (_____%) - _________ рублей __ копеек (_______________________________ рублей __ копеек)</w:t>
      </w:r>
    </w:p>
    <w:p>
      <w:pPr>
        <w:pStyle w:val="FR1"/>
        <w:numPr>
          <w:ilvl w:val="0"/>
          <w:numId w:val="0"/>
        </w:numPr>
        <w:spacing w:before="0" w:after="0"/>
        <w:ind w:hanging="0" w:left="0"/>
        <w:jc w:val="right"/>
        <w:outlineLvl w:val="0"/>
        <w:rPr>
          <w:bCs/>
          <w:color w:val="000000"/>
          <w:szCs w:val="22"/>
          <w:highlight w:val="none"/>
          <w:shd w:fill="auto" w:val="clear"/>
        </w:rPr>
      </w:pPr>
      <w:r>
        <w:rPr>
          <w:bCs/>
          <w:color w:val="000000"/>
          <w:szCs w:val="22"/>
          <w:shd w:fill="auto" w:val="clear"/>
        </w:rPr>
      </w:r>
    </w:p>
    <w:p>
      <w:pPr>
        <w:pStyle w:val="Normal"/>
        <w:shd w:val="clear" w:color="auto" w:fill="FFFFFF"/>
        <w:tabs>
          <w:tab w:val="clear" w:pos="708"/>
          <w:tab w:val="left" w:pos="0" w:leader="none"/>
        </w:tabs>
        <w:spacing w:lineRule="auto" w:line="360"/>
        <w:ind w:left="5"/>
        <w:jc w:val="both"/>
        <w:rPr>
          <w:highlight w:val="none"/>
          <w:shd w:fill="auto" w:val="clear"/>
        </w:rPr>
      </w:pPr>
      <w:r>
        <w:rPr>
          <w:b/>
          <w:bCs/>
          <w:color w:val="000000"/>
          <w:spacing w:val="1"/>
          <w:shd w:fill="auto" w:val="clear"/>
          <w:lang w:eastAsia="zh-CN"/>
        </w:rPr>
        <w:t xml:space="preserve">  </w:t>
      </w:r>
      <w:r>
        <w:rPr>
          <w:b/>
          <w:bCs/>
          <w:color w:val="000000"/>
          <w:spacing w:val="1"/>
          <w:shd w:fill="auto" w:val="clear"/>
          <w:lang w:eastAsia="zh-CN"/>
        </w:rPr>
        <w:t>Заказчик:</w:t>
      </w:r>
      <w:r>
        <w:rPr>
          <w:b/>
          <w:bCs/>
          <w:color w:val="000000"/>
          <w:shd w:fill="auto" w:val="clear"/>
          <w:lang w:eastAsia="zh-CN"/>
        </w:rPr>
        <w:tab/>
        <w:t xml:space="preserve">                                                             </w:t>
        <w:tab/>
        <w:tab/>
        <w:t xml:space="preserve"> </w:t>
      </w:r>
      <w:r>
        <w:rPr>
          <w:b/>
          <w:bCs/>
          <w:color w:val="000000"/>
          <w:spacing w:val="-4"/>
          <w:shd w:fill="auto" w:val="clear"/>
          <w:lang w:eastAsia="zh-CN"/>
        </w:rPr>
        <w:t>Поставщик:</w:t>
      </w:r>
      <w:r>
        <w:rPr>
          <w:b/>
          <w:bCs/>
          <w:color w:val="000000"/>
          <w:shd w:fill="auto" w:val="clear"/>
          <w:lang w:eastAsia="zh-CN"/>
        </w:rPr>
        <w:t xml:space="preserve">    </w:t>
      </w:r>
    </w:p>
    <w:tbl>
      <w:tblPr>
        <w:tblW w:w="1004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8"/>
        <w:gridCol w:w="4433"/>
      </w:tblGrid>
      <w:tr>
        <w:trPr/>
        <w:tc>
          <w:tcPr>
            <w:tcW w:w="5608" w:type="dxa"/>
            <w:tcBorders/>
            <w:shd w:color="auto" w:fill="auto" w:val="clear"/>
          </w:tcPr>
          <w:p>
            <w:pPr>
              <w:pStyle w:val="Normal"/>
              <w:widowControl w:val="false"/>
              <w:spacing w:before="0" w:after="0"/>
              <w:contextualSpacing/>
              <w:rPr>
                <w:highlight w:val="none"/>
                <w:shd w:fill="auto" w:val="clear"/>
              </w:rPr>
            </w:pPr>
            <w:r>
              <w:rPr>
                <w:b/>
                <w:shd w:fill="auto" w:val="clear"/>
              </w:rPr>
              <w:t>Главный врач СПб ГБУЗ «ГПАБ»</w:t>
            </w:r>
          </w:p>
          <w:p>
            <w:pPr>
              <w:pStyle w:val="Normal"/>
              <w:widowControl w:val="false"/>
              <w:spacing w:before="0" w:after="0"/>
              <w:contextualSpacing/>
              <w:rPr>
                <w:b/>
                <w:highlight w:val="none"/>
                <w:shd w:fill="auto" w:val="clear"/>
              </w:rPr>
            </w:pPr>
            <w:r>
              <w:rPr>
                <w:b/>
                <w:shd w:fill="auto" w:val="clear"/>
              </w:rPr>
            </w:r>
          </w:p>
          <w:p>
            <w:pPr>
              <w:pStyle w:val="Normal"/>
              <w:widowControl w:val="false"/>
              <w:spacing w:before="0" w:after="0"/>
              <w:contextualSpacing/>
              <w:rPr>
                <w:highlight w:val="none"/>
                <w:shd w:fill="auto" w:val="clear"/>
              </w:rPr>
            </w:pPr>
            <w:r>
              <w:rPr>
                <w:shd w:fill="auto" w:val="clear"/>
              </w:rPr>
            </w:r>
          </w:p>
          <w:p>
            <w:pPr>
              <w:pStyle w:val="Normal"/>
              <w:widowControl w:val="false"/>
              <w:spacing w:before="0" w:after="0"/>
              <w:contextualSpacing/>
              <w:rPr>
                <w:highlight w:val="none"/>
                <w:shd w:fill="auto" w:val="clear"/>
              </w:rPr>
            </w:pPr>
            <w:r>
              <w:rPr>
                <w:shd w:fill="auto" w:val="clear"/>
              </w:rPr>
            </w:r>
          </w:p>
          <w:p>
            <w:pPr>
              <w:pStyle w:val="Normal"/>
              <w:widowControl w:val="false"/>
              <w:spacing w:before="0" w:after="0"/>
              <w:contextualSpacing/>
              <w:rPr>
                <w:highlight w:val="none"/>
                <w:shd w:fill="auto" w:val="clear"/>
              </w:rPr>
            </w:pPr>
            <w:r>
              <w:rPr>
                <w:shd w:fill="auto" w:val="clear"/>
              </w:rPr>
              <w:t>_________________/М.Ю. Майская/</w:t>
            </w:r>
          </w:p>
        </w:tc>
        <w:tc>
          <w:tcPr>
            <w:tcW w:w="4433" w:type="dxa"/>
            <w:tcBorders/>
            <w:shd w:color="auto" w:fill="auto" w:val="clear"/>
          </w:tcPr>
          <w:p>
            <w:pPr>
              <w:pStyle w:val="Normal"/>
              <w:widowControl w:val="false"/>
              <w:spacing w:before="0" w:after="0"/>
              <w:contextualSpacing/>
              <w:rPr>
                <w:b/>
                <w:highlight w:val="none"/>
                <w:shd w:fill="auto" w:val="clear"/>
              </w:rPr>
            </w:pPr>
            <w:r>
              <w:rPr>
                <w:b/>
                <w:shd w:fill="auto" w:val="clear"/>
              </w:rPr>
            </w:r>
          </w:p>
          <w:p>
            <w:pPr>
              <w:pStyle w:val="Normal"/>
              <w:widowControl w:val="false"/>
              <w:spacing w:before="0" w:after="0"/>
              <w:contextualSpacing/>
              <w:rPr>
                <w:b/>
                <w:highlight w:val="none"/>
                <w:shd w:fill="auto" w:val="clear"/>
              </w:rPr>
            </w:pPr>
            <w:r>
              <w:rPr>
                <w:b/>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5770" w:leader="none"/>
              </w:tabs>
              <w:ind w:left="11"/>
              <w:rPr>
                <w:highlight w:val="none"/>
                <w:shd w:fill="auto" w:val="clear"/>
              </w:rPr>
            </w:pPr>
            <w:r>
              <w:rPr>
                <w:color w:val="000000"/>
                <w:spacing w:val="-3"/>
                <w:shd w:fill="auto" w:val="clear"/>
                <w:lang w:eastAsia="zh-CN"/>
              </w:rPr>
              <w:t>_______________ / _________________</w:t>
            </w:r>
          </w:p>
        </w:tc>
      </w:tr>
    </w:tbl>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FR1"/>
        <w:numPr>
          <w:ilvl w:val="0"/>
          <w:numId w:val="0"/>
        </w:numPr>
        <w:spacing w:before="0" w:after="0"/>
        <w:ind w:hanging="0" w:left="0"/>
        <w:jc w:val="center"/>
        <w:outlineLvl w:val="0"/>
        <w:rPr>
          <w:bCs/>
          <w:color w:val="000000"/>
          <w:szCs w:val="22"/>
          <w:highlight w:val="none"/>
          <w:shd w:fill="auto" w:val="clear"/>
        </w:rPr>
      </w:pPr>
      <w:r>
        <w:rPr>
          <w:bCs/>
          <w:color w:val="000000"/>
          <w:szCs w:val="22"/>
          <w:shd w:fill="auto" w:val="clear"/>
        </w:rPr>
      </w:r>
    </w:p>
    <w:p>
      <w:pPr>
        <w:pStyle w:val="Normal"/>
        <w:suppressAutoHyphens w:val="false"/>
        <w:ind w:left="6480"/>
        <w:jc w:val="right"/>
        <w:rPr>
          <w:bCs w:val="false"/>
          <w:sz w:val="16"/>
          <w:szCs w:val="16"/>
        </w:rPr>
      </w:pPr>
      <w:r>
        <w:rPr>
          <w:b w:val="false"/>
          <w:bCs w:val="false"/>
          <w:sz w:val="16"/>
          <w:szCs w:val="16"/>
        </w:rPr>
        <w:t>Приложение №2</w:t>
      </w:r>
    </w:p>
    <w:p>
      <w:pPr>
        <w:pStyle w:val="Normal"/>
        <w:suppressAutoHyphens w:val="false"/>
        <w:jc w:val="right"/>
        <w:rPr>
          <w:b w:val="false"/>
          <w:bCs w:val="false"/>
          <w:sz w:val="16"/>
          <w:szCs w:val="16"/>
        </w:rPr>
      </w:pPr>
      <w:r>
        <w:rPr>
          <w:b w:val="false"/>
          <w:bCs w:val="false"/>
          <w:sz w:val="16"/>
          <w:szCs w:val="16"/>
        </w:rPr>
        <w:t xml:space="preserve">                                                                                   </w:t>
      </w:r>
      <w:r>
        <w:rPr>
          <w:b w:val="false"/>
          <w:bCs w:val="false"/>
          <w:sz w:val="16"/>
          <w:szCs w:val="16"/>
        </w:rPr>
        <w:t>к Договору №               от                2026г.</w:t>
      </w:r>
    </w:p>
    <w:p>
      <w:pPr>
        <w:pStyle w:val="Normal"/>
        <w:rPr>
          <w:b/>
          <w:sz w:val="16"/>
          <w:szCs w:val="16"/>
        </w:rPr>
      </w:pPr>
      <w:r>
        <w:rPr>
          <w:b/>
          <w:sz w:val="16"/>
          <w:szCs w:val="16"/>
        </w:rPr>
      </w:r>
    </w:p>
    <w:p>
      <w:pPr>
        <w:pStyle w:val="Normal"/>
        <w:widowControl w:val="false"/>
        <w:spacing w:lineRule="atLeast" w:line="240"/>
        <w:ind w:hanging="57"/>
        <w:jc w:val="center"/>
        <w:rPr>
          <w:sz w:val="16"/>
          <w:szCs w:val="16"/>
        </w:rPr>
      </w:pPr>
      <w:r>
        <w:rPr>
          <w:b/>
          <w:bCs/>
          <w:sz w:val="16"/>
          <w:szCs w:val="16"/>
        </w:rPr>
        <w:t>Декларация  соответствия</w:t>
      </w:r>
    </w:p>
    <w:p>
      <w:pPr>
        <w:pStyle w:val="Normal"/>
        <w:widowControl w:val="false"/>
        <w:spacing w:lineRule="atLeast" w:line="240"/>
        <w:ind w:hanging="57"/>
        <w:rPr>
          <w:sz w:val="16"/>
          <w:szCs w:val="16"/>
        </w:rPr>
      </w:pPr>
      <w:r>
        <w:rPr>
          <w:sz w:val="16"/>
          <w:szCs w:val="16"/>
        </w:rPr>
        <w:t>__________________________________________________________________________</w:t>
      </w:r>
      <w:r>
        <w:rPr>
          <w:b/>
          <w:bCs/>
          <w:sz w:val="16"/>
          <w:szCs w:val="16"/>
        </w:rPr>
        <w:t xml:space="preserve">                                       </w:t>
      </w:r>
    </w:p>
    <w:p>
      <w:pPr>
        <w:pStyle w:val="Normal"/>
        <w:jc w:val="both"/>
        <w:rPr>
          <w:sz w:val="16"/>
          <w:szCs w:val="16"/>
        </w:rPr>
      </w:pPr>
      <w:r>
        <w:rPr>
          <w:sz w:val="16"/>
          <w:szCs w:val="16"/>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16"/>
          <w:szCs w:val="16"/>
        </w:rPr>
      </w:pPr>
      <w:r>
        <w:rPr>
          <w:sz w:val="16"/>
          <w:szCs w:val="16"/>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16"/>
          <w:szCs w:val="16"/>
        </w:rPr>
      </w:pPr>
      <w:r>
        <w:rPr>
          <w:sz w:val="16"/>
          <w:szCs w:val="16"/>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16"/>
          <w:szCs w:val="16"/>
        </w:rPr>
      </w:pPr>
      <w:r>
        <w:rPr>
          <w:sz w:val="16"/>
          <w:szCs w:val="16"/>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16"/>
          <w:szCs w:val="16"/>
        </w:rPr>
      </w:pPr>
      <w:r>
        <w:rPr>
          <w:sz w:val="16"/>
          <w:szCs w:val="16"/>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16"/>
          <w:szCs w:val="16"/>
        </w:rPr>
      </w:pPr>
      <w:r>
        <w:rPr>
          <w:sz w:val="16"/>
          <w:szCs w:val="16"/>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16"/>
          <w:szCs w:val="16"/>
        </w:rPr>
      </w:pPr>
      <w:r>
        <w:rPr>
          <w:sz w:val="16"/>
          <w:szCs w:val="16"/>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16"/>
          <w:szCs w:val="16"/>
        </w:rPr>
      </w:pPr>
      <w:r>
        <w:rPr>
          <w:sz w:val="16"/>
          <w:szCs w:val="16"/>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16"/>
          <w:szCs w:val="16"/>
        </w:rPr>
      </w:pPr>
      <w:r>
        <w:rPr>
          <w:sz w:val="16"/>
          <w:szCs w:val="16"/>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16"/>
          <w:szCs w:val="16"/>
        </w:rPr>
      </w:pPr>
      <w:r>
        <w:rPr>
          <w:sz w:val="16"/>
          <w:szCs w:val="16"/>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16"/>
          <w:szCs w:val="16"/>
        </w:rPr>
      </w:pPr>
      <w:r>
        <w:rPr>
          <w:sz w:val="16"/>
          <w:szCs w:val="16"/>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16"/>
          <w:szCs w:val="16"/>
        </w:rPr>
      </w:pPr>
      <w:r>
        <w:rPr>
          <w:sz w:val="16"/>
          <w:szCs w:val="16"/>
        </w:rPr>
        <w:t>- участник закупки не является иностранным агентом;</w:t>
      </w:r>
    </w:p>
    <w:p>
      <w:pPr>
        <w:pStyle w:val="Normal"/>
        <w:rPr>
          <w:sz w:val="16"/>
          <w:szCs w:val="16"/>
        </w:rPr>
      </w:pPr>
      <w:r>
        <w:rPr>
          <w:sz w:val="16"/>
          <w:szCs w:val="16"/>
        </w:rPr>
        <w:t>- отсутствие у участника закупки ограничений для участия в закупках, установленных законодательством Российской Федерации.</w:t>
      </w:r>
    </w:p>
    <w:sectPr>
      <w:footerReference w:type="even" r:id="rId3"/>
      <w:footerReference w:type="default" r:id="rId4"/>
      <w:footerReference w:type="first" r:id="rId5"/>
      <w:type w:val="nextPage"/>
      <w:pgSz w:w="11906" w:h="16838"/>
      <w:pgMar w:left="993" w:right="849" w:gutter="0" w:header="0" w:top="851" w:footer="458"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Lucida Grande CY">
    <w:charset w:val="cc"/>
    <w:family w:val="roman"/>
    <w:pitch w:val="variable"/>
  </w:font>
  <w:font w:name="Courier New">
    <w:charset w:val="cc"/>
    <w:family w:val="roman"/>
    <w:pitch w:val="variable"/>
  </w:font>
  <w:font w:name="Times New Roman Bold">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90898525"/>
    </w:sdtPr>
    <w:sdtContent>
      <w:p>
        <w:pPr>
          <w:pStyle w:val="Footer"/>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7</w:t>
        </w:r>
        <w:r>
          <w:rPr>
            <w:sz w:val="20"/>
            <w:szCs w:val="20"/>
          </w:rPr>
          <w:fldChar w:fldCharType="end"/>
        </w:r>
      </w:p>
      <w:p>
        <w:pPr>
          <w:pStyle w:val="Footer"/>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90898525"/>
    </w:sdtPr>
    <w:sdtContent>
      <w:p>
        <w:pPr>
          <w:pStyle w:val="Footer"/>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7</w:t>
        </w:r>
        <w:r>
          <w:rPr>
            <w:sz w:val="20"/>
            <w:szCs w:val="20"/>
          </w:rPr>
          <w:fldChar w:fldCharType="end"/>
        </w:r>
      </w:p>
      <w:p>
        <w:pPr>
          <w:pStyle w:val="Footer"/>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040"/>
        </w:tabs>
        <w:ind w:left="1040" w:hanging="360"/>
      </w:pPr>
      <w:rPr>
        <w:rFonts w:ascii="Times New Roman" w:hAnsi="Times New Roman" w:cs="Times New Roman" w:hint="default"/>
      </w:rPr>
    </w:lvl>
    <w:lvl w:ilvl="1">
      <w:start w:val="1"/>
      <w:numFmt w:val="bullet"/>
      <w:lvlText w:val="o"/>
      <w:lvlJc w:val="left"/>
      <w:pPr>
        <w:tabs>
          <w:tab w:val="num" w:pos="1760"/>
        </w:tabs>
        <w:ind w:left="1760" w:hanging="360"/>
      </w:pPr>
      <w:rPr>
        <w:rFonts w:ascii="Courier New" w:hAnsi="Courier New" w:cs="Courier New" w:hint="default"/>
      </w:rPr>
    </w:lvl>
    <w:lvl w:ilvl="2">
      <w:start w:val="1"/>
      <w:numFmt w:val="bullet"/>
      <w:lvlText w:val=""/>
      <w:lvlJc w:val="left"/>
      <w:pPr>
        <w:tabs>
          <w:tab w:val="num" w:pos="2480"/>
        </w:tabs>
        <w:ind w:left="2480" w:hanging="360"/>
      </w:pPr>
      <w:rPr>
        <w:rFonts w:ascii="Wingdings" w:hAnsi="Wingdings" w:cs="Wingdings" w:hint="default"/>
      </w:rPr>
    </w:lvl>
    <w:lvl w:ilvl="3">
      <w:start w:val="1"/>
      <w:numFmt w:val="bullet"/>
      <w:lvlText w:val=""/>
      <w:lvlJc w:val="left"/>
      <w:pPr>
        <w:tabs>
          <w:tab w:val="num" w:pos="3200"/>
        </w:tabs>
        <w:ind w:left="3200" w:hanging="360"/>
      </w:pPr>
      <w:rPr>
        <w:rFonts w:ascii="Symbol" w:hAnsi="Symbol" w:cs="Symbol" w:hint="default"/>
      </w:rPr>
    </w:lvl>
    <w:lvl w:ilvl="4">
      <w:start w:val="1"/>
      <w:numFmt w:val="bullet"/>
      <w:lvlText w:val="o"/>
      <w:lvlJc w:val="left"/>
      <w:pPr>
        <w:tabs>
          <w:tab w:val="num" w:pos="3920"/>
        </w:tabs>
        <w:ind w:left="3920" w:hanging="360"/>
      </w:pPr>
      <w:rPr>
        <w:rFonts w:ascii="Courier New" w:hAnsi="Courier New" w:cs="Courier New" w:hint="default"/>
      </w:rPr>
    </w:lvl>
    <w:lvl w:ilvl="5">
      <w:start w:val="1"/>
      <w:numFmt w:val="bullet"/>
      <w:lvlText w:val=""/>
      <w:lvlJc w:val="left"/>
      <w:pPr>
        <w:tabs>
          <w:tab w:val="num" w:pos="4640"/>
        </w:tabs>
        <w:ind w:left="4640" w:hanging="360"/>
      </w:pPr>
      <w:rPr>
        <w:rFonts w:ascii="Wingdings" w:hAnsi="Wingdings" w:cs="Wingdings" w:hint="default"/>
      </w:rPr>
    </w:lvl>
    <w:lvl w:ilvl="6">
      <w:start w:val="1"/>
      <w:numFmt w:val="bullet"/>
      <w:lvlText w:val=""/>
      <w:lvlJc w:val="left"/>
      <w:pPr>
        <w:tabs>
          <w:tab w:val="num" w:pos="5360"/>
        </w:tabs>
        <w:ind w:left="5360" w:hanging="360"/>
      </w:pPr>
      <w:rPr>
        <w:rFonts w:ascii="Symbol" w:hAnsi="Symbol" w:cs="Symbol" w:hint="default"/>
      </w:rPr>
    </w:lvl>
    <w:lvl w:ilvl="7">
      <w:start w:val="1"/>
      <w:numFmt w:val="bullet"/>
      <w:lvlText w:val="o"/>
      <w:lvlJc w:val="left"/>
      <w:pPr>
        <w:tabs>
          <w:tab w:val="num" w:pos="6080"/>
        </w:tabs>
        <w:ind w:left="6080" w:hanging="360"/>
      </w:pPr>
      <w:rPr>
        <w:rFonts w:ascii="Courier New" w:hAnsi="Courier New" w:cs="Courier New" w:hint="default"/>
      </w:rPr>
    </w:lvl>
    <w:lvl w:ilvl="8">
      <w:start w:val="1"/>
      <w:numFmt w:val="bullet"/>
      <w:lvlText w:val=""/>
      <w:lvlJc w:val="left"/>
      <w:pPr>
        <w:tabs>
          <w:tab w:val="num" w:pos="6800"/>
        </w:tabs>
        <w:ind w:left="6800" w:hanging="360"/>
      </w:pPr>
      <w:rPr>
        <w:rFonts w:ascii="Wingdings" w:hAnsi="Wingdings" w:cs="Wingdings" w:hint="default"/>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0"/>
      <w:jc w:val="left"/>
    </w:pPr>
    <w:rPr>
      <w:rFonts w:ascii="Calibri" w:hAnsi="Calibri" w:eastAsia="Calibri" w:cs="Times New Roman"/>
      <w:color w:val="auto"/>
      <w:kern w:val="0"/>
      <w:sz w:val="22"/>
      <w:szCs w:val="22"/>
      <w:lang w:val="ru-RU" w:eastAsia="en-US" w:bidi="ar-SA"/>
    </w:rPr>
  </w:style>
  <w:style w:type="paragraph" w:styleId="Heading1">
    <w:name w:val="Heading 1"/>
    <w:basedOn w:val="Normal"/>
    <w:next w:val="Normal"/>
    <w:qFormat/>
    <w:rsid w:val="006f377c"/>
    <w:pPr>
      <w:keepNext w:val="true"/>
      <w:spacing w:before="240" w:after="0"/>
      <w:ind w:hanging="284" w:left="284"/>
      <w:jc w:val="both"/>
      <w:outlineLvl w:val="0"/>
    </w:pPr>
    <w:rPr>
      <w:b/>
      <w:bCs/>
      <w:sz w:val="20"/>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semiHidden/>
    <w:qFormat/>
    <w:rsid w:val="00af7303"/>
    <w:rPr>
      <w:sz w:val="24"/>
      <w:szCs w:val="24"/>
      <w:lang w:val="ru-RU" w:eastAsia="ru-RU" w:bidi="ar-SA"/>
    </w:rPr>
  </w:style>
  <w:style w:type="character" w:styleId="Annotationreference">
    <w:name w:val="annotation reference"/>
    <w:qFormat/>
    <w:rsid w:val="004c629e"/>
    <w:rPr>
      <w:sz w:val="18"/>
      <w:szCs w:val="18"/>
    </w:rPr>
  </w:style>
  <w:style w:type="character" w:styleId="Style14" w:customStyle="1">
    <w:name w:val="Текст примечания Знак"/>
    <w:qFormat/>
    <w:rsid w:val="004c629e"/>
    <w:rPr>
      <w:sz w:val="24"/>
      <w:szCs w:val="24"/>
    </w:rPr>
  </w:style>
  <w:style w:type="character" w:styleId="Style15" w:customStyle="1">
    <w:name w:val="Тема примечания Знак"/>
    <w:qFormat/>
    <w:rsid w:val="004c629e"/>
    <w:rPr>
      <w:b/>
      <w:bCs/>
      <w:sz w:val="24"/>
      <w:szCs w:val="24"/>
    </w:rPr>
  </w:style>
  <w:style w:type="character" w:styleId="Style16" w:customStyle="1">
    <w:name w:val="Текст выноски Знак"/>
    <w:qFormat/>
    <w:rsid w:val="004c629e"/>
    <w:rPr>
      <w:rFonts w:ascii="Lucida Grande CY" w:hAnsi="Lucida Grande CY"/>
      <w:sz w:val="18"/>
      <w:szCs w:val="18"/>
    </w:rPr>
  </w:style>
  <w:style w:type="character" w:styleId="FontStyle19" w:customStyle="1">
    <w:name w:val="Font Style19"/>
    <w:qFormat/>
    <w:rsid w:val="00a256bc"/>
    <w:rPr>
      <w:rFonts w:ascii="Times New Roman" w:hAnsi="Times New Roman" w:cs="Times New Roman"/>
      <w:sz w:val="24"/>
      <w:szCs w:val="24"/>
    </w:rPr>
  </w:style>
  <w:style w:type="character" w:styleId="Style17" w:customStyle="1">
    <w:name w:val="Нижний колонтитул Знак"/>
    <w:uiPriority w:val="99"/>
    <w:qFormat/>
    <w:rsid w:val="002d70e2"/>
    <w:rPr>
      <w:sz w:val="24"/>
      <w:szCs w:val="24"/>
    </w:rPr>
  </w:style>
  <w:style w:type="character" w:styleId="1" w:customStyle="1">
    <w:name w:val="Гиперссылка1"/>
    <w:qFormat/>
    <w:rPr>
      <w:color w:val="000080"/>
      <w:u w:val="single"/>
    </w:rPr>
  </w:style>
  <w:style w:type="character" w:styleId="InternetLink" w:customStyle="1">
    <w:name w:val="Internet Link"/>
    <w:qFormat/>
    <w:rPr>
      <w:color w:val="000080"/>
      <w:u w:val="single"/>
    </w:rPr>
  </w:style>
  <w:style w:type="character" w:styleId="Style18" w:customStyle="1">
    <w:name w:val="Выделение жирным"/>
    <w:qFormat/>
    <w:rPr>
      <w:b/>
      <w:bCs/>
    </w:rPr>
  </w:style>
  <w:style w:type="character" w:styleId="InternetLink1">
    <w:name w:val="Internet Link1"/>
    <w:qFormat/>
    <w:rPr>
      <w:color w:val="000080"/>
      <w:u w:val="single"/>
    </w:rPr>
  </w:style>
  <w:style w:type="character" w:styleId="InternetLink2">
    <w:name w:val="Internet Link2"/>
    <w:qFormat/>
    <w:rPr>
      <w:color w:val="000080"/>
      <w:u w:val="single"/>
    </w:rPr>
  </w:style>
  <w:style w:type="character" w:styleId="Hyperlink">
    <w:name w:val="Hyperlink"/>
    <w:rPr>
      <w:color w:val="000080"/>
      <w:u w:val="single"/>
    </w:rPr>
  </w:style>
  <w:style w:type="paragraph" w:styleId="Style19" w:customStyle="1">
    <w:name w:val="Заголовок"/>
    <w:basedOn w:val="Normal"/>
    <w:next w:val="BodyText"/>
    <w:qFormat/>
    <w:pPr>
      <w:keepNext w:val="true"/>
      <w:spacing w:before="240" w:after="120"/>
    </w:pPr>
    <w:rPr>
      <w:rFonts w:eastAsia="Microsoft YaHei" w:cs="Arial Unicode MS"/>
      <w:sz w:val="28"/>
      <w:szCs w:val="28"/>
    </w:rPr>
  </w:style>
  <w:style w:type="paragraph" w:styleId="BodyText">
    <w:name w:val="Body Text"/>
    <w:basedOn w:val="Normal"/>
    <w:rsid w:val="006f377c"/>
    <w:pPr/>
    <w:rPr>
      <w:sz w:val="20"/>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rPr>
  </w:style>
  <w:style w:type="paragraph" w:styleId="Style20">
    <w:name w:val="Указатель"/>
    <w:basedOn w:val="Normal"/>
    <w:qFormat/>
    <w:pPr>
      <w:suppressLineNumbers/>
    </w:pPr>
    <w:rPr>
      <w:rFonts w:cs="Arial"/>
    </w:rPr>
  </w:style>
  <w:style w:type="paragraph" w:styleId="IndexHeading">
    <w:name w:val="Index Heading"/>
    <w:basedOn w:val="Normal"/>
    <w:qFormat/>
    <w:pPr>
      <w:suppressLineNumbers/>
    </w:pPr>
    <w:rPr>
      <w:rFonts w:cs="Lucida Sans"/>
    </w:rPr>
  </w:style>
  <w:style w:type="paragraph" w:styleId="11" w:customStyle="1">
    <w:name w:val="Заголовок1"/>
    <w:basedOn w:val="Normal"/>
    <w:next w:val="BodyText"/>
    <w:qFormat/>
    <w:rsid w:val="006f377c"/>
    <w:pPr>
      <w:jc w:val="center"/>
    </w:pPr>
    <w:rPr>
      <w:b/>
      <w:bCs/>
    </w:rPr>
  </w:style>
  <w:style w:type="paragraph" w:styleId="BodyTextIndented" w:customStyle="1">
    <w:name w:val="Body Text;Indented"/>
    <w:basedOn w:val="Normal"/>
    <w:qFormat/>
    <w:rsid w:val="006f377c"/>
    <w:pPr>
      <w:ind w:hanging="284" w:left="284"/>
      <w:jc w:val="both"/>
    </w:pPr>
    <w:rPr>
      <w:sz w:val="20"/>
    </w:rPr>
  </w:style>
  <w:style w:type="paragraph" w:styleId="BodyTextIndent2">
    <w:name w:val="Body Text Indent 2"/>
    <w:basedOn w:val="Normal"/>
    <w:qFormat/>
    <w:rsid w:val="006f377c"/>
    <w:pPr>
      <w:spacing w:before="240" w:after="0"/>
      <w:ind w:hanging="426" w:left="426"/>
      <w:jc w:val="both"/>
    </w:pPr>
    <w:rPr>
      <w:sz w:val="20"/>
    </w:rPr>
  </w:style>
  <w:style w:type="paragraph" w:styleId="BodyTextIndent3">
    <w:name w:val="Body Text Indent 3"/>
    <w:basedOn w:val="Normal"/>
    <w:qFormat/>
    <w:rsid w:val="006f377c"/>
    <w:pPr>
      <w:spacing w:before="240" w:after="0"/>
      <w:ind w:left="567"/>
      <w:jc w:val="both"/>
    </w:pPr>
    <w:rPr>
      <w:sz w:val="20"/>
    </w:rPr>
  </w:style>
  <w:style w:type="paragraph" w:styleId="ConsPlusNonformat" w:customStyle="1">
    <w:name w:val="ConsPlusNonformat"/>
    <w:qFormat/>
    <w:rsid w:val="008707de"/>
    <w:pPr>
      <w:widowControl w:val="false"/>
      <w:suppressAutoHyphens w:val="true"/>
      <w:bidi w:val="0"/>
      <w:spacing w:before="0" w:after="0"/>
      <w:jc w:val="left"/>
    </w:pPr>
    <w:rPr>
      <w:rFonts w:ascii="Courier New" w:hAnsi="Courier New" w:eastAsia="Times New Roman" w:cs="Times New Roman"/>
      <w:color w:val="auto"/>
      <w:kern w:val="0"/>
      <w:sz w:val="24"/>
      <w:szCs w:val="20"/>
      <w:lang w:val="ru-RU" w:eastAsia="en-US" w:bidi="ar-SA"/>
    </w:rPr>
  </w:style>
  <w:style w:type="paragraph" w:styleId="FR1" w:customStyle="1">
    <w:name w:val="FR1"/>
    <w:qFormat/>
    <w:rsid w:val="00b942ba"/>
    <w:pPr>
      <w:widowControl w:val="false"/>
      <w:suppressAutoHyphens w:val="true"/>
      <w:bidi w:val="0"/>
      <w:spacing w:before="240" w:after="0"/>
      <w:ind w:left="1400"/>
      <w:jc w:val="left"/>
    </w:pPr>
    <w:rPr>
      <w:rFonts w:ascii="Times New Roman" w:hAnsi="Times New Roman" w:eastAsia="Times New Roman" w:cs="Times New Roman"/>
      <w:b/>
      <w:color w:val="auto"/>
      <w:kern w:val="0"/>
      <w:sz w:val="22"/>
      <w:szCs w:val="20"/>
      <w:lang w:val="ru-RU" w:eastAsia="ru-RU" w:bidi="ar-SA"/>
    </w:rPr>
  </w:style>
  <w:style w:type="paragraph" w:styleId="12" w:customStyle="1">
    <w:name w:val="Обычный1"/>
    <w:qFormat/>
    <w:rsid w:val="00b942ba"/>
    <w:pPr>
      <w:widowControl/>
      <w:suppressAutoHyphens w:val="true"/>
      <w:bidi w:val="0"/>
      <w:spacing w:before="0" w:after="0"/>
      <w:jc w:val="left"/>
    </w:pPr>
    <w:rPr>
      <w:rFonts w:ascii="Times New Roman" w:hAnsi="Times New Roman" w:eastAsia="ヒラギノ角ゴ Pro W3" w:cs="Times New Roman"/>
      <w:color w:val="000000"/>
      <w:kern w:val="0"/>
      <w:sz w:val="24"/>
      <w:szCs w:val="20"/>
      <w:lang w:val="ru-RU" w:eastAsia="ru-RU" w:bidi="ar-SA"/>
    </w:rPr>
  </w:style>
  <w:style w:type="paragraph" w:styleId="13" w:customStyle="1">
    <w:name w:val="Название1"/>
    <w:qFormat/>
    <w:rsid w:val="007e0ef7"/>
    <w:pPr>
      <w:widowControl/>
      <w:suppressAutoHyphens w:val="true"/>
      <w:bidi w:val="0"/>
      <w:spacing w:before="0" w:after="0"/>
      <w:jc w:val="center"/>
    </w:pPr>
    <w:rPr>
      <w:rFonts w:ascii="Times New Roman Bold" w:hAnsi="Times New Roman Bold" w:eastAsia="ヒラギノ角ゴ Pro W3" w:cs="Times New Roman"/>
      <w:color w:val="000000"/>
      <w:kern w:val="0"/>
      <w:sz w:val="24"/>
      <w:szCs w:val="20"/>
      <w:lang w:val="ru-RU" w:eastAsia="ru-RU" w:bidi="ar-SA"/>
    </w:rPr>
  </w:style>
  <w:style w:type="paragraph" w:styleId="BodyText2">
    <w:name w:val="Body Text 2"/>
    <w:basedOn w:val="Normal"/>
    <w:qFormat/>
    <w:rsid w:val="00af7303"/>
    <w:pPr>
      <w:spacing w:lineRule="auto" w:line="480" w:before="0" w:after="120"/>
    </w:pPr>
    <w:rPr/>
  </w:style>
  <w:style w:type="paragraph" w:styleId="Style21" w:customStyle="1">
    <w:name w:val="Верхний и нижний колонтитулы"/>
    <w:basedOn w:val="Normal"/>
    <w:qFormat/>
    <w:pPr/>
    <w:rPr/>
  </w:style>
  <w:style w:type="paragraph" w:styleId="Style22" w:customStyle="1">
    <w:name w:val="Колонтитул"/>
    <w:basedOn w:val="Normal"/>
    <w:qFormat/>
    <w:pPr/>
    <w:rPr/>
  </w:style>
  <w:style w:type="paragraph" w:styleId="Header">
    <w:name w:val="Header"/>
    <w:basedOn w:val="Normal"/>
    <w:rsid w:val="00af7303"/>
    <w:pPr>
      <w:tabs>
        <w:tab w:val="clear" w:pos="708"/>
        <w:tab w:val="center" w:pos="4677" w:leader="none"/>
        <w:tab w:val="right" w:pos="9355" w:leader="none"/>
      </w:tabs>
    </w:pPr>
    <w:rPr/>
  </w:style>
  <w:style w:type="paragraph" w:styleId="AnnotationText">
    <w:name w:val="Annotation Text"/>
    <w:basedOn w:val="Normal"/>
    <w:qFormat/>
    <w:rsid w:val="004c629e"/>
    <w:pPr/>
    <w:rPr/>
  </w:style>
  <w:style w:type="paragraph" w:styleId="Annotationsubject">
    <w:name w:val="annotation subject"/>
    <w:basedOn w:val="AnnotationText"/>
    <w:next w:val="AnnotationText"/>
    <w:qFormat/>
    <w:rsid w:val="004c629e"/>
    <w:pPr/>
    <w:rPr>
      <w:b/>
      <w:bCs/>
    </w:rPr>
  </w:style>
  <w:style w:type="paragraph" w:styleId="BalloonText">
    <w:name w:val="Balloon Text"/>
    <w:basedOn w:val="Normal"/>
    <w:qFormat/>
    <w:rsid w:val="004c629e"/>
    <w:pPr/>
    <w:rPr>
      <w:rFonts w:ascii="Lucida Grande CY" w:hAnsi="Lucida Grande CY"/>
      <w:sz w:val="18"/>
      <w:szCs w:val="18"/>
    </w:rPr>
  </w:style>
  <w:style w:type="paragraph" w:styleId="ListParagraph">
    <w:name w:val="List Paragraph"/>
    <w:basedOn w:val="Normal"/>
    <w:uiPriority w:val="34"/>
    <w:qFormat/>
    <w:rsid w:val="00966553"/>
    <w:pPr>
      <w:spacing w:before="0" w:after="0"/>
      <w:ind w:left="720"/>
      <w:contextualSpacing/>
    </w:pPr>
    <w:rPr/>
  </w:style>
  <w:style w:type="paragraph" w:styleId="FORMATTEXT" w:customStyle="1">
    <w:name w:val=".FORMATTEXT"/>
    <w:uiPriority w:val="99"/>
    <w:qFormat/>
    <w:rsid w:val="001144aa"/>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Footer">
    <w:name w:val="Footer"/>
    <w:basedOn w:val="Normal"/>
    <w:uiPriority w:val="99"/>
    <w:rsid w:val="002d70e2"/>
    <w:pPr>
      <w:tabs>
        <w:tab w:val="clear" w:pos="708"/>
        <w:tab w:val="center" w:pos="4677" w:leader="none"/>
        <w:tab w:val="right" w:pos="9355" w:leader="none"/>
      </w:tabs>
    </w:pPr>
    <w:rPr/>
  </w:style>
  <w:style w:type="paragraph" w:styleId="Style23" w:customStyle="1">
    <w:name w:val="Содержимое таблицы"/>
    <w:basedOn w:val="Normal"/>
    <w:qFormat/>
    <w:pPr>
      <w:widowControl w:val="false"/>
      <w:suppressLineNumbers/>
    </w:pPr>
    <w:rPr/>
  </w:style>
  <w:style w:type="paragraph" w:styleId="Style24" w:customStyle="1">
    <w:name w:val="Заголовок таблицы"/>
    <w:basedOn w:val="Style23"/>
    <w:qFormat/>
    <w:pPr>
      <w:jc w:val="center"/>
    </w:pPr>
    <w:rPr>
      <w:b/>
      <w:bCs/>
    </w:rPr>
  </w:style>
  <w:style w:type="numbering" w:styleId="Style25"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b">
    <w:name w:val="Table Grid"/>
    <w:basedOn w:val="a1"/>
    <w:rsid w:val="0079394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tgpab@inbox.ru"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FC8EF7-EA64-454E-8E28-82BF7FE6C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Application>LibreOffice/7.6.4.1$Windows_X86_64 LibreOffice_project/e19e193f88cd6c0525a17fb7a176ed8e6a3e2aa1</Application>
  <AppVersion>15.0000</AppVersion>
  <Pages>7</Pages>
  <Words>2316</Words>
  <Characters>16693</Characters>
  <CharactersWithSpaces>19502</CharactersWithSpaces>
  <Paragraphs>150</Paragraphs>
  <Company>ass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2022-11-01T10:30:00Z</dcterms:created>
  <dc:creator>Пользователь</dc:creator>
  <dc:description/>
  <dc:language>ru-RU</dc:language>
  <cp:lastModifiedBy/>
  <cp:lastPrinted>2026-05-13T11:12:31Z</cp:lastPrinted>
  <dcterms:modified xsi:type="dcterms:W3CDTF">2026-05-13T13:53:29Z</dcterms:modified>
  <cp:revision>17</cp:revision>
  <dc:subject/>
  <dc:title>ДОГОВОР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