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3ACF6">
      <w:pPr>
        <w:autoSpaceDE w:val="0"/>
        <w:autoSpaceDN w:val="0"/>
        <w:adjustRightInd w:val="0"/>
        <w:spacing w:after="0" w:line="240" w:lineRule="auto"/>
        <w:jc w:val="center"/>
        <w:rPr>
          <w:rFonts w:hint="default" w:ascii="Times New Roman" w:hAnsi="Times New Roman" w:cs="Times New Roman"/>
          <w:sz w:val="24"/>
          <w:szCs w:val="24"/>
          <w:lang w:val="ru-RU"/>
        </w:rPr>
      </w:pPr>
      <w:r>
        <w:rPr>
          <w:rFonts w:ascii="Times New Roman" w:hAnsi="Times New Roman" w:cs="Times New Roman"/>
          <w:b/>
          <w:bCs/>
          <w:sz w:val="24"/>
          <w:szCs w:val="24"/>
        </w:rPr>
        <w:t>Контракт</w:t>
      </w:r>
      <w:r>
        <w:rPr>
          <w:rFonts w:ascii="Times New Roman" w:hAnsi="Times New Roman" w:cs="Times New Roman"/>
          <w:sz w:val="24"/>
          <w:szCs w:val="24"/>
        </w:rPr>
        <w:t>№</w:t>
      </w:r>
      <w:r>
        <w:rPr>
          <w:rFonts w:ascii="Times New Roman" w:hAnsi="Times New Roman" w:cs="Times New Roman"/>
          <w:b/>
          <w:bCs/>
          <w:sz w:val="24"/>
          <w:szCs w:val="24"/>
        </w:rPr>
        <w:t xml:space="preserve"> 77-2026/</w:t>
      </w:r>
      <w:r>
        <w:rPr>
          <w:rFonts w:hint="default" w:ascii="Times New Roman" w:hAnsi="Times New Roman" w:cs="Times New Roman"/>
          <w:b/>
          <w:bCs/>
          <w:sz w:val="24"/>
          <w:szCs w:val="24"/>
          <w:lang w:val="ru-RU"/>
        </w:rPr>
        <w:t>16</w:t>
      </w:r>
    </w:p>
    <w:p w14:paraId="337F2B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на поставку средств индивидуальной защиты (костюмы)</w:t>
      </w:r>
    </w:p>
    <w:p w14:paraId="30AB97A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 ______)</w:t>
      </w:r>
    </w:p>
    <w:p w14:paraId="41E50A14">
      <w:pPr>
        <w:autoSpaceDE w:val="0"/>
        <w:autoSpaceDN w:val="0"/>
        <w:adjustRightInd w:val="0"/>
        <w:spacing w:after="0" w:line="240" w:lineRule="auto"/>
        <w:jc w:val="both"/>
        <w:rPr>
          <w:rFonts w:ascii="Times New Roman" w:hAnsi="Times New Roman" w:cs="Times New Roman"/>
          <w:sz w:val="24"/>
          <w:szCs w:val="24"/>
        </w:rPr>
      </w:pPr>
    </w:p>
    <w:p w14:paraId="0AC06E25">
      <w:pPr>
        <w:autoSpaceDE w:val="0"/>
        <w:autoSpaceDN w:val="0"/>
        <w:adjustRightInd w:val="0"/>
        <w:spacing w:after="0" w:line="240" w:lineRule="auto"/>
        <w:jc w:val="both"/>
        <w:rPr>
          <w:rFonts w:ascii="Times New Roman" w:hAnsi="Times New Roman" w:cs="Times New Roman"/>
          <w:sz w:val="24"/>
          <w:szCs w:val="24"/>
        </w:rPr>
      </w:pPr>
    </w:p>
    <w:p w14:paraId="134E42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__.__.20</w:t>
      </w:r>
      <w:r>
        <w:rPr>
          <w:rFonts w:ascii="Times New Roman" w:hAnsi="Times New Roman" w:cs="Times New Roman"/>
          <w:color w:val="FF0000"/>
          <w:sz w:val="24"/>
          <w:szCs w:val="24"/>
        </w:rPr>
        <w:t>26 года</w:t>
      </w:r>
    </w:p>
    <w:p w14:paraId="3C6794FD">
      <w:pPr>
        <w:autoSpaceDE w:val="0"/>
        <w:autoSpaceDN w:val="0"/>
        <w:adjustRightInd w:val="0"/>
        <w:spacing w:after="0" w:line="240" w:lineRule="auto"/>
        <w:ind w:firstLine="540"/>
        <w:jc w:val="both"/>
        <w:rPr>
          <w:rFonts w:ascii="Times New Roman" w:hAnsi="Times New Roman" w:cs="Times New Roman"/>
          <w:sz w:val="24"/>
          <w:szCs w:val="24"/>
        </w:rPr>
      </w:pPr>
    </w:p>
    <w:p w14:paraId="6CCB880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Государственное бюджетное дошкольное образовательное учреждение детский сад № 77 комбинированного вида Приморского района Санкт-Петербурга, именуемое в дальнейшем «Заказчик», в лице __________________________, действующего на основании Устава, с одной стороны, и _________, именуемое в дальнейшем «Поставщик», в лице _________, действующего на основании _________, с другой стороны, вместе именуемые в дальнейшем «Стороны», в соответствии с </w:t>
      </w:r>
      <w:r>
        <w:rPr>
          <w:rFonts w:ascii="Times New Roman" w:hAnsi="Times New Roman" w:cs="Times New Roman"/>
          <w:i/>
          <w:sz w:val="24"/>
          <w:szCs w:val="24"/>
        </w:rPr>
        <w:t xml:space="preserve">п.4 ч. 1 ст. 93 </w:t>
      </w:r>
      <w:r>
        <w:rPr>
          <w:rFonts w:ascii="Times New Roman" w:hAnsi="Times New Roman" w:cs="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572F21E7">
      <w:pPr>
        <w:autoSpaceDE w:val="0"/>
        <w:autoSpaceDN w:val="0"/>
        <w:adjustRightInd w:val="0"/>
        <w:spacing w:after="0" w:line="240" w:lineRule="auto"/>
        <w:jc w:val="center"/>
        <w:rPr>
          <w:rFonts w:ascii="Times New Roman" w:hAnsi="Times New Roman" w:cs="Times New Roman"/>
          <w:sz w:val="24"/>
          <w:szCs w:val="24"/>
        </w:rPr>
      </w:pPr>
    </w:p>
    <w:p w14:paraId="46348A56">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 Предмет Контракта</w:t>
      </w:r>
    </w:p>
    <w:p w14:paraId="68ABE2E7">
      <w:pPr>
        <w:autoSpaceDE w:val="0"/>
        <w:autoSpaceDN w:val="0"/>
        <w:adjustRightInd w:val="0"/>
        <w:spacing w:after="0" w:line="240" w:lineRule="auto"/>
        <w:ind w:firstLine="540"/>
        <w:jc w:val="both"/>
        <w:rPr>
          <w:rFonts w:ascii="Times New Roman" w:hAnsi="Times New Roman" w:cs="Times New Roman"/>
          <w:sz w:val="24"/>
          <w:szCs w:val="24"/>
        </w:rPr>
      </w:pPr>
    </w:p>
    <w:p w14:paraId="252C93B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поставку </w:t>
      </w:r>
      <w:r>
        <w:rPr>
          <w:rFonts w:ascii="Times New Roman" w:hAnsi="Times New Roman" w:cs="Times New Roman"/>
          <w:b/>
          <w:sz w:val="24"/>
          <w:szCs w:val="24"/>
        </w:rPr>
        <w:t>средств индивидуальной защиты (костюмы)</w:t>
      </w:r>
      <w:r>
        <w:rPr>
          <w:rFonts w:ascii="Times New Roman" w:hAnsi="Times New Roman" w:cs="Times New Roman"/>
          <w:sz w:val="24"/>
          <w:szCs w:val="24"/>
        </w:rPr>
        <w:t xml:space="preserve"> (далее - Товар) Заказчику в обусловленный настоящим Контрактом срок согласно </w:t>
      </w:r>
      <w:r>
        <w:fldChar w:fldCharType="begin"/>
      </w:r>
      <w:r>
        <w:instrText xml:space="preserve"> HYPERLINK \l "Par645" </w:instrText>
      </w:r>
      <w:r>
        <w:fldChar w:fldCharType="separate"/>
      </w:r>
      <w:r>
        <w:rPr>
          <w:rFonts w:ascii="Times New Roman" w:hAnsi="Times New Roman" w:cs="Times New Roman"/>
          <w:sz w:val="24"/>
          <w:szCs w:val="24"/>
        </w:rPr>
        <w:t>Спецификации</w:t>
      </w:r>
      <w:r>
        <w:rPr>
          <w:rFonts w:ascii="Times New Roman" w:hAnsi="Times New Roman" w:cs="Times New Roman"/>
          <w:sz w:val="24"/>
          <w:szCs w:val="24"/>
        </w:rPr>
        <w:fldChar w:fldCharType="end"/>
      </w:r>
      <w:r>
        <w:rPr>
          <w:rFonts w:ascii="Times New Roman" w:hAnsi="Times New Roman" w:cs="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A2B4DC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и количество поставляемого Товара указаны в </w:t>
      </w:r>
      <w:r>
        <w:fldChar w:fldCharType="begin"/>
      </w:r>
      <w:r>
        <w:instrText xml:space="preserve"> HYPERLINK \l "Par645" </w:instrText>
      </w:r>
      <w:r>
        <w:fldChar w:fldCharType="separate"/>
      </w:r>
      <w:r>
        <w:rPr>
          <w:rFonts w:ascii="Times New Roman" w:hAnsi="Times New Roman" w:cs="Times New Roman"/>
          <w:sz w:val="24"/>
          <w:szCs w:val="24"/>
        </w:rPr>
        <w:t>Спецификации</w:t>
      </w:r>
      <w:r>
        <w:rPr>
          <w:rFonts w:ascii="Times New Roman" w:hAnsi="Times New Roman" w:cs="Times New Roman"/>
          <w:sz w:val="24"/>
          <w:szCs w:val="24"/>
        </w:rPr>
        <w:fldChar w:fldCharType="end"/>
      </w:r>
      <w:r>
        <w:rPr>
          <w:rFonts w:ascii="Times New Roman" w:hAnsi="Times New Roman" w:cs="Times New Roman"/>
          <w:sz w:val="24"/>
          <w:szCs w:val="24"/>
        </w:rPr>
        <w:t xml:space="preserve"> (Приложение № 1 к настоящему Контракту). </w:t>
      </w:r>
    </w:p>
    <w:p w14:paraId="2A53F95A">
      <w:pPr>
        <w:autoSpaceDE w:val="0"/>
        <w:autoSpaceDN w:val="0"/>
        <w:adjustRightInd w:val="0"/>
        <w:spacing w:after="0" w:line="240" w:lineRule="auto"/>
        <w:ind w:firstLine="540"/>
        <w:jc w:val="both"/>
        <w:rPr>
          <w:rFonts w:ascii="Times New Roman" w:hAnsi="Times New Roman" w:cs="Times New Roman"/>
          <w:sz w:val="24"/>
          <w:szCs w:val="24"/>
        </w:rPr>
      </w:pPr>
    </w:p>
    <w:p w14:paraId="7291C9A9">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2. Цена Контракта и порядок расчетов</w:t>
      </w:r>
    </w:p>
    <w:p w14:paraId="5DF23BAC">
      <w:pPr>
        <w:autoSpaceDE w:val="0"/>
        <w:autoSpaceDN w:val="0"/>
        <w:adjustRightInd w:val="0"/>
        <w:spacing w:after="0" w:line="240" w:lineRule="auto"/>
        <w:jc w:val="center"/>
        <w:outlineLvl w:val="0"/>
        <w:rPr>
          <w:rFonts w:ascii="Times New Roman" w:hAnsi="Times New Roman" w:cs="Times New Roman"/>
          <w:sz w:val="24"/>
          <w:szCs w:val="24"/>
        </w:rPr>
      </w:pPr>
    </w:p>
    <w:p w14:paraId="30E8294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составляет </w:t>
      </w:r>
      <w:r>
        <w:rPr>
          <w:rFonts w:ascii="Times New Roman" w:hAnsi="Times New Roman" w:cs="Times New Roman"/>
          <w:b/>
          <w:sz w:val="24"/>
          <w:szCs w:val="24"/>
        </w:rPr>
        <w:t>__________ рублей ______ копеек (_______)</w:t>
      </w:r>
      <w:r>
        <w:rPr>
          <w:rFonts w:ascii="Times New Roman" w:hAnsi="Times New Roman" w:cs="Times New Roman"/>
          <w:sz w:val="24"/>
          <w:szCs w:val="24"/>
        </w:rPr>
        <w:t xml:space="preserve">, </w:t>
      </w:r>
      <w:r>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cs="Times New Roman"/>
          <w:sz w:val="24"/>
          <w:szCs w:val="24"/>
        </w:rPr>
        <w:t>.</w:t>
      </w:r>
    </w:p>
    <w:p w14:paraId="55834814">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Pr>
          <w:rFonts w:ascii="Times New Roman" w:hAnsi="Times New Roman" w:cs="Times New Roman"/>
          <w:sz w:val="24"/>
          <w:szCs w:val="24"/>
        </w:rPr>
        <w:t>2.2. Цена Контракта включает в себя стоимость Товара, а также все расходы на упаковку, маркировку, доставку и разгрузку, сборку, подъем на этаж до места, указанного Заказчиком,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70FA3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 и настоящим Контрактом.</w:t>
      </w:r>
    </w:p>
    <w:p w14:paraId="113BC66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"consultantplus://offline/ref=176F26A7F26FE2845A67092FD5B01F2BD9B6F3B1F4BEF42036BC3613AD6CEA33B7E07623A1E23081BD959007A26E7DCA9346D67372442958l4b6H" </w:instrText>
      </w:r>
      <w:r>
        <w:fldChar w:fldCharType="separate"/>
      </w:r>
      <w:r>
        <w:rPr>
          <w:rFonts w:ascii="Times New Roman" w:hAnsi="Times New Roman" w:cs="Times New Roman"/>
          <w:sz w:val="24"/>
          <w:szCs w:val="24"/>
        </w:rPr>
        <w:t>статьями 34</w:t>
      </w:r>
      <w:r>
        <w:rPr>
          <w:rFonts w:ascii="Times New Roman" w:hAnsi="Times New Roman" w:cs="Times New Roman"/>
          <w:sz w:val="24"/>
          <w:szCs w:val="24"/>
        </w:rPr>
        <w:fldChar w:fldCharType="end"/>
      </w:r>
      <w:r>
        <w:rPr>
          <w:rFonts w:ascii="Times New Roman" w:hAnsi="Times New Roman" w:cs="Times New Roman"/>
          <w:sz w:val="24"/>
          <w:szCs w:val="24"/>
        </w:rPr>
        <w:t xml:space="preserve"> 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cs="Times New Roman"/>
          <w:sz w:val="24"/>
          <w:szCs w:val="24"/>
        </w:rPr>
        <w:t>95</w:t>
      </w:r>
      <w:r>
        <w:rPr>
          <w:rFonts w:ascii="Times New Roman" w:hAnsi="Times New Roman" w:cs="Times New Roman"/>
          <w:sz w:val="24"/>
          <w:szCs w:val="24"/>
        </w:rPr>
        <w:fldChar w:fldCharType="end"/>
      </w:r>
      <w:r>
        <w:rPr>
          <w:rFonts w:ascii="Times New Roman" w:hAnsi="Times New Roman" w:cs="Times New Roman"/>
          <w:sz w:val="24"/>
          <w:szCs w:val="24"/>
        </w:rPr>
        <w:t xml:space="preserve"> ФЗ № 44.</w:t>
      </w:r>
    </w:p>
    <w:p w14:paraId="3D364C2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713867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Изменение цены настоящего Контракта допускается только в следующих случаях:</w:t>
      </w:r>
    </w:p>
    <w:p w14:paraId="731AACC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63C39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B5405D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70346F">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Pr>
          <w:rFonts w:ascii="Times New Roman" w:hAnsi="Times New Roman" w:cs="Times New Roman"/>
          <w:sz w:val="24"/>
          <w:szCs w:val="24"/>
        </w:rPr>
        <w:t xml:space="preserve">2.3. Источник финансирования Контракта –внебюджетные средства: средства бюджетных учреждений. </w:t>
      </w:r>
    </w:p>
    <w:p w14:paraId="78987CC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0CF80B9B">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2E1F20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EE3A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2.7. </w:t>
      </w:r>
      <w:r>
        <w:rPr>
          <w:rFonts w:ascii="Times New Roman" w:hAnsi="Times New Roman" w:cs="Times New Roman"/>
          <w:sz w:val="24"/>
          <w:szCs w:val="24"/>
          <w:u w:val="single"/>
        </w:rPr>
        <w:t>Датой оплаты считается дата списания денежных средств со счета Заказчика</w:t>
      </w:r>
      <w:r>
        <w:rPr>
          <w:rFonts w:ascii="Times New Roman" w:hAnsi="Times New Roman" w:cs="Times New Roman"/>
          <w:sz w:val="24"/>
          <w:szCs w:val="24"/>
        </w:rPr>
        <w:t>, указанного в настоящем Контракте.</w:t>
      </w:r>
    </w:p>
    <w:p w14:paraId="433FD009">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 и настоящим Контрактом, удерживаются Заказчиком из суммы, подлежащей оплате Поставщику.</w:t>
      </w:r>
    </w:p>
    <w:p w14:paraId="021CD1B9">
      <w:pPr>
        <w:autoSpaceDE w:val="0"/>
        <w:autoSpaceDN w:val="0"/>
        <w:adjustRightInd w:val="0"/>
        <w:spacing w:after="0" w:line="240" w:lineRule="auto"/>
        <w:ind w:firstLine="540"/>
        <w:jc w:val="both"/>
        <w:rPr>
          <w:rFonts w:ascii="Times New Roman" w:hAnsi="Times New Roman" w:cs="Times New Roman"/>
          <w:sz w:val="24"/>
          <w:szCs w:val="24"/>
        </w:rPr>
      </w:pPr>
    </w:p>
    <w:p w14:paraId="26A661A1">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3. Порядок, сроки и условия поставки и приемки Товара</w:t>
      </w:r>
    </w:p>
    <w:p w14:paraId="57FC128A">
      <w:pPr>
        <w:autoSpaceDE w:val="0"/>
        <w:autoSpaceDN w:val="0"/>
        <w:adjustRightInd w:val="0"/>
        <w:spacing w:after="0" w:line="240" w:lineRule="auto"/>
        <w:ind w:firstLine="540"/>
        <w:jc w:val="both"/>
        <w:rPr>
          <w:rFonts w:ascii="Times New Roman" w:hAnsi="Times New Roman" w:cs="Times New Roman"/>
          <w:sz w:val="24"/>
          <w:szCs w:val="24"/>
        </w:rPr>
      </w:pPr>
    </w:p>
    <w:p w14:paraId="7C6019B0">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C661D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Поставка Товара осуществляется Поставщиком </w:t>
      </w:r>
      <w:r>
        <w:rPr>
          <w:rFonts w:ascii="Times New Roman" w:hAnsi="Times New Roman" w:cs="Times New Roman"/>
          <w:b/>
          <w:sz w:val="24"/>
          <w:szCs w:val="24"/>
        </w:rPr>
        <w:t>в течение 14 (четырнадцати) календарных дней</w:t>
      </w:r>
      <w:r>
        <w:rPr>
          <w:rFonts w:ascii="Times New Roman" w:hAnsi="Times New Roman" w:cs="Times New Roman"/>
          <w:sz w:val="24"/>
          <w:szCs w:val="24"/>
        </w:rPr>
        <w:t xml:space="preserve"> со дня заключения Сторонами настоящего Контракта.</w:t>
      </w:r>
    </w:p>
    <w:p w14:paraId="0EA31932">
      <w:pPr>
        <w:autoSpaceDE w:val="0"/>
        <w:autoSpaceDN w:val="0"/>
        <w:adjustRightInd w:val="0"/>
        <w:spacing w:after="0" w:line="240" w:lineRule="auto"/>
        <w:ind w:firstLine="540"/>
        <w:jc w:val="both"/>
        <w:rPr>
          <w:rFonts w:hint="default" w:ascii="Times New Roman" w:hAnsi="Times New Roman" w:cs="Times New Roman"/>
          <w:b/>
          <w:sz w:val="24"/>
          <w:szCs w:val="24"/>
          <w:lang w:val="ru-RU"/>
        </w:rPr>
      </w:pPr>
      <w:r>
        <w:rPr>
          <w:rFonts w:ascii="Times New Roman" w:hAnsi="Times New Roman" w:cs="Times New Roman"/>
          <w:sz w:val="24"/>
          <w:szCs w:val="24"/>
        </w:rPr>
        <w:t>3.2. Поставка Товара осуществляется Поставщиком по адресу:</w:t>
      </w:r>
      <w:r>
        <w:rPr>
          <w:rFonts w:ascii="Times New Roman" w:hAnsi="Times New Roman" w:cs="Times New Roman"/>
          <w:b/>
          <w:sz w:val="24"/>
          <w:szCs w:val="24"/>
        </w:rPr>
        <w:t xml:space="preserve"> 197372, Санкт-Петербург, </w:t>
      </w:r>
      <w:r>
        <w:rPr>
          <w:rFonts w:ascii="Times New Roman" w:hAnsi="Times New Roman" w:cs="Times New Roman"/>
          <w:b/>
          <w:sz w:val="24"/>
          <w:szCs w:val="24"/>
          <w:lang w:val="ru-RU"/>
        </w:rPr>
        <w:t>ул</w:t>
      </w:r>
      <w:r>
        <w:rPr>
          <w:rFonts w:hint="default" w:ascii="Times New Roman" w:hAnsi="Times New Roman" w:cs="Times New Roman"/>
          <w:b/>
          <w:sz w:val="24"/>
          <w:szCs w:val="24"/>
          <w:lang w:val="ru-RU"/>
        </w:rPr>
        <w:t>. Оптиков, д.49, к.3, лит А</w:t>
      </w:r>
    </w:p>
    <w:p w14:paraId="220A4239">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Pr>
          <w:rFonts w:ascii="Times New Roman" w:hAnsi="Times New Roman" w:cs="Times New Roman"/>
          <w:sz w:val="24"/>
          <w:szCs w:val="24"/>
        </w:rPr>
        <w:t>3.3. Поставщик вместе с Товаром передает Заказчику документ о приёмке. Документом о приёмке могут быть УПД или иной документ, подтверждающий передачу Товара Поставщиком Заказчику.</w:t>
      </w:r>
    </w:p>
    <w:p w14:paraId="7E9B3AE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Товарная накладная (при наличии) подписывается в день доставки Товара. Документ о приёмке подписывается по окончании приемки Товара, но не ранее устранения всех недостатков.</w:t>
      </w:r>
    </w:p>
    <w:p w14:paraId="242EB018">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E2640FE">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Pr>
          <w:rFonts w:ascii="Times New Roman" w:hAnsi="Times New Roman" w:cs="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w:t>
      </w:r>
    </w:p>
    <w:p w14:paraId="0C98139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4133332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3D858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739692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83214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A1930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3.6. </w:t>
      </w:r>
      <w:r>
        <w:rPr>
          <w:rFonts w:ascii="Times New Roman" w:hAnsi="Times New Roman" w:cs="Times New Roman"/>
          <w:sz w:val="24"/>
          <w:szCs w:val="24"/>
          <w:u w:val="single"/>
        </w:rPr>
        <w:t>В течение 5 (пяти) рабочих дней со дня поступления документа о приемке</w:t>
      </w:r>
      <w:r>
        <w:rPr>
          <w:rFonts w:ascii="Times New Roman" w:hAnsi="Times New Roman" w:cs="Times New Roman"/>
          <w:sz w:val="24"/>
          <w:szCs w:val="24"/>
        </w:rPr>
        <w:t xml:space="preserve"> в соответствии с </w:t>
      </w:r>
      <w:r>
        <w:fldChar w:fldCharType="begin"/>
      </w:r>
      <w:r>
        <w:instrText xml:space="preserve"> HYPERLINK \l "Par146" </w:instrText>
      </w:r>
      <w:r>
        <w:fldChar w:fldCharType="separate"/>
      </w:r>
      <w:r>
        <w:rPr>
          <w:rFonts w:ascii="Times New Roman" w:hAnsi="Times New Roman" w:cs="Times New Roman"/>
          <w:sz w:val="24"/>
          <w:szCs w:val="24"/>
        </w:rPr>
        <w:t>пунктом 3.5</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 Заказчик (кроме случаев, предусмотренных п. 3.7.1. настоящего Контракта) осуществляет одно из следующих действий:</w:t>
      </w:r>
    </w:p>
    <w:p w14:paraId="4E91C69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 подписывает акт сдачи-приемки Товара;</w:t>
      </w:r>
    </w:p>
    <w:p w14:paraId="497C42E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 направляет Поставщику мотивированный отказ от подписания акта сдачи-приемки Товара с указанием причин такого отказа.</w:t>
      </w:r>
    </w:p>
    <w:p w14:paraId="3F20878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14:paraId="5DFBB1B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3.7. В соответствии с </w:t>
      </w:r>
      <w:r>
        <w:fldChar w:fldCharType="begin"/>
      </w:r>
      <w:r>
        <w:instrText xml:space="preserve"> HYPERLINK "consultantplus://offline/ref=176F26A7F26FE2845A67092FD5B01F2BD9B6F3B1F4BEF42036BC3613AD6CEA33B7E07623A1E33688B4959007A26E7DCA9346D67372442958l4b6H" </w:instrText>
      </w:r>
      <w:r>
        <w:fldChar w:fldCharType="separate"/>
      </w:r>
      <w:r>
        <w:rPr>
          <w:rFonts w:ascii="Times New Roman" w:hAnsi="Times New Roman" w:cs="Times New Roman"/>
          <w:sz w:val="24"/>
          <w:szCs w:val="24"/>
        </w:rPr>
        <w:t>частью 6 статьи 94</w:t>
      </w:r>
      <w:r>
        <w:rPr>
          <w:rFonts w:ascii="Times New Roman" w:hAnsi="Times New Roman" w:cs="Times New Roman"/>
          <w:sz w:val="24"/>
          <w:szCs w:val="24"/>
        </w:rPr>
        <w:fldChar w:fldCharType="end"/>
      </w:r>
      <w:r>
        <w:rPr>
          <w:rFonts w:ascii="Times New Roman" w:hAnsi="Times New Roman" w:cs="Times New Roman"/>
          <w:sz w:val="24"/>
          <w:szCs w:val="24"/>
        </w:rPr>
        <w:t xml:space="preserve"> ФЗ № 44 по решению Заказчика для приемки поставленного Товара может создаваться приемочная комиссия, которая состоит не менее чем из пяти человек.</w:t>
      </w:r>
    </w:p>
    <w:p w14:paraId="1BDE70E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3.7.1. В случае создания приемочной комиссии в течение </w:t>
      </w:r>
      <w:r>
        <w:rPr>
          <w:rFonts w:ascii="Times New Roman" w:hAnsi="Times New Roman" w:cs="Times New Roman"/>
          <w:sz w:val="24"/>
          <w:szCs w:val="24"/>
          <w:u w:val="single"/>
        </w:rPr>
        <w:t>5 (пяти) рабочих дней со дня получения от Поставщика акта сдачи-приемки Товара</w:t>
      </w:r>
      <w:bookmarkStart w:id="8" w:name="Par160"/>
      <w:bookmarkEnd w:id="8"/>
      <w:r>
        <w:rPr>
          <w:rFonts w:ascii="Times New Roman" w:hAnsi="Times New Roman" w:cs="Times New Roman"/>
          <w:sz w:val="24"/>
          <w:szCs w:val="24"/>
          <w:u w:val="single"/>
        </w:rPr>
        <w:t xml:space="preserve"> </w:t>
      </w:r>
      <w:r>
        <w:rPr>
          <w:rFonts w:ascii="Times New Roman" w:hAnsi="Times New Roman" w:cs="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3F9D640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1413E0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59A993C8">
      <w:pPr>
        <w:autoSpaceDE w:val="0"/>
        <w:autoSpaceDN w:val="0"/>
        <w:adjustRightInd w:val="0"/>
        <w:spacing w:after="0" w:line="240" w:lineRule="auto"/>
        <w:ind w:firstLine="540"/>
        <w:jc w:val="both"/>
        <w:rPr>
          <w:rFonts w:ascii="Times New Roman" w:hAnsi="Times New Roman" w:eastAsia="Times New Roman" w:cs="Times New Roman"/>
          <w:sz w:val="24"/>
          <w:szCs w:val="24"/>
          <w:lang w:eastAsia="ru-RU"/>
        </w:rPr>
      </w:pPr>
      <w:r>
        <w:rPr>
          <w:rFonts w:ascii="Times New Roman" w:hAnsi="Times New Roman" w:cs="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599740C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3.10. На основании документов, указанных в пункте 3.6 Контракта, Заказчик формирует Акт приемки по форме 0510452. Подписание Акта, указанного  в настоящем пункте может осуществляться без обязательного присутствия уполномоченного представителя Поставщика. Дата подписания  Акта приемки (ф. 0510452) ответственным лицом Заказчика считается датой приёмки Товара.</w:t>
      </w:r>
    </w:p>
    <w:p w14:paraId="1A9C6244">
      <w:pPr>
        <w:autoSpaceDE w:val="0"/>
        <w:autoSpaceDN w:val="0"/>
        <w:adjustRightInd w:val="0"/>
        <w:spacing w:after="0" w:line="240" w:lineRule="auto"/>
        <w:ind w:firstLine="540"/>
        <w:jc w:val="both"/>
        <w:rPr>
          <w:rFonts w:ascii="Times New Roman" w:hAnsi="Times New Roman" w:cs="Times New Roman"/>
          <w:sz w:val="24"/>
          <w:szCs w:val="24"/>
        </w:rPr>
      </w:pPr>
    </w:p>
    <w:p w14:paraId="7C7293FB">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4. Взаимодействие Сторон</w:t>
      </w:r>
    </w:p>
    <w:p w14:paraId="52A3F6C0">
      <w:pPr>
        <w:autoSpaceDE w:val="0"/>
        <w:autoSpaceDN w:val="0"/>
        <w:adjustRightInd w:val="0"/>
        <w:spacing w:after="0" w:line="240" w:lineRule="auto"/>
        <w:ind w:firstLine="540"/>
        <w:jc w:val="both"/>
        <w:rPr>
          <w:rFonts w:ascii="Times New Roman" w:hAnsi="Times New Roman" w:cs="Times New Roman"/>
          <w:sz w:val="24"/>
          <w:szCs w:val="24"/>
        </w:rPr>
      </w:pPr>
    </w:p>
    <w:p w14:paraId="773DF33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w:t>
      </w:r>
      <w:r>
        <w:rPr>
          <w:rFonts w:ascii="Times New Roman" w:hAnsi="Times New Roman" w:cs="Times New Roman"/>
          <w:sz w:val="24"/>
          <w:szCs w:val="24"/>
          <w:u w:val="single"/>
        </w:rPr>
        <w:t>Поставщик обязан</w:t>
      </w:r>
      <w:r>
        <w:rPr>
          <w:rFonts w:ascii="Times New Roman" w:hAnsi="Times New Roman" w:cs="Times New Roman"/>
          <w:sz w:val="24"/>
          <w:szCs w:val="24"/>
        </w:rPr>
        <w:t>:</w:t>
      </w:r>
    </w:p>
    <w:p w14:paraId="1EA9AD6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E6D0E8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8D2EB9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EA3FF3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4.1.4.В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4824C7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BBBA9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DF2BCA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43B2AAD">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Pr>
          <w:rFonts w:ascii="Times New Roman" w:hAnsi="Times New Roman" w:cs="Times New Roman"/>
          <w:sz w:val="24"/>
          <w:szCs w:val="24"/>
        </w:rPr>
        <w:t xml:space="preserve">4.1.6. Обеспечивать гарантии на Товар в соответствии с </w:t>
      </w:r>
      <w:r>
        <w:fldChar w:fldCharType="begin"/>
      </w:r>
      <w:r>
        <w:instrText xml:space="preserve"> HYPERLINK \l "Par243" </w:instrText>
      </w:r>
      <w:r>
        <w:fldChar w:fldCharType="separate"/>
      </w:r>
      <w:r>
        <w:rPr>
          <w:rFonts w:ascii="Times New Roman" w:hAnsi="Times New Roman" w:cs="Times New Roman"/>
          <w:sz w:val="24"/>
          <w:szCs w:val="24"/>
        </w:rPr>
        <w:t>разделом 6</w:t>
      </w:r>
      <w:r>
        <w:rPr>
          <w:rFonts w:ascii="Times New Roman" w:hAnsi="Times New Roman" w:cs="Times New Roman"/>
          <w:sz w:val="24"/>
          <w:szCs w:val="24"/>
        </w:rPr>
        <w:fldChar w:fldCharType="end"/>
      </w:r>
      <w:r>
        <w:rPr>
          <w:rFonts w:ascii="Times New Roman" w:hAnsi="Times New Roman" w:cs="Times New Roman"/>
          <w:sz w:val="24"/>
          <w:szCs w:val="24"/>
        </w:rPr>
        <w:t xml:space="preserve"> Контракта.</w:t>
      </w:r>
    </w:p>
    <w:p w14:paraId="1CE125E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w:t>
      </w:r>
      <w:r>
        <w:rPr>
          <w:rFonts w:ascii="Times New Roman" w:hAnsi="Times New Roman" w:cs="Times New Roman"/>
          <w:sz w:val="24"/>
          <w:szCs w:val="24"/>
          <w:u w:val="single"/>
        </w:rPr>
        <w:t>Поставщик вправе</w:t>
      </w:r>
      <w:r>
        <w:rPr>
          <w:rFonts w:ascii="Times New Roman" w:hAnsi="Times New Roman" w:cs="Times New Roman"/>
          <w:sz w:val="24"/>
          <w:szCs w:val="24"/>
        </w:rPr>
        <w:t>:</w:t>
      </w:r>
    </w:p>
    <w:p w14:paraId="0478274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086804B">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2F48003">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cs="Times New Roman"/>
          <w:sz w:val="24"/>
          <w:szCs w:val="24"/>
        </w:rPr>
        <w:t>статьи 95</w:t>
      </w:r>
      <w:r>
        <w:rPr>
          <w:rFonts w:ascii="Times New Roman" w:hAnsi="Times New Roman" w:cs="Times New Roman"/>
          <w:sz w:val="24"/>
          <w:szCs w:val="24"/>
        </w:rPr>
        <w:fldChar w:fldCharType="end"/>
      </w:r>
      <w:r>
        <w:rPr>
          <w:rFonts w:ascii="Times New Roman" w:hAnsi="Times New Roman" w:cs="Times New Roman"/>
          <w:sz w:val="24"/>
          <w:szCs w:val="24"/>
        </w:rPr>
        <w:t xml:space="preserve"> ФЗ № 44.</w:t>
      </w:r>
    </w:p>
    <w:p w14:paraId="48DFA07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4.2.4. Требовать возмещения убытков,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cs="Times New Roman"/>
          <w:sz w:val="24"/>
          <w:szCs w:val="24"/>
        </w:rPr>
        <w:t>разделом 7</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w:t>
      </w:r>
    </w:p>
    <w:p w14:paraId="461D04D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4.2.5. При исполнении контракта замена товара на происходящий из иностранного государства товар, в отношении которого установлено ограничение, если контракт предусматривает поставку товара российского происхождения, не допускается (пп. «б» п 2 ч. 4 ст. 14 44-ФЗ).</w:t>
      </w:r>
    </w:p>
    <w:p w14:paraId="624EE09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 </w:t>
      </w:r>
      <w:r>
        <w:rPr>
          <w:rFonts w:ascii="Times New Roman" w:hAnsi="Times New Roman" w:cs="Times New Roman"/>
          <w:sz w:val="24"/>
          <w:szCs w:val="24"/>
          <w:u w:val="single"/>
        </w:rPr>
        <w:t>Заказчик обязуется</w:t>
      </w:r>
      <w:r>
        <w:rPr>
          <w:rFonts w:ascii="Times New Roman" w:hAnsi="Times New Roman" w:cs="Times New Roman"/>
          <w:sz w:val="24"/>
          <w:szCs w:val="24"/>
        </w:rPr>
        <w:t>:</w:t>
      </w:r>
    </w:p>
    <w:p w14:paraId="070A6403">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4AB7D30">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Pr>
          <w:rFonts w:ascii="Times New Roman" w:hAnsi="Times New Roman" w:cs="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31EE79D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Датой такого надлежащего уведомления считается:</w:t>
      </w:r>
    </w:p>
    <w:p w14:paraId="24C44FE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A39DF8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4127F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13A80E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4.3.3. Требовать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cs="Times New Roman"/>
          <w:sz w:val="24"/>
          <w:szCs w:val="24"/>
        </w:rPr>
        <w:t>разделом 7</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w:t>
      </w:r>
    </w:p>
    <w:p w14:paraId="315315D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 и настоящим Контрактом.</w:t>
      </w:r>
    </w:p>
    <w:p w14:paraId="5B789E9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 </w:t>
      </w:r>
      <w:r>
        <w:rPr>
          <w:rFonts w:ascii="Times New Roman" w:hAnsi="Times New Roman" w:cs="Times New Roman"/>
          <w:sz w:val="24"/>
          <w:szCs w:val="24"/>
          <w:u w:val="single"/>
        </w:rPr>
        <w:t>Заказчик вправе</w:t>
      </w:r>
      <w:r>
        <w:rPr>
          <w:rFonts w:ascii="Times New Roman" w:hAnsi="Times New Roman" w:cs="Times New Roman"/>
          <w:sz w:val="24"/>
          <w:szCs w:val="24"/>
        </w:rPr>
        <w:t>:</w:t>
      </w:r>
    </w:p>
    <w:p w14:paraId="3D699C8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17A73A1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056D5E8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настоящего Контракта.</w:t>
      </w:r>
    </w:p>
    <w:p w14:paraId="4FD01B6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4.4.4. Требовать возмещения убытков в соответствии с </w:t>
      </w:r>
      <w:r>
        <w:fldChar w:fldCharType="begin"/>
      </w:r>
      <w:r>
        <w:instrText xml:space="preserve"> HYPERLINK \l "Par264" </w:instrText>
      </w:r>
      <w:r>
        <w:fldChar w:fldCharType="separate"/>
      </w:r>
      <w:r>
        <w:rPr>
          <w:rFonts w:ascii="Times New Roman" w:hAnsi="Times New Roman" w:cs="Times New Roman"/>
          <w:sz w:val="24"/>
          <w:szCs w:val="24"/>
        </w:rPr>
        <w:t>разделом 7</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 причиненных по вине Поставщика.</w:t>
      </w:r>
    </w:p>
    <w:p w14:paraId="7DB8781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w:t>
      </w:r>
    </w:p>
    <w:p w14:paraId="28E3E83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A515CED">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cs="Times New Roman"/>
          <w:sz w:val="24"/>
          <w:szCs w:val="24"/>
        </w:rPr>
        <w:t>статьи 95</w:t>
      </w:r>
      <w:r>
        <w:rPr>
          <w:rFonts w:ascii="Times New Roman" w:hAnsi="Times New Roman" w:cs="Times New Roman"/>
          <w:sz w:val="24"/>
          <w:szCs w:val="24"/>
        </w:rPr>
        <w:fldChar w:fldCharType="end"/>
      </w:r>
      <w:r>
        <w:rPr>
          <w:rFonts w:ascii="Times New Roman" w:hAnsi="Times New Roman" w:cs="Times New Roman"/>
          <w:sz w:val="24"/>
          <w:szCs w:val="24"/>
        </w:rPr>
        <w:t xml:space="preserve"> ФЗ № 44.</w:t>
      </w:r>
    </w:p>
    <w:p w14:paraId="2E66D81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w:t>
      </w:r>
    </w:p>
    <w:p w14:paraId="3A7D156B">
      <w:pPr>
        <w:autoSpaceDE w:val="0"/>
        <w:autoSpaceDN w:val="0"/>
        <w:adjustRightInd w:val="0"/>
        <w:spacing w:after="0" w:line="240" w:lineRule="auto"/>
        <w:ind w:firstLine="540"/>
        <w:jc w:val="both"/>
        <w:rPr>
          <w:rFonts w:ascii="Times New Roman" w:hAnsi="Times New Roman" w:cs="Times New Roman"/>
          <w:sz w:val="24"/>
          <w:szCs w:val="24"/>
        </w:rPr>
      </w:pPr>
    </w:p>
    <w:p w14:paraId="6BAB77A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5. Упаковка Товара</w:t>
      </w:r>
    </w:p>
    <w:p w14:paraId="2C19E39D">
      <w:pPr>
        <w:autoSpaceDE w:val="0"/>
        <w:autoSpaceDN w:val="0"/>
        <w:adjustRightInd w:val="0"/>
        <w:spacing w:after="0" w:line="240" w:lineRule="auto"/>
        <w:ind w:firstLine="540"/>
        <w:jc w:val="both"/>
        <w:rPr>
          <w:rFonts w:ascii="Times New Roman" w:hAnsi="Times New Roman" w:cs="Times New Roman"/>
          <w:sz w:val="24"/>
          <w:szCs w:val="24"/>
        </w:rPr>
      </w:pPr>
    </w:p>
    <w:p w14:paraId="783DBC7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736D6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E3807C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68EC8D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EBBA36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1F78118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C44B4C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2D8A04B">
      <w:pPr>
        <w:autoSpaceDE w:val="0"/>
        <w:autoSpaceDN w:val="0"/>
        <w:adjustRightInd w:val="0"/>
        <w:spacing w:after="0" w:line="240" w:lineRule="auto"/>
        <w:ind w:firstLine="540"/>
        <w:jc w:val="both"/>
        <w:rPr>
          <w:rFonts w:ascii="Times New Roman" w:hAnsi="Times New Roman" w:cs="Times New Roman"/>
          <w:sz w:val="24"/>
          <w:szCs w:val="24"/>
        </w:rPr>
      </w:pPr>
    </w:p>
    <w:p w14:paraId="5B8A4133">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Pr>
          <w:rFonts w:ascii="Times New Roman" w:hAnsi="Times New Roman" w:cs="Times New Roman"/>
          <w:b/>
          <w:bCs/>
          <w:sz w:val="24"/>
          <w:szCs w:val="24"/>
        </w:rPr>
        <w:t>6. Гарантия, качество Товара</w:t>
      </w:r>
    </w:p>
    <w:p w14:paraId="61F42734">
      <w:pPr>
        <w:autoSpaceDE w:val="0"/>
        <w:autoSpaceDN w:val="0"/>
        <w:adjustRightInd w:val="0"/>
        <w:spacing w:after="0" w:line="240" w:lineRule="auto"/>
        <w:ind w:firstLine="540"/>
        <w:jc w:val="both"/>
        <w:rPr>
          <w:rFonts w:ascii="Times New Roman" w:hAnsi="Times New Roman" w:cs="Times New Roman"/>
          <w:sz w:val="24"/>
          <w:szCs w:val="24"/>
        </w:rPr>
      </w:pPr>
    </w:p>
    <w:p w14:paraId="6E90E26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749CA6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E6B48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1A9449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5BA08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 Гарантия Поставщика на поставленный Товар составляет 12 месяцев. Гарантия производителя на Товар составляет 12месяцев. Гарантийный срок начинает исчисляться со дня подписания соответствующего документа о приемке Товара.</w:t>
      </w:r>
    </w:p>
    <w:p w14:paraId="2CDCBCC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B42D31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DAA01E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E1823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F19E019">
      <w:pPr>
        <w:autoSpaceDE w:val="0"/>
        <w:autoSpaceDN w:val="0"/>
        <w:adjustRightInd w:val="0"/>
        <w:spacing w:after="0" w:line="240" w:lineRule="auto"/>
        <w:ind w:firstLine="540"/>
        <w:jc w:val="both"/>
        <w:rPr>
          <w:rFonts w:ascii="Times New Roman" w:hAnsi="Times New Roman" w:cs="Times New Roman"/>
          <w:sz w:val="24"/>
          <w:szCs w:val="24"/>
        </w:rPr>
      </w:pPr>
    </w:p>
    <w:p w14:paraId="5EB6F82C">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Pr>
          <w:rFonts w:ascii="Times New Roman" w:hAnsi="Times New Roman" w:cs="Times New Roman"/>
          <w:b/>
          <w:bCs/>
          <w:sz w:val="24"/>
          <w:szCs w:val="24"/>
        </w:rPr>
        <w:t>7. Ответственность Сторон</w:t>
      </w:r>
    </w:p>
    <w:p w14:paraId="2C5B88B3">
      <w:pPr>
        <w:autoSpaceDE w:val="0"/>
        <w:autoSpaceDN w:val="0"/>
        <w:adjustRightInd w:val="0"/>
        <w:spacing w:after="0" w:line="240" w:lineRule="auto"/>
        <w:ind w:firstLine="540"/>
        <w:jc w:val="both"/>
        <w:rPr>
          <w:rFonts w:ascii="Times New Roman" w:hAnsi="Times New Roman" w:cs="Times New Roman"/>
          <w:sz w:val="24"/>
          <w:szCs w:val="24"/>
        </w:rPr>
      </w:pPr>
    </w:p>
    <w:p w14:paraId="4E98174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BC1562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31411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7.2. Размер штрафа устанавливается в порядке, установленном </w:t>
      </w:r>
      <w:r>
        <w:fldChar w:fldCharType="begin"/>
      </w:r>
      <w:r>
        <w:instrText xml:space="preserve"> HYPERLINK "consultantplus://offline/ref=176F26A7F26FE2845A67092FD5B01F2BDEB7F2B4F1BEF42036BC3613AD6CEA33B7E07621AAB665C5E893C55EF83B77D59958D4l7b6H" </w:instrText>
      </w:r>
      <w:r>
        <w:fldChar w:fldCharType="separate"/>
      </w:r>
      <w:r>
        <w:rPr>
          <w:rFonts w:ascii="Times New Roman" w:hAnsi="Times New Roman" w:cs="Times New Roman"/>
          <w:sz w:val="24"/>
          <w:szCs w:val="24"/>
        </w:rPr>
        <w:t>Правилами</w:t>
      </w:r>
      <w:r>
        <w:rPr>
          <w:rFonts w:ascii="Times New Roman" w:hAnsi="Times New Roman" w:cs="Times New Roman"/>
          <w:sz w:val="24"/>
          <w:szCs w:val="24"/>
        </w:rPr>
        <w:fldChar w:fldCharType="end"/>
      </w:r>
      <w:r>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3F71A6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7.3. Ответственность Заказчика: </w:t>
      </w:r>
    </w:p>
    <w:p w14:paraId="29BD95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926C289">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Pr>
          <w:rFonts w:ascii="Times New Roman" w:hAnsi="Times New Roman" w:cs="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F01EF2B">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Pr>
          <w:rFonts w:ascii="Times New Roman" w:hAnsi="Times New Roman" w:cs="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5840FF9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r>
        <w:fldChar w:fldCharType="begin"/>
      </w:r>
      <w:r>
        <w:instrText xml:space="preserve"> HYPERLINK \l "Par270" </w:instrText>
      </w:r>
      <w:r>
        <w:fldChar w:fldCharType="separate"/>
      </w:r>
      <w:r>
        <w:rPr>
          <w:rFonts w:ascii="Times New Roman" w:hAnsi="Times New Roman" w:cs="Times New Roman"/>
          <w:sz w:val="24"/>
          <w:szCs w:val="24"/>
        </w:rPr>
        <w:t>пунктами 7.</w:t>
      </w:r>
      <w:r>
        <w:rPr>
          <w:rFonts w:ascii="Times New Roman" w:hAnsi="Times New Roman" w:cs="Times New Roman"/>
          <w:sz w:val="24"/>
          <w:szCs w:val="24"/>
        </w:rPr>
        <w:fldChar w:fldCharType="end"/>
      </w:r>
      <w:r>
        <w:rPr>
          <w:rFonts w:ascii="Times New Roman" w:hAnsi="Times New Roman" w:cs="Times New Roman"/>
          <w:sz w:val="24"/>
          <w:szCs w:val="24"/>
        </w:rPr>
        <w:t>3.2-7.3.3.  Контракта.</w:t>
      </w:r>
    </w:p>
    <w:p w14:paraId="509A1BD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2A2A9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 Ответственность Поставщика:</w:t>
      </w:r>
    </w:p>
    <w:p w14:paraId="43AFF05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FA50B0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A422CC">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Pr>
          <w:rFonts w:ascii="Times New Roman" w:hAnsi="Times New Roman" w:cs="Times New Roman"/>
          <w:i/>
          <w:sz w:val="24"/>
          <w:szCs w:val="24"/>
        </w:rPr>
        <w:t>(этапа)</w:t>
      </w:r>
      <w:r>
        <w:rPr>
          <w:rFonts w:ascii="Times New Roman" w:hAnsi="Times New Roman" w:cs="Times New Roman"/>
          <w:sz w:val="24"/>
          <w:szCs w:val="24"/>
        </w:rPr>
        <w:t>.</w:t>
      </w:r>
    </w:p>
    <w:p w14:paraId="78D7A221">
      <w:pPr>
        <w:autoSpaceDE w:val="0"/>
        <w:autoSpaceDN w:val="0"/>
        <w:adjustRightInd w:val="0"/>
        <w:spacing w:after="0" w:line="240" w:lineRule="auto"/>
        <w:ind w:firstLine="540"/>
        <w:jc w:val="both"/>
        <w:rPr>
          <w:rFonts w:ascii="Times New Roman" w:hAnsi="Times New Roman" w:cs="Times New Roman"/>
          <w:sz w:val="24"/>
          <w:szCs w:val="24"/>
        </w:rPr>
      </w:pPr>
      <w:bookmarkStart w:id="20" w:name="Par279"/>
      <w:bookmarkEnd w:id="20"/>
      <w:bookmarkStart w:id="21" w:name="Par277"/>
      <w:bookmarkEnd w:id="21"/>
      <w:r>
        <w:rPr>
          <w:rFonts w:ascii="Times New Roman" w:hAnsi="Times New Roman" w:cs="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0373CAC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Pr>
          <w:rFonts w:ascii="Times New Roman" w:hAnsi="Times New Roman" w:cs="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36A7E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D5306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7.6. Уплата неустойки (штрафа, пени) не освобождает Стороны от исполнения обязательств по Контракту.</w:t>
      </w:r>
    </w:p>
    <w:p w14:paraId="38AF8CB5">
      <w:pPr>
        <w:autoSpaceDE w:val="0"/>
        <w:autoSpaceDN w:val="0"/>
        <w:adjustRightInd w:val="0"/>
        <w:spacing w:after="0" w:line="240" w:lineRule="auto"/>
        <w:ind w:firstLine="540"/>
        <w:jc w:val="both"/>
        <w:rPr>
          <w:rFonts w:ascii="Times New Roman" w:hAnsi="Times New Roman" w:cs="Times New Roman"/>
          <w:sz w:val="24"/>
          <w:szCs w:val="24"/>
        </w:rPr>
      </w:pPr>
    </w:p>
    <w:p w14:paraId="41B5BDB1">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8. Обеспечение исполнения Контракта</w:t>
      </w:r>
    </w:p>
    <w:p w14:paraId="743B03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8.1. Обеспечение исполнения Контракта не устанавливается.</w:t>
      </w:r>
    </w:p>
    <w:p w14:paraId="16F48619">
      <w:pPr>
        <w:autoSpaceDE w:val="0"/>
        <w:autoSpaceDN w:val="0"/>
        <w:adjustRightInd w:val="0"/>
        <w:spacing w:after="0" w:line="240" w:lineRule="auto"/>
        <w:ind w:firstLine="540"/>
        <w:jc w:val="both"/>
        <w:rPr>
          <w:rFonts w:ascii="Times New Roman" w:hAnsi="Times New Roman" w:cs="Times New Roman"/>
          <w:sz w:val="24"/>
          <w:szCs w:val="24"/>
        </w:rPr>
      </w:pPr>
    </w:p>
    <w:p w14:paraId="3DC93709">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9. Банковское сопровождение Контракта</w:t>
      </w:r>
    </w:p>
    <w:p w14:paraId="6B5138D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и (или)Казначейское сопровождение Контракта</w:t>
      </w:r>
    </w:p>
    <w:p w14:paraId="25FDC75A">
      <w:pPr>
        <w:autoSpaceDE w:val="0"/>
        <w:autoSpaceDN w:val="0"/>
        <w:adjustRightInd w:val="0"/>
        <w:spacing w:after="0" w:line="240" w:lineRule="auto"/>
        <w:ind w:firstLine="540"/>
        <w:jc w:val="both"/>
        <w:rPr>
          <w:rFonts w:ascii="Times New Roman" w:hAnsi="Times New Roman" w:cs="Times New Roman"/>
          <w:sz w:val="24"/>
          <w:szCs w:val="24"/>
        </w:rPr>
      </w:pPr>
    </w:p>
    <w:p w14:paraId="13D5934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9.1. Банковское и(или) казначейское сопровождение Контракта не предусмотрено.</w:t>
      </w:r>
    </w:p>
    <w:p w14:paraId="0380AF04">
      <w:pPr>
        <w:autoSpaceDE w:val="0"/>
        <w:autoSpaceDN w:val="0"/>
        <w:adjustRightInd w:val="0"/>
        <w:spacing w:after="0" w:line="240" w:lineRule="auto"/>
        <w:ind w:firstLine="540"/>
        <w:jc w:val="both"/>
        <w:rPr>
          <w:rFonts w:ascii="Times New Roman" w:hAnsi="Times New Roman" w:cs="Times New Roman"/>
          <w:sz w:val="24"/>
          <w:szCs w:val="24"/>
        </w:rPr>
      </w:pPr>
    </w:p>
    <w:p w14:paraId="7AC6EF36">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Обстоятельства непреодолимой силы</w:t>
      </w:r>
    </w:p>
    <w:p w14:paraId="3CD3E4C0">
      <w:pPr>
        <w:autoSpaceDE w:val="0"/>
        <w:autoSpaceDN w:val="0"/>
        <w:adjustRightInd w:val="0"/>
        <w:spacing w:after="0" w:line="240" w:lineRule="auto"/>
        <w:ind w:firstLine="540"/>
        <w:jc w:val="both"/>
        <w:rPr>
          <w:rFonts w:ascii="Times New Roman" w:hAnsi="Times New Roman" w:cs="Times New Roman"/>
          <w:sz w:val="24"/>
          <w:szCs w:val="24"/>
        </w:rPr>
      </w:pPr>
    </w:p>
    <w:p w14:paraId="27FB769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01345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A42550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DC5FDB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FA3F49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FEBB9F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495860">
      <w:pPr>
        <w:autoSpaceDE w:val="0"/>
        <w:autoSpaceDN w:val="0"/>
        <w:adjustRightInd w:val="0"/>
        <w:spacing w:after="0" w:line="240" w:lineRule="auto"/>
        <w:ind w:firstLine="540"/>
        <w:jc w:val="both"/>
        <w:rPr>
          <w:rFonts w:ascii="Times New Roman" w:hAnsi="Times New Roman" w:cs="Times New Roman"/>
          <w:sz w:val="24"/>
          <w:szCs w:val="24"/>
        </w:rPr>
      </w:pPr>
    </w:p>
    <w:p w14:paraId="75D01E1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11. Рассмотрение и разрешение споров</w:t>
      </w:r>
    </w:p>
    <w:p w14:paraId="4C1F0936">
      <w:pPr>
        <w:autoSpaceDE w:val="0"/>
        <w:autoSpaceDN w:val="0"/>
        <w:adjustRightInd w:val="0"/>
        <w:spacing w:after="0" w:line="240" w:lineRule="auto"/>
        <w:ind w:firstLine="540"/>
        <w:jc w:val="both"/>
        <w:rPr>
          <w:rFonts w:ascii="Times New Roman" w:hAnsi="Times New Roman" w:cs="Times New Roman"/>
          <w:sz w:val="24"/>
          <w:szCs w:val="24"/>
        </w:rPr>
      </w:pPr>
    </w:p>
    <w:p w14:paraId="5DB12C1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70F64A0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3829AD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fldChar w:fldCharType="begin"/>
      </w:r>
      <w:r>
        <w:instrText xml:space="preserve"> HYPERLINK "consultantplus://offline/ref=176F26A7F26FE2845A67092FD5B01F2BD9B5FAB7F1BDF42036BC3613AD6CEA33B7E07623A5EB338AE9CF8003EB3A78D59B5FC8766C44l2bBH" </w:instrText>
      </w:r>
      <w:r>
        <w:fldChar w:fldCharType="separate"/>
      </w:r>
      <w:r>
        <w:rPr>
          <w:rFonts w:ascii="Times New Roman" w:hAnsi="Times New Roman" w:cs="Times New Roman"/>
          <w:sz w:val="24"/>
          <w:szCs w:val="24"/>
        </w:rPr>
        <w:t>части 5 статьи 4</w:t>
      </w:r>
      <w:r>
        <w:rPr>
          <w:rFonts w:ascii="Times New Roman" w:hAnsi="Times New Roman" w:cs="Times New Roman"/>
          <w:sz w:val="24"/>
          <w:szCs w:val="24"/>
        </w:rPr>
        <w:fldChar w:fldCharType="end"/>
      </w:r>
      <w:r>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47A77F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9599E2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11.5. Сторона должна дать в письменной форме ответ на претензию по существу в срок не позднее 10 рабочих дней с даты получения претензии.</w:t>
      </w:r>
    </w:p>
    <w:p w14:paraId="5E15A41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F46248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0F55FF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0701EE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85DCA3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123CBCB">
      <w:pPr>
        <w:autoSpaceDE w:val="0"/>
        <w:autoSpaceDN w:val="0"/>
        <w:adjustRightInd w:val="0"/>
        <w:spacing w:after="0" w:line="240" w:lineRule="auto"/>
        <w:ind w:firstLine="540"/>
        <w:jc w:val="both"/>
        <w:rPr>
          <w:rFonts w:ascii="Times New Roman" w:hAnsi="Times New Roman" w:cs="Times New Roman"/>
          <w:sz w:val="24"/>
          <w:szCs w:val="24"/>
        </w:rPr>
      </w:pPr>
    </w:p>
    <w:p w14:paraId="254DF17B">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12. Срок действия и порядок изменения, расторжения</w:t>
      </w:r>
    </w:p>
    <w:p w14:paraId="3A35C1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Контракта. Срок исполнения Контракта</w:t>
      </w:r>
    </w:p>
    <w:p w14:paraId="3B3F6A87">
      <w:pPr>
        <w:autoSpaceDE w:val="0"/>
        <w:autoSpaceDN w:val="0"/>
        <w:adjustRightInd w:val="0"/>
        <w:spacing w:after="0" w:line="240" w:lineRule="auto"/>
        <w:ind w:firstLine="540"/>
        <w:jc w:val="both"/>
        <w:rPr>
          <w:rFonts w:ascii="Times New Roman" w:hAnsi="Times New Roman" w:cs="Times New Roman"/>
          <w:sz w:val="24"/>
          <w:szCs w:val="24"/>
        </w:rPr>
      </w:pPr>
    </w:p>
    <w:p w14:paraId="0AE69ED4">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Pr>
          <w:rFonts w:ascii="Times New Roman" w:hAnsi="Times New Roman" w:cs="Times New Roman"/>
          <w:sz w:val="24"/>
          <w:szCs w:val="24"/>
        </w:rPr>
        <w:t>12.1. Настоящий Контракт вступает в силу с даты его заключения обеими Сторонами и действует по 31.12.20</w:t>
      </w:r>
      <w:r>
        <w:rPr>
          <w:rFonts w:ascii="Times New Roman" w:hAnsi="Times New Roman" w:cs="Times New Roman"/>
          <w:color w:val="FF0000"/>
          <w:sz w:val="24"/>
          <w:szCs w:val="24"/>
        </w:rPr>
        <w:t>26</w:t>
      </w:r>
      <w:r>
        <w:rPr>
          <w:rFonts w:ascii="Times New Roman" w:hAnsi="Times New Roman" w:cs="Times New Roman"/>
          <w:sz w:val="24"/>
          <w:szCs w:val="24"/>
        </w:rPr>
        <w:t xml:space="preserve"> года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C67E01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80BB6B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cs="Times New Roman"/>
          <w:sz w:val="24"/>
          <w:szCs w:val="24"/>
        </w:rPr>
        <w:t>ФЗ</w:t>
      </w:r>
      <w:r>
        <w:rPr>
          <w:rFonts w:ascii="Times New Roman" w:hAnsi="Times New Roman" w:cs="Times New Roman"/>
          <w:sz w:val="24"/>
          <w:szCs w:val="24"/>
        </w:rPr>
        <w:fldChar w:fldCharType="end"/>
      </w:r>
      <w:r>
        <w:rPr>
          <w:rFonts w:ascii="Times New Roman" w:hAnsi="Times New Roman" w:cs="Times New Roman"/>
          <w:sz w:val="24"/>
          <w:szCs w:val="24"/>
        </w:rPr>
        <w:t>№ 44 порядке в реестр недобросовестных поставщиков (подрядчиков, исполнителей).</w:t>
      </w:r>
    </w:p>
    <w:p w14:paraId="046DF38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923985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cs="Times New Roman"/>
          <w:sz w:val="24"/>
          <w:szCs w:val="24"/>
        </w:rPr>
        <w:t>статьей 95</w:t>
      </w:r>
      <w:r>
        <w:rPr>
          <w:rFonts w:ascii="Times New Roman" w:hAnsi="Times New Roman" w:cs="Times New Roman"/>
          <w:sz w:val="24"/>
          <w:szCs w:val="24"/>
        </w:rPr>
        <w:fldChar w:fldCharType="end"/>
      </w:r>
      <w:r>
        <w:rPr>
          <w:rFonts w:ascii="Times New Roman" w:hAnsi="Times New Roman" w:cs="Times New Roman"/>
          <w:color w:val="000000" w:themeColor="text1"/>
          <w:sz w:val="24"/>
          <w:szCs w:val="24"/>
        </w:rPr>
        <w:t>, частями 65.1 статьи 112</w:t>
      </w:r>
      <w:r>
        <w:rPr>
          <w:rFonts w:ascii="Times New Roman" w:hAnsi="Times New Roman" w:cs="Times New Roman"/>
          <w:sz w:val="24"/>
          <w:szCs w:val="24"/>
        </w:rPr>
        <w:t>ФЗ № 44.</w:t>
      </w:r>
    </w:p>
    <w:p w14:paraId="3597505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12.6. Заказчиком как получателем бюджетных средств предусмотренные </w:t>
      </w:r>
      <w:r>
        <w:fldChar w:fldCharType="begin"/>
      </w:r>
      <w:r>
        <w:instrText xml:space="preserve"> HYPERLINK "consultantplus://offline/ref=176F26A7F26FE2845A67092FD5B01F2BD9B6F3B1F4BEF42036BC3613AD6CEA33B7E07623A1E33780BD959007A26E7DCA9346D67372442958l4b6H" </w:instrText>
      </w:r>
      <w:r>
        <w:fldChar w:fldCharType="separate"/>
      </w:r>
      <w:r>
        <w:rPr>
          <w:rFonts w:ascii="Times New Roman" w:hAnsi="Times New Roman" w:cs="Times New Roman"/>
          <w:sz w:val="24"/>
          <w:szCs w:val="24"/>
        </w:rPr>
        <w:t>частью 1 статьи 95</w:t>
      </w:r>
      <w:r>
        <w:rPr>
          <w:rFonts w:ascii="Times New Roman" w:hAnsi="Times New Roman" w:cs="Times New Roman"/>
          <w:sz w:val="24"/>
          <w:szCs w:val="24"/>
        </w:rPr>
        <w:fldChar w:fldCharType="end"/>
      </w:r>
      <w:r>
        <w:rPr>
          <w:rFonts w:ascii="Times New Roman" w:hAnsi="Times New Roman" w:cs="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8F0F4B1">
      <w:pPr>
        <w:autoSpaceDE w:val="0"/>
        <w:autoSpaceDN w:val="0"/>
        <w:adjustRightInd w:val="0"/>
        <w:spacing w:after="0" w:line="240" w:lineRule="auto"/>
        <w:ind w:firstLine="540"/>
        <w:jc w:val="both"/>
        <w:rPr>
          <w:rFonts w:ascii="Times New Roman" w:hAnsi="Times New Roman" w:cs="Times New Roman"/>
          <w:sz w:val="24"/>
          <w:szCs w:val="24"/>
        </w:rPr>
      </w:pPr>
    </w:p>
    <w:p w14:paraId="1EE7E5CC">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13. Исключительные права</w:t>
      </w:r>
    </w:p>
    <w:p w14:paraId="41677F21">
      <w:pPr>
        <w:autoSpaceDE w:val="0"/>
        <w:autoSpaceDN w:val="0"/>
        <w:adjustRightInd w:val="0"/>
        <w:spacing w:after="0" w:line="240" w:lineRule="auto"/>
        <w:ind w:firstLine="540"/>
        <w:jc w:val="both"/>
        <w:rPr>
          <w:rFonts w:ascii="Times New Roman" w:hAnsi="Times New Roman" w:cs="Times New Roman"/>
          <w:sz w:val="24"/>
          <w:szCs w:val="24"/>
        </w:rPr>
      </w:pPr>
    </w:p>
    <w:p w14:paraId="3A84DB6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5E28E3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F7573A6">
      <w:pPr>
        <w:autoSpaceDE w:val="0"/>
        <w:autoSpaceDN w:val="0"/>
        <w:adjustRightInd w:val="0"/>
        <w:spacing w:after="0" w:line="240" w:lineRule="auto"/>
        <w:ind w:firstLine="540"/>
        <w:jc w:val="both"/>
        <w:rPr>
          <w:rFonts w:ascii="Times New Roman" w:hAnsi="Times New Roman" w:cs="Times New Roman"/>
          <w:sz w:val="24"/>
          <w:szCs w:val="24"/>
        </w:rPr>
      </w:pPr>
    </w:p>
    <w:p w14:paraId="47E26139">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14. Антикоррупционная оговорка</w:t>
      </w:r>
    </w:p>
    <w:p w14:paraId="52B8B135">
      <w:pPr>
        <w:autoSpaceDE w:val="0"/>
        <w:autoSpaceDN w:val="0"/>
        <w:adjustRightInd w:val="0"/>
        <w:spacing w:after="0" w:line="240" w:lineRule="auto"/>
        <w:ind w:firstLine="540"/>
        <w:jc w:val="both"/>
        <w:rPr>
          <w:rFonts w:ascii="Times New Roman" w:hAnsi="Times New Roman" w:cs="Times New Roman"/>
          <w:sz w:val="24"/>
          <w:szCs w:val="24"/>
        </w:rPr>
      </w:pPr>
    </w:p>
    <w:p w14:paraId="12730E8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0032F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F3DB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DF5A1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D90F30F">
      <w:pPr>
        <w:autoSpaceDE w:val="0"/>
        <w:autoSpaceDN w:val="0"/>
        <w:adjustRightInd w:val="0"/>
        <w:spacing w:after="0" w:line="240" w:lineRule="auto"/>
        <w:ind w:firstLine="540"/>
        <w:jc w:val="both"/>
        <w:rPr>
          <w:rFonts w:ascii="Times New Roman" w:hAnsi="Times New Roman" w:cs="Times New Roman"/>
          <w:sz w:val="24"/>
          <w:szCs w:val="24"/>
        </w:rPr>
      </w:pPr>
    </w:p>
    <w:p w14:paraId="3CC96F46">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15. Прочие положения</w:t>
      </w:r>
    </w:p>
    <w:p w14:paraId="16BEAEC4">
      <w:pPr>
        <w:autoSpaceDE w:val="0"/>
        <w:autoSpaceDN w:val="0"/>
        <w:adjustRightInd w:val="0"/>
        <w:spacing w:after="0" w:line="240" w:lineRule="auto"/>
        <w:ind w:firstLine="540"/>
        <w:jc w:val="both"/>
        <w:rPr>
          <w:rFonts w:ascii="Times New Roman" w:hAnsi="Times New Roman" w:cs="Times New Roman"/>
          <w:sz w:val="24"/>
          <w:szCs w:val="24"/>
        </w:rPr>
      </w:pPr>
    </w:p>
    <w:p w14:paraId="2C4362F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038FF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AE431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fldChar w:fldCharType="begin"/>
      </w:r>
      <w:r>
        <w:instrText xml:space="preserve"> HYPERLINK \l "Par414" </w:instrText>
      </w:r>
      <w:r>
        <w:fldChar w:fldCharType="separate"/>
      </w:r>
      <w:r>
        <w:rPr>
          <w:rFonts w:ascii="Times New Roman" w:hAnsi="Times New Roman" w:cs="Times New Roman"/>
          <w:sz w:val="24"/>
          <w:szCs w:val="24"/>
        </w:rPr>
        <w:t>разделе 17</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r>
        <w:fldChar w:fldCharType="begin"/>
      </w:r>
      <w:r>
        <w:instrText xml:space="preserve"> HYPERLINK \l "Par414" </w:instrText>
      </w:r>
      <w:r>
        <w:fldChar w:fldCharType="separate"/>
      </w:r>
      <w:r>
        <w:rPr>
          <w:rFonts w:ascii="Times New Roman" w:hAnsi="Times New Roman" w:cs="Times New Roman"/>
          <w:sz w:val="24"/>
          <w:szCs w:val="24"/>
        </w:rPr>
        <w:t>разделе 17</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 либо с использованием факсимильной связи.</w:t>
      </w:r>
    </w:p>
    <w:p w14:paraId="59518E2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fldChar w:fldCharType="begin"/>
      </w:r>
      <w:r>
        <w:instrText xml:space="preserve"> HYPERLINK \l "Par414" </w:instrText>
      </w:r>
      <w:r>
        <w:fldChar w:fldCharType="separate"/>
      </w:r>
      <w:r>
        <w:rPr>
          <w:rFonts w:ascii="Times New Roman" w:hAnsi="Times New Roman" w:cs="Times New Roman"/>
          <w:sz w:val="24"/>
          <w:szCs w:val="24"/>
        </w:rPr>
        <w:t>разделе 17</w:t>
      </w:r>
      <w:r>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Контракта, считается надлежащим уведомлением Сторон.</w:t>
      </w:r>
    </w:p>
    <w:p w14:paraId="28C7F14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15.4. При исполнении настоящего Контракта не допускается:</w:t>
      </w:r>
    </w:p>
    <w:p w14:paraId="197FC24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4BF77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E60EDB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78B5CE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15.6. Настоящий Контракт составлен в двух идентичных экземплярах, имеющих равную юридическую силу, по одному для каждой из Сторон.</w:t>
      </w:r>
    </w:p>
    <w:p w14:paraId="48777C81">
      <w:pPr>
        <w:autoSpaceDE w:val="0"/>
        <w:autoSpaceDN w:val="0"/>
        <w:adjustRightInd w:val="0"/>
        <w:spacing w:after="0" w:line="240" w:lineRule="auto"/>
        <w:ind w:firstLine="540"/>
        <w:jc w:val="both"/>
        <w:rPr>
          <w:rFonts w:ascii="Times New Roman" w:hAnsi="Times New Roman" w:cs="Times New Roman"/>
          <w:sz w:val="24"/>
          <w:szCs w:val="24"/>
        </w:rPr>
      </w:pPr>
    </w:p>
    <w:p w14:paraId="2AF04D5C">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16. Перечень приложений</w:t>
      </w:r>
    </w:p>
    <w:p w14:paraId="5FD49CDC">
      <w:pPr>
        <w:autoSpaceDE w:val="0"/>
        <w:autoSpaceDN w:val="0"/>
        <w:adjustRightInd w:val="0"/>
        <w:spacing w:after="0" w:line="240" w:lineRule="auto"/>
        <w:ind w:firstLine="540"/>
        <w:jc w:val="both"/>
        <w:rPr>
          <w:rFonts w:ascii="Times New Roman" w:hAnsi="Times New Roman" w:cs="Times New Roman"/>
          <w:sz w:val="24"/>
          <w:szCs w:val="24"/>
        </w:rPr>
      </w:pPr>
    </w:p>
    <w:p w14:paraId="7A9286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Неотъемлемой частью настоящего Контракта является следующее:</w:t>
      </w:r>
    </w:p>
    <w:p w14:paraId="6251039A">
      <w:pPr>
        <w:autoSpaceDE w:val="0"/>
        <w:autoSpaceDN w:val="0"/>
        <w:adjustRightInd w:val="0"/>
        <w:spacing w:after="0" w:line="240" w:lineRule="auto"/>
        <w:ind w:firstLine="540"/>
        <w:jc w:val="both"/>
        <w:rPr>
          <w:rFonts w:ascii="Times New Roman" w:hAnsi="Times New Roman" w:cs="Times New Roman"/>
          <w:i/>
          <w:sz w:val="24"/>
          <w:szCs w:val="24"/>
        </w:rPr>
      </w:pPr>
      <w:r>
        <w:rPr>
          <w:rFonts w:ascii="Times New Roman" w:hAnsi="Times New Roman" w:cs="Times New Roman"/>
          <w:i/>
          <w:sz w:val="24"/>
          <w:szCs w:val="24"/>
        </w:rPr>
        <w:t>Приложение  -</w:t>
      </w:r>
      <w:r>
        <w:fldChar w:fldCharType="begin"/>
      </w:r>
      <w:r>
        <w:instrText xml:space="preserve"> HYPERLINK \l "Par645" </w:instrText>
      </w:r>
      <w:r>
        <w:fldChar w:fldCharType="separate"/>
      </w:r>
      <w:r>
        <w:rPr>
          <w:rFonts w:ascii="Times New Roman" w:hAnsi="Times New Roman" w:cs="Times New Roman"/>
          <w:i/>
          <w:sz w:val="24"/>
          <w:szCs w:val="24"/>
        </w:rPr>
        <w:t>Спецификация</w:t>
      </w:r>
      <w:r>
        <w:rPr>
          <w:rFonts w:ascii="Times New Roman" w:hAnsi="Times New Roman" w:cs="Times New Roman"/>
          <w:i/>
          <w:sz w:val="24"/>
          <w:szCs w:val="24"/>
        </w:rPr>
        <w:fldChar w:fldCharType="end"/>
      </w:r>
      <w:r>
        <w:rPr>
          <w:rFonts w:ascii="Times New Roman" w:hAnsi="Times New Roman" w:cs="Times New Roman"/>
          <w:i/>
          <w:sz w:val="24"/>
          <w:szCs w:val="24"/>
        </w:rPr>
        <w:t>.</w:t>
      </w:r>
    </w:p>
    <w:p w14:paraId="5904229B">
      <w:pPr>
        <w:autoSpaceDE w:val="0"/>
        <w:autoSpaceDN w:val="0"/>
        <w:adjustRightInd w:val="0"/>
        <w:spacing w:after="0" w:line="240" w:lineRule="auto"/>
        <w:ind w:firstLine="540"/>
        <w:jc w:val="both"/>
        <w:rPr>
          <w:rFonts w:ascii="Times New Roman" w:hAnsi="Times New Roman" w:cs="Times New Roman"/>
          <w:sz w:val="24"/>
          <w:szCs w:val="24"/>
        </w:rPr>
      </w:pPr>
    </w:p>
    <w:p w14:paraId="0EB07139">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Pr>
          <w:rFonts w:ascii="Times New Roman" w:hAnsi="Times New Roman" w:cs="Times New Roman"/>
          <w:b/>
          <w:bCs/>
          <w:sz w:val="24"/>
          <w:szCs w:val="24"/>
        </w:rPr>
        <w:t>17. Адреса. Банковские реквизиты и подписи Сторон</w:t>
      </w:r>
    </w:p>
    <w:p w14:paraId="21F4542D">
      <w:pPr>
        <w:autoSpaceDE w:val="0"/>
        <w:autoSpaceDN w:val="0"/>
        <w:adjustRightInd w:val="0"/>
        <w:spacing w:after="0" w:line="240" w:lineRule="auto"/>
        <w:ind w:firstLine="540"/>
        <w:jc w:val="both"/>
        <w:rPr>
          <w:rFonts w:ascii="Times New Roman" w:hAnsi="Times New Roman" w:cs="Times New Roman"/>
          <w:sz w:val="24"/>
          <w:szCs w:val="24"/>
        </w:rPr>
      </w:pPr>
    </w:p>
    <w:tbl>
      <w:tblPr>
        <w:tblStyle w:val="3"/>
        <w:tblW w:w="0" w:type="auto"/>
        <w:tblInd w:w="0" w:type="dxa"/>
        <w:tblLayout w:type="fixed"/>
        <w:tblCellMar>
          <w:top w:w="0" w:type="dxa"/>
          <w:left w:w="108" w:type="dxa"/>
          <w:bottom w:w="0" w:type="dxa"/>
          <w:right w:w="108" w:type="dxa"/>
        </w:tblCellMar>
      </w:tblPr>
      <w:tblGrid>
        <w:gridCol w:w="5211"/>
        <w:gridCol w:w="4178"/>
      </w:tblGrid>
      <w:tr w14:paraId="142C7351">
        <w:tblPrEx>
          <w:tblCellMar>
            <w:top w:w="0" w:type="dxa"/>
            <w:left w:w="108" w:type="dxa"/>
            <w:bottom w:w="0" w:type="dxa"/>
            <w:right w:w="108" w:type="dxa"/>
          </w:tblCellMar>
        </w:tblPrEx>
        <w:trPr>
          <w:trHeight w:val="307" w:hRule="atLeast"/>
        </w:trPr>
        <w:tc>
          <w:tcPr>
            <w:tcW w:w="5211" w:type="dxa"/>
            <w:shd w:val="clear" w:color="auto" w:fill="auto"/>
          </w:tcPr>
          <w:p w14:paraId="54471F96">
            <w:pPr>
              <w:suppressAutoHyphens/>
              <w:spacing w:after="0" w:line="240" w:lineRule="auto"/>
              <w:rPr>
                <w:rFonts w:ascii="Calibri" w:hAnsi="Calibri" w:eastAsia="Calibri" w:cs="font887"/>
              </w:rPr>
            </w:pPr>
            <w:r>
              <w:rPr>
                <w:rFonts w:ascii="Times New Roman" w:hAnsi="Times New Roman" w:eastAsia="Calibri" w:cs="Times New Roman"/>
                <w:lang w:eastAsia="ru-RU"/>
              </w:rPr>
              <w:t>ЗАКАЗЧИК</w:t>
            </w:r>
          </w:p>
        </w:tc>
        <w:tc>
          <w:tcPr>
            <w:tcW w:w="4178" w:type="dxa"/>
            <w:shd w:val="clear" w:color="auto" w:fill="auto"/>
          </w:tcPr>
          <w:p w14:paraId="4793B035">
            <w:pPr>
              <w:suppressAutoHyphens/>
              <w:spacing w:after="0" w:line="240" w:lineRule="auto"/>
              <w:rPr>
                <w:rFonts w:ascii="Calibri" w:hAnsi="Calibri" w:eastAsia="Calibri" w:cs="font887"/>
              </w:rPr>
            </w:pPr>
            <w:r>
              <w:rPr>
                <w:rFonts w:ascii="Times New Roman" w:hAnsi="Times New Roman" w:eastAsia="Times New Roman" w:cs="Times New Roman"/>
                <w:lang w:eastAsia="ru-RU"/>
              </w:rPr>
              <w:t xml:space="preserve">ИСПОЛНИТЕЛЬ </w:t>
            </w:r>
          </w:p>
          <w:p w14:paraId="07DBBE9E">
            <w:pPr>
              <w:suppressAutoHyphens/>
              <w:spacing w:after="0" w:line="240" w:lineRule="auto"/>
              <w:rPr>
                <w:rFonts w:ascii="Times New Roman" w:hAnsi="Times New Roman" w:eastAsia="Times New Roman" w:cs="Times New Roman"/>
                <w:b/>
                <w:lang w:eastAsia="ru-RU"/>
              </w:rPr>
            </w:pPr>
          </w:p>
        </w:tc>
      </w:tr>
      <w:tr w14:paraId="59863FA2">
        <w:tblPrEx>
          <w:tblCellMar>
            <w:top w:w="0" w:type="dxa"/>
            <w:left w:w="108" w:type="dxa"/>
            <w:bottom w:w="0" w:type="dxa"/>
            <w:right w:w="108" w:type="dxa"/>
          </w:tblCellMar>
        </w:tblPrEx>
        <w:trPr>
          <w:trHeight w:val="376" w:hRule="atLeast"/>
        </w:trPr>
        <w:tc>
          <w:tcPr>
            <w:tcW w:w="5211" w:type="dxa"/>
            <w:shd w:val="clear" w:color="auto" w:fill="auto"/>
          </w:tcPr>
          <w:p w14:paraId="08509B95">
            <w:pPr>
              <w:suppressAutoHyphens/>
              <w:spacing w:after="0" w:line="240" w:lineRule="auto"/>
              <w:rPr>
                <w:rFonts w:ascii="Calibri" w:hAnsi="Calibri" w:eastAsia="Calibri" w:cs="font887"/>
              </w:rPr>
            </w:pPr>
            <w:r>
              <w:rPr>
                <w:rFonts w:ascii="Times New Roman" w:hAnsi="Times New Roman" w:eastAsia="Calibri" w:cs="Times New Roman"/>
                <w:lang w:eastAsia="ru-RU"/>
              </w:rPr>
              <w:t>Государственное бюджетное дошкольное образовательное учреждение детский сад № 77 комбинированного вида Приморского района Санкт-Петербурга (ГБДОУ детский сад №77 Приморского района Санкт-Петербурга)</w:t>
            </w:r>
          </w:p>
        </w:tc>
        <w:tc>
          <w:tcPr>
            <w:tcW w:w="4178" w:type="dxa"/>
            <w:shd w:val="clear" w:color="auto" w:fill="auto"/>
          </w:tcPr>
          <w:p w14:paraId="176D5C9A">
            <w:pPr>
              <w:suppressAutoHyphens/>
              <w:spacing w:after="0" w:line="240" w:lineRule="auto"/>
              <w:rPr>
                <w:rFonts w:ascii="Calibri" w:hAnsi="Calibri" w:eastAsia="Calibri" w:cs="font887"/>
              </w:rPr>
            </w:pPr>
          </w:p>
        </w:tc>
      </w:tr>
      <w:tr w14:paraId="20A121B4">
        <w:tblPrEx>
          <w:tblCellMar>
            <w:top w:w="0" w:type="dxa"/>
            <w:left w:w="108" w:type="dxa"/>
            <w:bottom w:w="0" w:type="dxa"/>
            <w:right w:w="108" w:type="dxa"/>
          </w:tblCellMar>
        </w:tblPrEx>
        <w:trPr>
          <w:trHeight w:val="4300" w:hRule="atLeast"/>
        </w:trPr>
        <w:tc>
          <w:tcPr>
            <w:tcW w:w="5211" w:type="dxa"/>
            <w:shd w:val="clear" w:color="auto" w:fill="auto"/>
          </w:tcPr>
          <w:p w14:paraId="0E4412D4">
            <w:pPr>
              <w:suppressAutoHyphens/>
              <w:spacing w:after="0" w:line="240" w:lineRule="auto"/>
              <w:rPr>
                <w:rFonts w:ascii="Times New Roman" w:hAnsi="Times New Roman" w:eastAsia="Calibri" w:cs="Times New Roman"/>
                <w:highlight w:val="yellow"/>
              </w:rPr>
            </w:pPr>
          </w:p>
          <w:p w14:paraId="649314D9">
            <w:pPr>
              <w:suppressAutoHyphens/>
              <w:spacing w:after="0" w:line="240" w:lineRule="auto"/>
              <w:rPr>
                <w:rFonts w:ascii="Calibri" w:hAnsi="Calibri" w:eastAsia="Calibri" w:cs="font887"/>
              </w:rPr>
            </w:pPr>
            <w:r>
              <w:rPr>
                <w:rFonts w:ascii="Times New Roman" w:hAnsi="Times New Roman" w:eastAsia="Times New Roman" w:cs="Times New Roman"/>
                <w:lang w:eastAsia="ru-RU"/>
              </w:rPr>
              <w:t>Юридический и почтовый адрес:</w:t>
            </w:r>
          </w:p>
          <w:p w14:paraId="7993ADC2">
            <w:pPr>
              <w:suppressAutoHyphens/>
              <w:spacing w:after="0" w:line="240" w:lineRule="auto"/>
              <w:rPr>
                <w:rFonts w:ascii="Calibri" w:hAnsi="Calibri" w:eastAsia="Calibri" w:cs="font887"/>
              </w:rPr>
            </w:pPr>
            <w:r>
              <w:rPr>
                <w:rFonts w:ascii="Times New Roman" w:hAnsi="Times New Roman" w:eastAsia="Times New Roman" w:cs="Times New Roman"/>
                <w:lang w:eastAsia="ru-RU"/>
              </w:rPr>
              <w:t>197372, Санкт-Петербург, пр. Богатырский, д. 57, корп.2, литера А;</w:t>
            </w:r>
          </w:p>
          <w:p w14:paraId="317DDF04">
            <w:pPr>
              <w:suppressAutoHyphens/>
              <w:spacing w:after="0" w:line="240" w:lineRule="auto"/>
              <w:rPr>
                <w:rFonts w:ascii="Calibri" w:hAnsi="Calibri" w:eastAsia="Calibri" w:cs="font887"/>
              </w:rPr>
            </w:pPr>
            <w:r>
              <w:rPr>
                <w:rFonts w:ascii="Times New Roman" w:hAnsi="Times New Roman" w:eastAsia="Times New Roman" w:cs="Times New Roman"/>
                <w:lang w:eastAsia="ru-RU"/>
              </w:rPr>
              <w:t>ИНН/КПП 7814383411/781401001</w:t>
            </w:r>
          </w:p>
          <w:p w14:paraId="44E179E4">
            <w:pPr>
              <w:suppressAutoHyphens/>
              <w:spacing w:after="0" w:line="240" w:lineRule="auto"/>
              <w:rPr>
                <w:rFonts w:ascii="Calibri" w:hAnsi="Calibri" w:eastAsia="Calibri" w:cs="font887"/>
              </w:rPr>
            </w:pPr>
            <w:r>
              <w:rPr>
                <w:rFonts w:ascii="Times New Roman" w:hAnsi="Times New Roman" w:eastAsia="Times New Roman" w:cs="Times New Roman"/>
                <w:lang w:eastAsia="ru-RU"/>
              </w:rPr>
              <w:t>ОКЦ №1 Северо-Западное ГУ Банка России</w:t>
            </w:r>
          </w:p>
          <w:p w14:paraId="190DE6B7">
            <w:pPr>
              <w:suppressAutoHyphens/>
              <w:spacing w:after="0" w:line="240" w:lineRule="auto"/>
              <w:rPr>
                <w:rFonts w:ascii="Calibri" w:hAnsi="Calibri" w:eastAsia="Calibri" w:cs="font887"/>
              </w:rPr>
            </w:pPr>
            <w:r>
              <w:rPr>
                <w:rFonts w:ascii="Times New Roman" w:hAnsi="Times New Roman" w:eastAsia="Times New Roman" w:cs="Times New Roman"/>
                <w:lang w:eastAsia="ru-RU"/>
              </w:rPr>
              <w:t>УФК по г.Санкт-Петербург</w:t>
            </w:r>
          </w:p>
          <w:p w14:paraId="4558A783">
            <w:pPr>
              <w:suppressAutoHyphens/>
              <w:spacing w:after="0" w:line="240" w:lineRule="auto"/>
              <w:rPr>
                <w:rFonts w:ascii="Calibri" w:hAnsi="Calibri" w:eastAsia="Calibri" w:cs="font887"/>
              </w:rPr>
            </w:pPr>
            <w:r>
              <w:rPr>
                <w:rFonts w:ascii="Times New Roman" w:hAnsi="Times New Roman" w:eastAsia="Times New Roman" w:cs="Times New Roman"/>
                <w:lang w:eastAsia="ru-RU"/>
              </w:rPr>
              <w:t>к.с. 40102810945370000005</w:t>
            </w:r>
          </w:p>
          <w:p w14:paraId="751F2CCB">
            <w:pPr>
              <w:suppressAutoHyphens/>
              <w:spacing w:after="0" w:line="240" w:lineRule="auto"/>
              <w:rPr>
                <w:rFonts w:ascii="Calibri" w:hAnsi="Calibri" w:eastAsia="Calibri" w:cs="font887"/>
              </w:rPr>
            </w:pPr>
            <w:r>
              <w:rPr>
                <w:rFonts w:ascii="Times New Roman" w:hAnsi="Times New Roman" w:eastAsia="Times New Roman" w:cs="Times New Roman"/>
                <w:lang w:eastAsia="ru-RU"/>
              </w:rPr>
              <w:t>р/с 03224643400000007200</w:t>
            </w:r>
          </w:p>
          <w:p w14:paraId="480670A4">
            <w:pPr>
              <w:suppressAutoHyphens/>
              <w:spacing w:after="0" w:line="240" w:lineRule="auto"/>
              <w:rPr>
                <w:rFonts w:ascii="Calibri" w:hAnsi="Calibri" w:eastAsia="Calibri" w:cs="font887"/>
              </w:rPr>
            </w:pPr>
            <w:r>
              <w:rPr>
                <w:rFonts w:ascii="Times New Roman" w:hAnsi="Times New Roman" w:eastAsia="Times New Roman" w:cs="Times New Roman"/>
                <w:lang w:eastAsia="ru-RU"/>
              </w:rPr>
              <w:t>БИК 014030106</w:t>
            </w:r>
          </w:p>
          <w:p w14:paraId="3A1C1806">
            <w:pPr>
              <w:suppressAutoHyphens/>
              <w:spacing w:after="0" w:line="240" w:lineRule="auto"/>
              <w:rPr>
                <w:rFonts w:ascii="Calibri" w:hAnsi="Calibri" w:eastAsia="Calibri" w:cs="font887"/>
              </w:rPr>
            </w:pPr>
            <w:r>
              <w:rPr>
                <w:rFonts w:ascii="Times New Roman" w:hAnsi="Times New Roman" w:eastAsia="Times New Roman" w:cs="Times New Roman"/>
                <w:lang w:eastAsia="ru-RU"/>
              </w:rPr>
              <w:t>Лицевой счет № 0641158 (ГБДОУ №77 Приморского района СПб)</w:t>
            </w:r>
          </w:p>
          <w:p w14:paraId="62D26CDA">
            <w:pPr>
              <w:suppressAutoHyphens/>
              <w:spacing w:after="0" w:line="240" w:lineRule="auto"/>
              <w:rPr>
                <w:rFonts w:ascii="Calibri" w:hAnsi="Calibri" w:eastAsia="Calibri" w:cs="font887"/>
              </w:rPr>
            </w:pPr>
            <w:r>
              <w:rPr>
                <w:rFonts w:ascii="Times New Roman" w:hAnsi="Times New Roman" w:eastAsia="Times New Roman" w:cs="Times New Roman"/>
                <w:lang w:eastAsia="ru-RU"/>
              </w:rPr>
              <w:t>Получатель - Комитет финансов Санкт-Петербурга</w:t>
            </w:r>
          </w:p>
          <w:p w14:paraId="3DA6DCC2">
            <w:pPr>
              <w:suppressAutoHyphens/>
              <w:spacing w:after="0" w:line="240" w:lineRule="auto"/>
              <w:rPr>
                <w:rFonts w:ascii="Calibri" w:hAnsi="Calibri" w:eastAsia="Calibri" w:cs="font887"/>
              </w:rPr>
            </w:pPr>
            <w:r>
              <w:rPr>
                <w:rFonts w:ascii="Times New Roman" w:hAnsi="Times New Roman" w:eastAsia="Times New Roman" w:cs="Times New Roman"/>
                <w:lang w:eastAsia="ru-RU"/>
              </w:rPr>
              <w:t>E-mail: detsad_prim77@mail.ru</w:t>
            </w:r>
          </w:p>
          <w:p w14:paraId="456FD817">
            <w:pPr>
              <w:suppressAutoHyphens/>
              <w:spacing w:after="0" w:line="240" w:lineRule="auto"/>
              <w:rPr>
                <w:rFonts w:ascii="Calibri" w:hAnsi="Calibri" w:eastAsia="Calibri" w:cs="font887"/>
              </w:rPr>
            </w:pPr>
            <w:r>
              <w:rPr>
                <w:rFonts w:ascii="Times New Roman" w:hAnsi="Times New Roman" w:eastAsia="Times New Roman" w:cs="Times New Roman"/>
                <w:lang w:eastAsia="ru-RU"/>
              </w:rPr>
              <w:t>Тел. (812) 308-40-5</w:t>
            </w:r>
            <w:r>
              <w:rPr>
                <w:rFonts w:ascii="Times New Roman" w:hAnsi="Times New Roman" w:eastAsia="Times New Roman" w:cs="Times New Roman"/>
                <w:lang w:val="en-US" w:eastAsia="ru-RU"/>
              </w:rPr>
              <w:t>1</w:t>
            </w:r>
          </w:p>
        </w:tc>
        <w:tc>
          <w:tcPr>
            <w:tcW w:w="4178" w:type="dxa"/>
            <w:shd w:val="clear" w:color="auto" w:fill="auto"/>
          </w:tcPr>
          <w:p w14:paraId="6EC1CD7C">
            <w:pPr>
              <w:suppressAutoHyphens/>
              <w:spacing w:after="0" w:line="240" w:lineRule="auto"/>
              <w:rPr>
                <w:rFonts w:ascii="Times New Roman" w:hAnsi="Times New Roman" w:eastAsia="Times New Roman" w:cs="Times New Roman"/>
                <w:lang w:eastAsia="ru-RU"/>
              </w:rPr>
            </w:pPr>
          </w:p>
          <w:p w14:paraId="797535E2">
            <w:pPr>
              <w:suppressAutoHyphens/>
              <w:spacing w:after="0" w:line="240" w:lineRule="auto"/>
              <w:rPr>
                <w:rFonts w:ascii="Calibri" w:hAnsi="Calibri" w:eastAsia="Calibri" w:cs="font887"/>
              </w:rPr>
            </w:pPr>
          </w:p>
        </w:tc>
      </w:tr>
      <w:tr w14:paraId="1832D846">
        <w:tblPrEx>
          <w:tblCellMar>
            <w:top w:w="0" w:type="dxa"/>
            <w:left w:w="108" w:type="dxa"/>
            <w:bottom w:w="0" w:type="dxa"/>
            <w:right w:w="108" w:type="dxa"/>
          </w:tblCellMar>
        </w:tblPrEx>
        <w:trPr>
          <w:trHeight w:val="72" w:hRule="atLeast"/>
        </w:trPr>
        <w:tc>
          <w:tcPr>
            <w:tcW w:w="5211" w:type="dxa"/>
            <w:shd w:val="clear" w:color="auto" w:fill="auto"/>
          </w:tcPr>
          <w:p w14:paraId="6096C0F1">
            <w:pPr>
              <w:suppressAutoHyphens/>
              <w:spacing w:after="0" w:line="240" w:lineRule="auto"/>
              <w:jc w:val="both"/>
              <w:rPr>
                <w:rFonts w:ascii="Calibri" w:hAnsi="Calibri" w:eastAsia="Calibri" w:cs="font887"/>
              </w:rPr>
            </w:pPr>
            <w:r>
              <w:rPr>
                <w:rFonts w:ascii="Times New Roman" w:hAnsi="Times New Roman" w:eastAsia="Times New Roman" w:cs="Times New Roman"/>
                <w:b/>
                <w:lang w:eastAsia="ru-RU"/>
              </w:rPr>
              <w:t xml:space="preserve">ЗАКАЗЧИК: </w:t>
            </w:r>
          </w:p>
          <w:p w14:paraId="1274D37E">
            <w:pPr>
              <w:suppressAutoHyphens/>
              <w:spacing w:after="0" w:line="240" w:lineRule="auto"/>
              <w:jc w:val="both"/>
              <w:rPr>
                <w:rFonts w:ascii="Times New Roman" w:hAnsi="Times New Roman" w:eastAsia="Times New Roman" w:cs="Times New Roman"/>
                <w:lang w:eastAsia="ru-RU"/>
              </w:rPr>
            </w:pPr>
          </w:p>
          <w:p w14:paraId="26E23881">
            <w:pPr>
              <w:suppressAutoHyphens/>
              <w:spacing w:after="0" w:line="240" w:lineRule="auto"/>
              <w:jc w:val="both"/>
              <w:rPr>
                <w:rFonts w:ascii="Calibri" w:hAnsi="Calibri" w:eastAsia="Calibri" w:cs="font887"/>
              </w:rPr>
            </w:pPr>
            <w:r>
              <w:rPr>
                <w:rFonts w:ascii="Times New Roman" w:hAnsi="Times New Roman" w:eastAsia="Times New Roman" w:cs="Times New Roman"/>
                <w:lang w:eastAsia="ru-RU"/>
              </w:rPr>
              <w:t xml:space="preserve">Заведующий ГБДОУ детский сад </w:t>
            </w:r>
          </w:p>
          <w:p w14:paraId="4F9E7B63">
            <w:pPr>
              <w:suppressAutoHyphens/>
              <w:spacing w:after="0" w:line="240" w:lineRule="auto"/>
              <w:jc w:val="both"/>
              <w:rPr>
                <w:rFonts w:ascii="Calibri" w:hAnsi="Calibri" w:eastAsia="Calibri" w:cs="font887"/>
              </w:rPr>
            </w:pPr>
            <w:r>
              <w:rPr>
                <w:rFonts w:ascii="Times New Roman" w:hAnsi="Times New Roman" w:eastAsia="Times New Roman" w:cs="Times New Roman"/>
                <w:lang w:eastAsia="ru-RU"/>
              </w:rPr>
              <w:t>№ 77 Приморского района</w:t>
            </w:r>
          </w:p>
          <w:p w14:paraId="0DF06C98">
            <w:pPr>
              <w:suppressAutoHyphens/>
              <w:spacing w:after="0" w:line="240" w:lineRule="auto"/>
              <w:jc w:val="both"/>
              <w:rPr>
                <w:rFonts w:ascii="Calibri" w:hAnsi="Calibri" w:eastAsia="Calibri" w:cs="font887"/>
              </w:rPr>
            </w:pPr>
            <w:r>
              <w:rPr>
                <w:rFonts w:ascii="Times New Roman" w:hAnsi="Times New Roman" w:eastAsia="Times New Roman" w:cs="Times New Roman"/>
                <w:lang w:eastAsia="ru-RU"/>
              </w:rPr>
              <w:t>Санкт-Петербурга</w:t>
            </w:r>
          </w:p>
          <w:p w14:paraId="5B82BEB6">
            <w:pPr>
              <w:suppressAutoHyphens/>
              <w:spacing w:after="0" w:line="240" w:lineRule="auto"/>
              <w:jc w:val="both"/>
              <w:rPr>
                <w:rFonts w:ascii="Times New Roman" w:hAnsi="Times New Roman" w:eastAsia="Times New Roman" w:cs="Times New Roman"/>
                <w:lang w:eastAsia="ru-RU"/>
              </w:rPr>
            </w:pPr>
          </w:p>
          <w:p w14:paraId="41DB2E80">
            <w:pPr>
              <w:suppressAutoHyphens/>
              <w:spacing w:after="0" w:line="240" w:lineRule="auto"/>
              <w:jc w:val="both"/>
              <w:rPr>
                <w:rFonts w:ascii="Calibri" w:hAnsi="Calibri" w:eastAsia="Calibri" w:cs="font887"/>
              </w:rPr>
            </w:pPr>
            <w:r>
              <w:rPr>
                <w:rFonts w:ascii="Times New Roman" w:hAnsi="Times New Roman" w:eastAsia="Times New Roman" w:cs="Times New Roman"/>
                <w:lang w:eastAsia="ru-RU"/>
              </w:rPr>
              <w:t xml:space="preserve">  ________________  Н.Г. Петрова</w:t>
            </w:r>
          </w:p>
          <w:p w14:paraId="1093AAF0">
            <w:pPr>
              <w:suppressAutoHyphens/>
              <w:spacing w:after="0" w:line="240" w:lineRule="auto"/>
              <w:jc w:val="both"/>
              <w:rPr>
                <w:rFonts w:ascii="Calibri" w:hAnsi="Calibri" w:eastAsia="Calibri" w:cs="font887"/>
              </w:rPr>
            </w:pPr>
            <w:r>
              <w:rPr>
                <w:rFonts w:ascii="Times New Roman" w:hAnsi="Times New Roman" w:eastAsia="Times New Roman" w:cs="Times New Roman"/>
                <w:lang w:eastAsia="ru-RU"/>
              </w:rPr>
              <w:t>Подписано ЭЦП</w:t>
            </w:r>
          </w:p>
          <w:p w14:paraId="0C1162C7">
            <w:pPr>
              <w:suppressAutoHyphens/>
              <w:spacing w:after="0" w:line="240" w:lineRule="auto"/>
              <w:jc w:val="both"/>
              <w:rPr>
                <w:rFonts w:ascii="Times New Roman" w:hAnsi="Times New Roman" w:eastAsia="Times New Roman" w:cs="Times New Roman"/>
                <w:lang w:eastAsia="ru-RU"/>
              </w:rPr>
            </w:pPr>
          </w:p>
        </w:tc>
        <w:tc>
          <w:tcPr>
            <w:tcW w:w="4178" w:type="dxa"/>
            <w:shd w:val="clear" w:color="auto" w:fill="auto"/>
          </w:tcPr>
          <w:p w14:paraId="12071881">
            <w:pPr>
              <w:suppressAutoHyphens/>
              <w:spacing w:after="0" w:line="240" w:lineRule="auto"/>
              <w:jc w:val="both"/>
              <w:rPr>
                <w:rFonts w:ascii="Calibri" w:hAnsi="Calibri" w:eastAsia="Calibri" w:cs="font887"/>
              </w:rPr>
            </w:pPr>
            <w:r>
              <w:rPr>
                <w:rFonts w:ascii="Times New Roman" w:hAnsi="Times New Roman" w:eastAsia="Times New Roman" w:cs="Times New Roman"/>
                <w:b/>
                <w:lang w:eastAsia="ru-RU"/>
              </w:rPr>
              <w:t xml:space="preserve">ИСПОЛНИТЕЛЬ: </w:t>
            </w:r>
          </w:p>
          <w:p w14:paraId="3543C6C9">
            <w:pPr>
              <w:suppressAutoHyphens/>
              <w:spacing w:after="0" w:line="240" w:lineRule="auto"/>
              <w:jc w:val="both"/>
              <w:rPr>
                <w:rFonts w:ascii="Times New Roman" w:hAnsi="Times New Roman" w:eastAsia="Times New Roman" w:cs="Times New Roman"/>
                <w:b/>
                <w:lang w:eastAsia="ru-RU"/>
              </w:rPr>
            </w:pPr>
          </w:p>
          <w:p w14:paraId="042DD029">
            <w:pPr>
              <w:suppressAutoHyphens/>
              <w:spacing w:after="0" w:line="240" w:lineRule="auto"/>
              <w:jc w:val="both"/>
              <w:rPr>
                <w:rFonts w:ascii="Times New Roman" w:hAnsi="Times New Roman" w:eastAsia="Times New Roman" w:cs="Times New Roman"/>
                <w:lang w:eastAsia="ru-RU"/>
              </w:rPr>
            </w:pPr>
          </w:p>
          <w:p w14:paraId="6C975EC7">
            <w:pPr>
              <w:suppressAutoHyphens/>
              <w:spacing w:after="0" w:line="240" w:lineRule="auto"/>
              <w:jc w:val="both"/>
              <w:rPr>
                <w:rFonts w:ascii="Times New Roman" w:hAnsi="Times New Roman" w:eastAsia="Times New Roman" w:cs="Times New Roman"/>
                <w:lang w:eastAsia="ru-RU"/>
              </w:rPr>
            </w:pPr>
          </w:p>
          <w:p w14:paraId="061BE6BE">
            <w:pPr>
              <w:suppressAutoHyphens/>
              <w:spacing w:after="0" w:line="240" w:lineRule="auto"/>
              <w:jc w:val="both"/>
              <w:rPr>
                <w:rFonts w:ascii="Times New Roman" w:hAnsi="Times New Roman" w:eastAsia="Times New Roman" w:cs="Times New Roman"/>
                <w:lang w:eastAsia="ru-RU"/>
              </w:rPr>
            </w:pPr>
          </w:p>
          <w:p w14:paraId="776FB09B">
            <w:pPr>
              <w:suppressAutoHyphens/>
              <w:spacing w:after="0" w:line="240" w:lineRule="auto"/>
              <w:jc w:val="both"/>
              <w:rPr>
                <w:rFonts w:ascii="Times New Roman" w:hAnsi="Times New Roman" w:eastAsia="Times New Roman" w:cs="Times New Roman"/>
                <w:lang w:eastAsia="ru-RU"/>
              </w:rPr>
            </w:pPr>
          </w:p>
          <w:p w14:paraId="12D7233F">
            <w:pPr>
              <w:suppressAutoHyphens/>
              <w:spacing w:after="0" w:line="240" w:lineRule="auto"/>
              <w:jc w:val="both"/>
              <w:rPr>
                <w:rFonts w:ascii="Calibri" w:hAnsi="Calibri" w:eastAsia="Calibri" w:cs="font887"/>
              </w:rPr>
            </w:pPr>
            <w:r>
              <w:rPr>
                <w:rFonts w:ascii="Times New Roman" w:hAnsi="Times New Roman" w:eastAsia="Calibri" w:cs="Times New Roman"/>
                <w:bCs/>
              </w:rPr>
              <w:t>________________ /________________/</w:t>
            </w:r>
          </w:p>
          <w:p w14:paraId="626FE1F4">
            <w:pPr>
              <w:suppressAutoHyphens/>
              <w:spacing w:after="0" w:line="240" w:lineRule="auto"/>
              <w:jc w:val="both"/>
              <w:rPr>
                <w:rFonts w:ascii="Calibri" w:hAnsi="Calibri" w:eastAsia="Calibri" w:cs="font887"/>
              </w:rPr>
            </w:pPr>
            <w:r>
              <w:rPr>
                <w:rFonts w:ascii="Times New Roman" w:hAnsi="Times New Roman" w:eastAsia="Times New Roman" w:cs="Times New Roman"/>
                <w:lang w:eastAsia="ru-RU"/>
              </w:rPr>
              <w:t>Подписано ЭЦП</w:t>
            </w:r>
          </w:p>
          <w:p w14:paraId="793C4513">
            <w:pPr>
              <w:suppressAutoHyphens/>
              <w:spacing w:after="0" w:line="240" w:lineRule="auto"/>
              <w:jc w:val="both"/>
              <w:rPr>
                <w:rFonts w:ascii="Times New Roman" w:hAnsi="Times New Roman" w:eastAsia="Times New Roman" w:cs="Times New Roman"/>
                <w:lang w:eastAsia="ru-RU"/>
              </w:rPr>
            </w:pPr>
          </w:p>
        </w:tc>
      </w:tr>
    </w:tbl>
    <w:p w14:paraId="719FBE55">
      <w:pPr>
        <w:suppressAutoHyphens/>
        <w:spacing w:after="0" w:line="240" w:lineRule="auto"/>
        <w:ind w:firstLine="540"/>
        <w:jc w:val="both"/>
        <w:rPr>
          <w:rFonts w:ascii="Times New Roman" w:hAnsi="Times New Roman" w:eastAsia="Calibri" w:cs="Times New Roman"/>
          <w:sz w:val="24"/>
          <w:szCs w:val="24"/>
        </w:rPr>
      </w:pPr>
    </w:p>
    <w:p w14:paraId="1855B8F8">
      <w:pPr>
        <w:suppressAutoHyphens/>
        <w:spacing w:after="0" w:line="240" w:lineRule="auto"/>
        <w:ind w:firstLine="540"/>
        <w:jc w:val="both"/>
        <w:rPr>
          <w:rFonts w:ascii="Calibri" w:hAnsi="Calibri" w:eastAsia="Calibri" w:cs="font887"/>
        </w:rPr>
      </w:pPr>
      <w:r>
        <w:rPr>
          <w:rFonts w:ascii="Times New Roman" w:hAnsi="Times New Roman" w:eastAsia="Calibri" w:cs="Times New Roman"/>
          <w:sz w:val="24"/>
          <w:szCs w:val="24"/>
        </w:rPr>
        <w:t>Контракт распечатан из личного кабинета на электронной площадке.</w:t>
      </w:r>
    </w:p>
    <w:p w14:paraId="2BA5BFC3">
      <w:pPr>
        <w:suppressAutoHyphens/>
        <w:spacing w:after="0" w:line="240" w:lineRule="auto"/>
        <w:ind w:firstLine="540"/>
        <w:jc w:val="both"/>
        <w:rPr>
          <w:rFonts w:ascii="Times New Roman" w:hAnsi="Times New Roman" w:eastAsia="Calibri" w:cs="Times New Roman"/>
          <w:sz w:val="24"/>
          <w:szCs w:val="24"/>
        </w:rPr>
      </w:pPr>
    </w:p>
    <w:p w14:paraId="10BA6220">
      <w:pPr>
        <w:suppressAutoHyphens/>
        <w:spacing w:after="0" w:line="240" w:lineRule="auto"/>
        <w:ind w:firstLine="540"/>
        <w:jc w:val="both"/>
        <w:rPr>
          <w:rFonts w:ascii="Calibri" w:hAnsi="Calibri" w:eastAsia="Calibri" w:cs="font887"/>
        </w:rPr>
      </w:pPr>
      <w:r>
        <w:rPr>
          <w:rFonts w:ascii="Times New Roman" w:hAnsi="Times New Roman" w:eastAsia="Calibri" w:cs="Times New Roman"/>
          <w:sz w:val="24"/>
          <w:szCs w:val="24"/>
        </w:rPr>
        <w:t>Заведующий ______________/Петрова Н.Г./</w:t>
      </w:r>
    </w:p>
    <w:p w14:paraId="354E0C3A">
      <w:pPr>
        <w:autoSpaceDE w:val="0"/>
        <w:autoSpaceDN w:val="0"/>
        <w:adjustRightInd w:val="0"/>
        <w:spacing w:after="0" w:line="240" w:lineRule="auto"/>
        <w:ind w:firstLine="540"/>
        <w:jc w:val="both"/>
        <w:rPr>
          <w:rFonts w:ascii="Times New Roman" w:hAnsi="Times New Roman" w:cs="Times New Roman"/>
          <w:sz w:val="24"/>
          <w:szCs w:val="24"/>
        </w:rPr>
      </w:pPr>
    </w:p>
    <w:p w14:paraId="0E37EAA9">
      <w:pPr>
        <w:autoSpaceDE w:val="0"/>
        <w:autoSpaceDN w:val="0"/>
        <w:adjustRightInd w:val="0"/>
        <w:spacing w:after="0" w:line="240" w:lineRule="auto"/>
        <w:ind w:firstLine="540"/>
        <w:jc w:val="both"/>
        <w:rPr>
          <w:rFonts w:ascii="Times New Roman" w:hAnsi="Times New Roman" w:cs="Times New Roman"/>
          <w:sz w:val="24"/>
          <w:szCs w:val="24"/>
        </w:rPr>
      </w:pPr>
    </w:p>
    <w:p w14:paraId="123203DA">
      <w:pPr>
        <w:autoSpaceDE w:val="0"/>
        <w:autoSpaceDN w:val="0"/>
        <w:adjustRightInd w:val="0"/>
        <w:spacing w:after="0" w:line="240" w:lineRule="auto"/>
        <w:ind w:firstLine="540"/>
        <w:jc w:val="both"/>
        <w:rPr>
          <w:rFonts w:ascii="Times New Roman" w:hAnsi="Times New Roman" w:cs="Times New Roman"/>
          <w:sz w:val="24"/>
          <w:szCs w:val="24"/>
        </w:rPr>
      </w:pPr>
    </w:p>
    <w:p w14:paraId="23CA8D5A">
      <w:pPr>
        <w:rPr>
          <w:rFonts w:ascii="Times New Roman" w:hAnsi="Times New Roman" w:cs="Times New Roman"/>
          <w:sz w:val="24"/>
          <w:szCs w:val="24"/>
        </w:rPr>
      </w:pPr>
    </w:p>
    <w:p w14:paraId="2C9D704A">
      <w:pPr>
        <w:autoSpaceDE w:val="0"/>
        <w:autoSpaceDN w:val="0"/>
        <w:adjustRightInd w:val="0"/>
        <w:spacing w:after="0" w:line="240" w:lineRule="auto"/>
        <w:rPr>
          <w:rFonts w:ascii="Times New Roman" w:hAnsi="Times New Roman" w:cs="Times New Roman"/>
          <w:sz w:val="24"/>
          <w:szCs w:val="24"/>
        </w:rPr>
        <w:sectPr>
          <w:pgSz w:w="11906" w:h="16838"/>
          <w:pgMar w:top="567" w:right="566" w:bottom="567" w:left="1133" w:header="0" w:footer="0" w:gutter="0"/>
          <w:cols w:space="720" w:num="1"/>
        </w:sectPr>
      </w:pPr>
    </w:p>
    <w:tbl>
      <w:tblPr>
        <w:tblStyle w:val="3"/>
        <w:tblW w:w="0" w:type="auto"/>
        <w:tblInd w:w="0" w:type="dxa"/>
        <w:tblLayout w:type="fixed"/>
        <w:tblCellMar>
          <w:top w:w="102" w:type="dxa"/>
          <w:left w:w="62" w:type="dxa"/>
          <w:bottom w:w="102" w:type="dxa"/>
          <w:right w:w="62" w:type="dxa"/>
        </w:tblCellMar>
      </w:tblPr>
      <w:tblGrid>
        <w:gridCol w:w="67"/>
        <w:gridCol w:w="510"/>
        <w:gridCol w:w="1962"/>
        <w:gridCol w:w="1492"/>
        <w:gridCol w:w="4678"/>
        <w:gridCol w:w="1485"/>
        <w:gridCol w:w="1343"/>
        <w:gridCol w:w="1141"/>
        <w:gridCol w:w="1677"/>
        <w:gridCol w:w="1300"/>
        <w:gridCol w:w="117"/>
      </w:tblGrid>
      <w:tr w14:paraId="4D355C37">
        <w:tblPrEx>
          <w:tblCellMar>
            <w:top w:w="102" w:type="dxa"/>
            <w:left w:w="62" w:type="dxa"/>
            <w:bottom w:w="102" w:type="dxa"/>
            <w:right w:w="62" w:type="dxa"/>
          </w:tblCellMar>
        </w:tblPrEx>
        <w:trPr>
          <w:gridAfter w:val="1"/>
          <w:wAfter w:w="117" w:type="dxa"/>
        </w:trPr>
        <w:tc>
          <w:tcPr>
            <w:tcW w:w="15655" w:type="dxa"/>
            <w:gridSpan w:val="10"/>
          </w:tcPr>
          <w:p w14:paraId="2EE9A25F">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Pr>
                <w:rFonts w:ascii="Times New Roman" w:hAnsi="Times New Roman" w:cs="Times New Roman"/>
                <w:sz w:val="24"/>
                <w:szCs w:val="24"/>
              </w:rPr>
              <w:t xml:space="preserve">Приложение 1 </w:t>
            </w:r>
          </w:p>
          <w:p w14:paraId="5406E808">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к Контракту</w:t>
            </w:r>
          </w:p>
          <w:p w14:paraId="28006CB9">
            <w:pPr>
              <w:autoSpaceDE w:val="0"/>
              <w:autoSpaceDN w:val="0"/>
              <w:adjustRightInd w:val="0"/>
              <w:spacing w:after="0" w:line="240" w:lineRule="auto"/>
              <w:jc w:val="right"/>
              <w:outlineLvl w:val="0"/>
              <w:rPr>
                <w:rFonts w:hint="default" w:ascii="Times New Roman" w:hAnsi="Times New Roman" w:cs="Times New Roman"/>
                <w:sz w:val="24"/>
                <w:szCs w:val="24"/>
                <w:lang w:val="ru-RU"/>
              </w:rPr>
            </w:pPr>
            <w:r>
              <w:rPr>
                <w:rFonts w:ascii="Times New Roman" w:hAnsi="Times New Roman" w:cs="Times New Roman"/>
                <w:sz w:val="24"/>
                <w:szCs w:val="24"/>
              </w:rPr>
              <w:t>от "__" ____ 20__ г. № 77-2026/</w:t>
            </w:r>
            <w:r>
              <w:rPr>
                <w:rFonts w:hint="default" w:ascii="Times New Roman" w:hAnsi="Times New Roman" w:cs="Times New Roman"/>
                <w:sz w:val="24"/>
                <w:szCs w:val="24"/>
                <w:lang w:val="ru-RU"/>
              </w:rPr>
              <w:t>16</w:t>
            </w:r>
          </w:p>
          <w:p w14:paraId="3357CBAD">
            <w:pPr>
              <w:autoSpaceDE w:val="0"/>
              <w:autoSpaceDN w:val="0"/>
              <w:adjustRightInd w:val="0"/>
              <w:spacing w:after="0" w:line="240" w:lineRule="auto"/>
              <w:jc w:val="center"/>
              <w:rPr>
                <w:rFonts w:ascii="Times New Roman" w:hAnsi="Times New Roman" w:cs="Times New Roman"/>
                <w:b/>
                <w:bCs/>
                <w:sz w:val="24"/>
                <w:szCs w:val="24"/>
              </w:rPr>
            </w:pPr>
          </w:p>
          <w:p w14:paraId="4A2D76D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Спецификация</w:t>
            </w:r>
          </w:p>
        </w:tc>
      </w:tr>
      <w:tr w14:paraId="30743E34">
        <w:tblPrEx>
          <w:tblCellMar>
            <w:top w:w="102" w:type="dxa"/>
            <w:left w:w="62" w:type="dxa"/>
            <w:bottom w:w="102" w:type="dxa"/>
            <w:right w:w="62" w:type="dxa"/>
          </w:tblCellMar>
        </w:tblPrEx>
        <w:trPr>
          <w:gridBefore w:val="1"/>
          <w:wBefore w:w="67" w:type="dxa"/>
        </w:trPr>
        <w:tc>
          <w:tcPr>
            <w:tcW w:w="510" w:type="dxa"/>
            <w:tcBorders>
              <w:top w:val="single" w:color="auto" w:sz="4" w:space="0"/>
              <w:left w:val="single" w:color="auto" w:sz="4" w:space="0"/>
              <w:bottom w:val="single" w:color="auto" w:sz="4" w:space="0"/>
              <w:right w:val="single" w:color="auto" w:sz="4" w:space="0"/>
            </w:tcBorders>
          </w:tcPr>
          <w:p w14:paraId="4B28878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п/п</w:t>
            </w:r>
          </w:p>
        </w:tc>
        <w:tc>
          <w:tcPr>
            <w:tcW w:w="1962" w:type="dxa"/>
            <w:tcBorders>
              <w:top w:val="single" w:color="auto" w:sz="4" w:space="0"/>
              <w:left w:val="single" w:color="auto" w:sz="4" w:space="0"/>
              <w:bottom w:val="single" w:color="auto" w:sz="4" w:space="0"/>
              <w:right w:val="single" w:color="auto" w:sz="4" w:space="0"/>
            </w:tcBorders>
          </w:tcPr>
          <w:p w14:paraId="6CE47A3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Товара</w:t>
            </w:r>
          </w:p>
        </w:tc>
        <w:tc>
          <w:tcPr>
            <w:tcW w:w="1492" w:type="dxa"/>
            <w:tcBorders>
              <w:top w:val="single" w:color="auto" w:sz="4" w:space="0"/>
              <w:left w:val="single" w:color="auto" w:sz="4" w:space="0"/>
              <w:bottom w:val="single" w:color="auto" w:sz="4" w:space="0"/>
              <w:right w:val="single" w:color="auto" w:sz="4" w:space="0"/>
            </w:tcBorders>
          </w:tcPr>
          <w:p w14:paraId="143296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Товарный знак (при наличии) </w:t>
            </w:r>
          </w:p>
        </w:tc>
        <w:tc>
          <w:tcPr>
            <w:tcW w:w="4678" w:type="dxa"/>
            <w:tcBorders>
              <w:top w:val="single" w:color="auto" w:sz="4" w:space="0"/>
              <w:left w:val="single" w:color="auto" w:sz="4" w:space="0"/>
              <w:bottom w:val="single" w:color="auto" w:sz="4" w:space="0"/>
              <w:right w:val="single" w:color="auto" w:sz="4" w:space="0"/>
            </w:tcBorders>
          </w:tcPr>
          <w:p w14:paraId="73D0477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5" w:type="dxa"/>
            <w:tcBorders>
              <w:top w:val="single" w:color="auto" w:sz="4" w:space="0"/>
              <w:left w:val="single" w:color="auto" w:sz="4" w:space="0"/>
              <w:bottom w:val="single" w:color="auto" w:sz="4" w:space="0"/>
              <w:right w:val="single" w:color="auto" w:sz="4" w:space="0"/>
            </w:tcBorders>
          </w:tcPr>
          <w:p w14:paraId="18523F8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страны происхождения Товара</w:t>
            </w:r>
          </w:p>
        </w:tc>
        <w:tc>
          <w:tcPr>
            <w:tcW w:w="1343" w:type="dxa"/>
            <w:tcBorders>
              <w:top w:val="single" w:color="auto" w:sz="4" w:space="0"/>
              <w:left w:val="single" w:color="auto" w:sz="4" w:space="0"/>
              <w:bottom w:val="single" w:color="auto" w:sz="4" w:space="0"/>
              <w:right w:val="single" w:color="auto" w:sz="4" w:space="0"/>
            </w:tcBorders>
          </w:tcPr>
          <w:p w14:paraId="265CDB5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Единицы измерения</w:t>
            </w:r>
          </w:p>
        </w:tc>
        <w:tc>
          <w:tcPr>
            <w:tcW w:w="1141" w:type="dxa"/>
            <w:tcBorders>
              <w:top w:val="single" w:color="auto" w:sz="4" w:space="0"/>
              <w:left w:val="single" w:color="auto" w:sz="4" w:space="0"/>
              <w:bottom w:val="single" w:color="auto" w:sz="4" w:space="0"/>
              <w:right w:val="single" w:color="auto" w:sz="4" w:space="0"/>
            </w:tcBorders>
          </w:tcPr>
          <w:p w14:paraId="5358622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Количество в единицах измерения</w:t>
            </w:r>
          </w:p>
        </w:tc>
        <w:tc>
          <w:tcPr>
            <w:tcW w:w="1677" w:type="dxa"/>
            <w:tcBorders>
              <w:top w:val="single" w:color="auto" w:sz="4" w:space="0"/>
              <w:left w:val="single" w:color="auto" w:sz="4" w:space="0"/>
              <w:bottom w:val="single" w:color="auto" w:sz="4" w:space="0"/>
              <w:right w:val="single" w:color="auto" w:sz="4" w:space="0"/>
            </w:tcBorders>
          </w:tcPr>
          <w:p w14:paraId="00B9D36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Цена за единицу измерения, руб.</w:t>
            </w:r>
          </w:p>
          <w:p w14:paraId="73EECA9C">
            <w:pPr>
              <w:autoSpaceDE w:val="0"/>
              <w:autoSpaceDN w:val="0"/>
              <w:adjustRightInd w:val="0"/>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(включая НДС / НДС не облагается)</w:t>
            </w:r>
          </w:p>
        </w:tc>
        <w:tc>
          <w:tcPr>
            <w:tcW w:w="1417" w:type="dxa"/>
            <w:gridSpan w:val="2"/>
            <w:tcBorders>
              <w:top w:val="single" w:color="auto" w:sz="4" w:space="0"/>
              <w:left w:val="single" w:color="auto" w:sz="4" w:space="0"/>
              <w:bottom w:val="single" w:color="auto" w:sz="4" w:space="0"/>
              <w:right w:val="single" w:color="auto" w:sz="4" w:space="0"/>
            </w:tcBorders>
          </w:tcPr>
          <w:p w14:paraId="2ADFC07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Стоимость, руб.</w:t>
            </w:r>
          </w:p>
          <w:p w14:paraId="64E7ECCC">
            <w:pPr>
              <w:autoSpaceDE w:val="0"/>
              <w:autoSpaceDN w:val="0"/>
              <w:adjustRightInd w:val="0"/>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(включая НДС / НДС не облагается)</w:t>
            </w:r>
          </w:p>
        </w:tc>
      </w:tr>
      <w:tr w14:paraId="6A735D10">
        <w:tblPrEx>
          <w:tblCellMar>
            <w:top w:w="102" w:type="dxa"/>
            <w:left w:w="62" w:type="dxa"/>
            <w:bottom w:w="102" w:type="dxa"/>
            <w:right w:w="62" w:type="dxa"/>
          </w:tblCellMar>
        </w:tblPrEx>
        <w:trPr>
          <w:gridBefore w:val="1"/>
          <w:wBefore w:w="67" w:type="dxa"/>
        </w:trPr>
        <w:tc>
          <w:tcPr>
            <w:tcW w:w="510" w:type="dxa"/>
            <w:tcBorders>
              <w:top w:val="single" w:color="auto" w:sz="4" w:space="0"/>
              <w:left w:val="single" w:color="auto" w:sz="4" w:space="0"/>
              <w:bottom w:val="single" w:color="auto" w:sz="4" w:space="0"/>
              <w:right w:val="single" w:color="auto" w:sz="4" w:space="0"/>
            </w:tcBorders>
          </w:tcPr>
          <w:p w14:paraId="7683208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62" w:type="dxa"/>
            <w:tcBorders>
              <w:top w:val="single" w:color="auto" w:sz="4" w:space="0"/>
              <w:left w:val="single" w:color="auto" w:sz="4" w:space="0"/>
              <w:bottom w:val="single" w:color="auto" w:sz="4" w:space="0"/>
              <w:right w:val="single" w:color="auto" w:sz="4" w:space="0"/>
            </w:tcBorders>
          </w:tcPr>
          <w:p w14:paraId="1F842B3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92" w:type="dxa"/>
            <w:tcBorders>
              <w:top w:val="single" w:color="auto" w:sz="4" w:space="0"/>
              <w:left w:val="single" w:color="auto" w:sz="4" w:space="0"/>
              <w:bottom w:val="single" w:color="auto" w:sz="4" w:space="0"/>
              <w:right w:val="single" w:color="auto" w:sz="4" w:space="0"/>
            </w:tcBorders>
          </w:tcPr>
          <w:p w14:paraId="2C79E7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678" w:type="dxa"/>
            <w:tcBorders>
              <w:top w:val="single" w:color="auto" w:sz="4" w:space="0"/>
              <w:left w:val="single" w:color="auto" w:sz="4" w:space="0"/>
              <w:bottom w:val="single" w:color="auto" w:sz="4" w:space="0"/>
              <w:right w:val="single" w:color="auto" w:sz="4" w:space="0"/>
            </w:tcBorders>
          </w:tcPr>
          <w:p w14:paraId="5BBB4D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85" w:type="dxa"/>
            <w:tcBorders>
              <w:top w:val="single" w:color="auto" w:sz="4" w:space="0"/>
              <w:left w:val="single" w:color="auto" w:sz="4" w:space="0"/>
              <w:bottom w:val="single" w:color="auto" w:sz="4" w:space="0"/>
              <w:right w:val="single" w:color="auto" w:sz="4" w:space="0"/>
            </w:tcBorders>
          </w:tcPr>
          <w:p w14:paraId="3B95D7F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43" w:type="dxa"/>
            <w:tcBorders>
              <w:top w:val="single" w:color="auto" w:sz="4" w:space="0"/>
              <w:left w:val="single" w:color="auto" w:sz="4" w:space="0"/>
              <w:bottom w:val="single" w:color="auto" w:sz="4" w:space="0"/>
              <w:right w:val="single" w:color="auto" w:sz="4" w:space="0"/>
            </w:tcBorders>
          </w:tcPr>
          <w:p w14:paraId="7E8AED4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41" w:type="dxa"/>
            <w:tcBorders>
              <w:top w:val="single" w:color="auto" w:sz="4" w:space="0"/>
              <w:left w:val="single" w:color="auto" w:sz="4" w:space="0"/>
              <w:bottom w:val="single" w:color="auto" w:sz="4" w:space="0"/>
              <w:right w:val="single" w:color="auto" w:sz="4" w:space="0"/>
            </w:tcBorders>
          </w:tcPr>
          <w:p w14:paraId="32BCBE3E">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Pr>
                <w:rFonts w:ascii="Times New Roman" w:hAnsi="Times New Roman" w:cs="Times New Roman"/>
                <w:sz w:val="24"/>
                <w:szCs w:val="24"/>
              </w:rPr>
              <w:t>7</w:t>
            </w:r>
          </w:p>
        </w:tc>
        <w:tc>
          <w:tcPr>
            <w:tcW w:w="1677" w:type="dxa"/>
            <w:tcBorders>
              <w:top w:val="single" w:color="auto" w:sz="4" w:space="0"/>
              <w:left w:val="single" w:color="auto" w:sz="4" w:space="0"/>
              <w:bottom w:val="single" w:color="auto" w:sz="4" w:space="0"/>
              <w:right w:val="single" w:color="auto" w:sz="4" w:space="0"/>
            </w:tcBorders>
          </w:tcPr>
          <w:p w14:paraId="0DDB0C1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17" w:type="dxa"/>
            <w:gridSpan w:val="2"/>
            <w:tcBorders>
              <w:top w:val="single" w:color="auto" w:sz="4" w:space="0"/>
              <w:left w:val="single" w:color="auto" w:sz="4" w:space="0"/>
              <w:bottom w:val="single" w:color="auto" w:sz="4" w:space="0"/>
              <w:right w:val="single" w:color="auto" w:sz="4" w:space="0"/>
            </w:tcBorders>
          </w:tcPr>
          <w:p w14:paraId="276BB7B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Pr>
                <w:rFonts w:ascii="Times New Roman" w:hAnsi="Times New Roman" w:cs="Times New Roman"/>
                <w:sz w:val="24"/>
                <w:szCs w:val="24"/>
              </w:rPr>
              <w:t>9</w:t>
            </w:r>
          </w:p>
        </w:tc>
        <w:bookmarkStart w:id="28" w:name="Par668"/>
        <w:bookmarkEnd w:id="28"/>
      </w:tr>
      <w:tr w14:paraId="20B26F49">
        <w:tblPrEx>
          <w:tblCellMar>
            <w:top w:w="102" w:type="dxa"/>
            <w:left w:w="62" w:type="dxa"/>
            <w:bottom w:w="102" w:type="dxa"/>
            <w:right w:w="62" w:type="dxa"/>
          </w:tblCellMar>
        </w:tblPrEx>
        <w:trPr>
          <w:gridBefore w:val="1"/>
          <w:wBefore w:w="67" w:type="dxa"/>
        </w:trPr>
        <w:tc>
          <w:tcPr>
            <w:tcW w:w="510" w:type="dxa"/>
            <w:tcBorders>
              <w:top w:val="single" w:color="auto" w:sz="4" w:space="0"/>
              <w:left w:val="single" w:color="auto" w:sz="4" w:space="0"/>
              <w:bottom w:val="single" w:color="auto" w:sz="4" w:space="0"/>
              <w:right w:val="single" w:color="auto" w:sz="4" w:space="0"/>
            </w:tcBorders>
            <w:vAlign w:val="center"/>
          </w:tcPr>
          <w:p w14:paraId="7DE0B9C3">
            <w:pPr>
              <w:autoSpaceDE w:val="0"/>
              <w:autoSpaceDN w:val="0"/>
              <w:adjustRightInd w:val="0"/>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c>
          <w:tcPr>
            <w:tcW w:w="1962" w:type="dxa"/>
            <w:tcBorders>
              <w:top w:val="single" w:color="auto" w:sz="4" w:space="0"/>
              <w:left w:val="single" w:color="auto" w:sz="4" w:space="0"/>
              <w:bottom w:val="single" w:color="auto" w:sz="4" w:space="0"/>
              <w:right w:val="single" w:color="auto" w:sz="4" w:space="0"/>
            </w:tcBorders>
            <w:vAlign w:val="center"/>
          </w:tcPr>
          <w:p w14:paraId="314374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Костюм мужской</w:t>
            </w:r>
          </w:p>
        </w:tc>
        <w:tc>
          <w:tcPr>
            <w:tcW w:w="1492" w:type="dxa"/>
            <w:tcBorders>
              <w:top w:val="single" w:color="auto" w:sz="4" w:space="0"/>
              <w:left w:val="single" w:color="auto" w:sz="4" w:space="0"/>
              <w:bottom w:val="single" w:color="auto" w:sz="4" w:space="0"/>
              <w:right w:val="single" w:color="auto" w:sz="4" w:space="0"/>
            </w:tcBorders>
            <w:vAlign w:val="center"/>
          </w:tcPr>
          <w:p w14:paraId="03D01A04">
            <w:pPr>
              <w:autoSpaceDE w:val="0"/>
              <w:autoSpaceDN w:val="0"/>
              <w:adjustRightInd w:val="0"/>
              <w:spacing w:after="0" w:line="240" w:lineRule="auto"/>
              <w:jc w:val="both"/>
              <w:rPr>
                <w:rFonts w:ascii="Times New Roman" w:hAnsi="Times New Roman" w:cs="Times New Roman"/>
                <w:sz w:val="24"/>
                <w:szCs w:val="24"/>
                <w:lang w:val="en-US"/>
              </w:rPr>
            </w:pPr>
          </w:p>
        </w:tc>
        <w:tc>
          <w:tcPr>
            <w:tcW w:w="4678" w:type="dxa"/>
            <w:tcBorders>
              <w:top w:val="single" w:color="auto" w:sz="4" w:space="0"/>
              <w:left w:val="single" w:color="auto" w:sz="4" w:space="0"/>
              <w:bottom w:val="single" w:color="auto" w:sz="4" w:space="0"/>
              <w:right w:val="single" w:color="auto" w:sz="4" w:space="0"/>
            </w:tcBorders>
          </w:tcPr>
          <w:p w14:paraId="209B1FD7">
            <w:pPr>
              <w:rPr>
                <w:rFonts w:ascii="Times New Roman" w:hAnsi="Times New Roman" w:cs="Times New Roman"/>
                <w:sz w:val="24"/>
                <w:szCs w:val="24"/>
              </w:rPr>
            </w:pPr>
            <w:r>
              <w:rPr>
                <w:rFonts w:ascii="Times New Roman" w:hAnsi="Times New Roman" w:cs="Times New Roman"/>
                <w:sz w:val="24"/>
                <w:szCs w:val="24"/>
              </w:rPr>
              <w:t>Вид товара – Костюм; Пол – мужской; Состав костюма - куртка, полукомбинезон; цвет - синий василек; основной материал - хлопок 100%; дополнительный материал – саржа; плотность материала - 240 гр/м2; сезон – лето; Соответствие - ГОСТ 12.4.280-2014; Размеры - 46-48 170-176 (</w:t>
            </w:r>
            <w:r>
              <w:rPr>
                <w:rFonts w:hint="default" w:ascii="Times New Roman" w:hAnsi="Times New Roman" w:cs="Times New Roman"/>
                <w:sz w:val="24"/>
                <w:szCs w:val="24"/>
                <w:lang w:val="ru-RU"/>
              </w:rPr>
              <w:t>2</w:t>
            </w:r>
            <w:r>
              <w:rPr>
                <w:rFonts w:ascii="Times New Roman" w:hAnsi="Times New Roman" w:cs="Times New Roman"/>
                <w:sz w:val="24"/>
                <w:szCs w:val="24"/>
              </w:rPr>
              <w:t xml:space="preserve">шт); </w:t>
            </w:r>
            <w:r>
              <w:rPr>
                <w:rFonts w:hint="default" w:ascii="Times New Roman" w:hAnsi="Times New Roman" w:cs="Times New Roman"/>
                <w:sz w:val="24"/>
                <w:szCs w:val="24"/>
                <w:lang w:val="ru-RU"/>
              </w:rPr>
              <w:t xml:space="preserve">48 170-176 (6 шт); </w:t>
            </w:r>
            <w:r>
              <w:rPr>
                <w:rFonts w:ascii="Times New Roman" w:hAnsi="Times New Roman" w:cs="Times New Roman"/>
                <w:sz w:val="24"/>
                <w:szCs w:val="24"/>
              </w:rPr>
              <w:t>48-50 170-176 (</w:t>
            </w:r>
            <w:r>
              <w:rPr>
                <w:rFonts w:hint="default" w:ascii="Times New Roman" w:hAnsi="Times New Roman" w:cs="Times New Roman"/>
                <w:sz w:val="24"/>
                <w:szCs w:val="24"/>
                <w:lang w:val="ru-RU"/>
              </w:rPr>
              <w:t>6</w:t>
            </w:r>
            <w:r>
              <w:rPr>
                <w:rFonts w:ascii="Times New Roman" w:hAnsi="Times New Roman" w:cs="Times New Roman"/>
                <w:sz w:val="24"/>
                <w:szCs w:val="24"/>
              </w:rPr>
              <w:t xml:space="preserve"> шт); 50-52 170-176 (</w:t>
            </w:r>
            <w:r>
              <w:rPr>
                <w:rFonts w:hint="default" w:ascii="Times New Roman" w:hAnsi="Times New Roman" w:cs="Times New Roman"/>
                <w:sz w:val="24"/>
                <w:szCs w:val="24"/>
                <w:lang w:val="ru-RU"/>
              </w:rPr>
              <w:t>5</w:t>
            </w:r>
            <w:r>
              <w:rPr>
                <w:rFonts w:ascii="Times New Roman" w:hAnsi="Times New Roman" w:cs="Times New Roman"/>
                <w:sz w:val="24"/>
                <w:szCs w:val="24"/>
              </w:rPr>
              <w:t xml:space="preserve"> шт); Дополнительное свойство - СОП 50 мм (светоотражающая полоса); Наличие - Заключение Минпромторга.</w:t>
            </w:r>
          </w:p>
          <w:p w14:paraId="430E4960">
            <w:pPr>
              <w:rPr>
                <w:rFonts w:ascii="Times New Roman" w:hAnsi="Times New Roman" w:cs="Times New Roman"/>
                <w:sz w:val="24"/>
                <w:szCs w:val="24"/>
              </w:rPr>
            </w:pPr>
            <w:r>
              <w:rPr>
                <w:rFonts w:ascii="Times New Roman" w:hAnsi="Times New Roman" w:cs="Times New Roman"/>
                <w:sz w:val="24"/>
                <w:szCs w:val="24"/>
              </w:rPr>
              <w:t>Куртка укороченная, пояс притачной. Центральная бортовая застежка на петли и пуговицы. Воротник отложной. Один нагрудный накладной карман с отделением для ручки. Два нижних накладных кармана с наклонным входом.</w:t>
            </w:r>
          </w:p>
          <w:p w14:paraId="1621B055">
            <w:pPr>
              <w:rPr>
                <w:rFonts w:ascii="Times New Roman" w:hAnsi="Times New Roman" w:cs="Times New Roman"/>
                <w:sz w:val="24"/>
                <w:szCs w:val="24"/>
              </w:rPr>
            </w:pPr>
            <w:r>
              <w:rPr>
                <w:rFonts w:ascii="Times New Roman" w:hAnsi="Times New Roman" w:cs="Times New Roman"/>
                <w:sz w:val="24"/>
                <w:szCs w:val="24"/>
              </w:rPr>
              <w:t>Рукава с налокотниками, манжеты застегиваются на пуговицу. На притачном поясе, по бокам участки с эластичной тесьмой.</w:t>
            </w:r>
          </w:p>
          <w:p w14:paraId="25767928">
            <w:pPr>
              <w:rPr>
                <w:rFonts w:ascii="Times New Roman" w:hAnsi="Times New Roman" w:cs="Times New Roman"/>
                <w:sz w:val="24"/>
                <w:szCs w:val="24"/>
              </w:rPr>
            </w:pPr>
            <w:r>
              <w:rPr>
                <w:rFonts w:ascii="Times New Roman" w:hAnsi="Times New Roman" w:cs="Times New Roman"/>
                <w:sz w:val="24"/>
                <w:szCs w:val="24"/>
              </w:rPr>
              <w:t>СОП 50 мм по шву притачивания кокетки, по рукавам.</w:t>
            </w:r>
          </w:p>
          <w:p w14:paraId="6182BF9A">
            <w:pPr>
              <w:rPr>
                <w:rFonts w:ascii="Times New Roman" w:hAnsi="Times New Roman" w:cs="Times New Roman"/>
                <w:sz w:val="24"/>
                <w:szCs w:val="24"/>
              </w:rPr>
            </w:pPr>
            <w:r>
              <w:rPr>
                <w:rFonts w:ascii="Times New Roman" w:hAnsi="Times New Roman" w:cs="Times New Roman"/>
                <w:sz w:val="24"/>
                <w:szCs w:val="24"/>
              </w:rPr>
              <w:t>Полукомбинезон с застежкой гульфика на тесьму «молния» и в правом боковом шве на пуговицы. Накладные карманы с наклонным входом. В области коленей усилительные накладки. На груди накладной карман с клапаном. По низу брюк СОП 50 мм.</w:t>
            </w:r>
          </w:p>
        </w:tc>
        <w:tc>
          <w:tcPr>
            <w:tcW w:w="1485" w:type="dxa"/>
            <w:tcBorders>
              <w:top w:val="single" w:color="auto" w:sz="4" w:space="0"/>
              <w:left w:val="single" w:color="auto" w:sz="4" w:space="0"/>
              <w:bottom w:val="single" w:color="auto" w:sz="4" w:space="0"/>
              <w:right w:val="single" w:color="auto" w:sz="4" w:space="0"/>
            </w:tcBorders>
            <w:vAlign w:val="center"/>
          </w:tcPr>
          <w:p w14:paraId="6FFD60F7">
            <w:pPr>
              <w:autoSpaceDE w:val="0"/>
              <w:autoSpaceDN w:val="0"/>
              <w:adjustRightInd w:val="0"/>
              <w:spacing w:after="0" w:line="240" w:lineRule="auto"/>
              <w:jc w:val="center"/>
              <w:rPr>
                <w:rFonts w:ascii="Times New Roman" w:hAnsi="Times New Roman" w:cs="Times New Roman"/>
                <w:sz w:val="24"/>
                <w:szCs w:val="24"/>
              </w:rPr>
            </w:pPr>
          </w:p>
        </w:tc>
        <w:tc>
          <w:tcPr>
            <w:tcW w:w="1343" w:type="dxa"/>
            <w:tcBorders>
              <w:top w:val="single" w:color="auto" w:sz="4" w:space="0"/>
              <w:left w:val="single" w:color="auto" w:sz="4" w:space="0"/>
              <w:bottom w:val="single" w:color="auto" w:sz="4" w:space="0"/>
              <w:right w:val="single" w:color="auto" w:sz="4" w:space="0"/>
            </w:tcBorders>
            <w:vAlign w:val="center"/>
          </w:tcPr>
          <w:p w14:paraId="667DE4C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141" w:type="dxa"/>
            <w:tcBorders>
              <w:top w:val="single" w:color="auto" w:sz="4" w:space="0"/>
              <w:left w:val="single" w:color="auto" w:sz="4" w:space="0"/>
              <w:bottom w:val="single" w:color="auto" w:sz="4" w:space="0"/>
              <w:right w:val="single" w:color="auto" w:sz="4" w:space="0"/>
            </w:tcBorders>
            <w:vAlign w:val="center"/>
          </w:tcPr>
          <w:p w14:paraId="06BDB83A">
            <w:pPr>
              <w:autoSpaceDE w:val="0"/>
              <w:autoSpaceDN w:val="0"/>
              <w:adjustRightInd w:val="0"/>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19</w:t>
            </w:r>
          </w:p>
        </w:tc>
        <w:tc>
          <w:tcPr>
            <w:tcW w:w="1677" w:type="dxa"/>
            <w:tcBorders>
              <w:top w:val="single" w:color="auto" w:sz="4" w:space="0"/>
              <w:left w:val="single" w:color="auto" w:sz="4" w:space="0"/>
              <w:bottom w:val="single" w:color="auto" w:sz="4" w:space="0"/>
              <w:right w:val="single" w:color="auto" w:sz="4" w:space="0"/>
            </w:tcBorders>
            <w:vAlign w:val="center"/>
          </w:tcPr>
          <w:p w14:paraId="37514311">
            <w:pPr>
              <w:autoSpaceDE w:val="0"/>
              <w:autoSpaceDN w:val="0"/>
              <w:adjustRightInd w:val="0"/>
              <w:spacing w:after="0" w:line="240" w:lineRule="auto"/>
              <w:jc w:val="center"/>
              <w:rPr>
                <w:rFonts w:ascii="Times New Roman" w:hAnsi="Times New Roman" w:cs="Times New Roman"/>
                <w:sz w:val="24"/>
                <w:szCs w:val="24"/>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4386AD48">
            <w:pPr>
              <w:autoSpaceDE w:val="0"/>
              <w:autoSpaceDN w:val="0"/>
              <w:adjustRightInd w:val="0"/>
              <w:spacing w:after="0" w:line="240" w:lineRule="auto"/>
              <w:jc w:val="center"/>
              <w:rPr>
                <w:rFonts w:ascii="Times New Roman" w:hAnsi="Times New Roman" w:cs="Times New Roman"/>
                <w:sz w:val="24"/>
                <w:szCs w:val="24"/>
              </w:rPr>
            </w:pPr>
          </w:p>
        </w:tc>
      </w:tr>
      <w:tr w14:paraId="69E7D5D9">
        <w:tblPrEx>
          <w:tblCellMar>
            <w:top w:w="102" w:type="dxa"/>
            <w:left w:w="62" w:type="dxa"/>
            <w:bottom w:w="102" w:type="dxa"/>
            <w:right w:w="62" w:type="dxa"/>
          </w:tblCellMar>
        </w:tblPrEx>
        <w:trPr>
          <w:gridBefore w:val="1"/>
          <w:wBefore w:w="67" w:type="dxa"/>
        </w:trPr>
        <w:tc>
          <w:tcPr>
            <w:tcW w:w="510" w:type="dxa"/>
            <w:tcBorders>
              <w:top w:val="single" w:color="auto" w:sz="4" w:space="0"/>
              <w:left w:val="single" w:color="auto" w:sz="4" w:space="0"/>
              <w:bottom w:val="single" w:color="auto" w:sz="4" w:space="0"/>
              <w:right w:val="single" w:color="auto" w:sz="4" w:space="0"/>
            </w:tcBorders>
            <w:vAlign w:val="center"/>
          </w:tcPr>
          <w:p w14:paraId="1466A88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962" w:type="dxa"/>
            <w:tcBorders>
              <w:top w:val="single" w:color="auto" w:sz="4" w:space="0"/>
              <w:left w:val="single" w:color="auto" w:sz="4" w:space="0"/>
              <w:bottom w:val="single" w:color="auto" w:sz="4" w:space="0"/>
              <w:right w:val="single" w:color="auto" w:sz="4" w:space="0"/>
            </w:tcBorders>
            <w:vAlign w:val="center"/>
          </w:tcPr>
          <w:p w14:paraId="415B462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Костюм мужской зимний</w:t>
            </w:r>
          </w:p>
        </w:tc>
        <w:tc>
          <w:tcPr>
            <w:tcW w:w="1492" w:type="dxa"/>
            <w:tcBorders>
              <w:top w:val="single" w:color="auto" w:sz="4" w:space="0"/>
              <w:left w:val="single" w:color="auto" w:sz="4" w:space="0"/>
              <w:bottom w:val="single" w:color="auto" w:sz="4" w:space="0"/>
              <w:right w:val="single" w:color="auto" w:sz="4" w:space="0"/>
            </w:tcBorders>
            <w:vAlign w:val="center"/>
          </w:tcPr>
          <w:p w14:paraId="659E8E6B">
            <w:pPr>
              <w:autoSpaceDE w:val="0"/>
              <w:autoSpaceDN w:val="0"/>
              <w:adjustRightInd w:val="0"/>
              <w:spacing w:after="0" w:line="240" w:lineRule="auto"/>
              <w:jc w:val="both"/>
              <w:rPr>
                <w:rFonts w:ascii="Times New Roman" w:hAnsi="Times New Roman" w:cs="Times New Roman"/>
                <w:sz w:val="24"/>
                <w:szCs w:val="24"/>
                <w:lang w:val="en-US"/>
              </w:rPr>
            </w:pPr>
          </w:p>
        </w:tc>
        <w:tc>
          <w:tcPr>
            <w:tcW w:w="4678" w:type="dxa"/>
            <w:tcBorders>
              <w:top w:val="single" w:color="auto" w:sz="4" w:space="0"/>
              <w:left w:val="single" w:color="auto" w:sz="4" w:space="0"/>
              <w:bottom w:val="single" w:color="auto" w:sz="4" w:space="0"/>
              <w:right w:val="single" w:color="auto" w:sz="4" w:space="0"/>
            </w:tcBorders>
          </w:tcPr>
          <w:p w14:paraId="55E04EB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Вид товара – костюм; пол – мужской; Состав изделия - Куртка, полукомбинезон; Сезон – зима; Цвет - Оранжевый, синий; Ткань костюма - Смесовая (материал "грета" 65% ПЭ 35% ХБ ВО); Плотность изделия - 210 гр/м2; состав утеплителя - "Синтепон" 120 гр/м2; Пакет утеплителя - 4 слоя спинка и полочки; 2 слоя рукава и брюки; 1 слой капюшон; Подкладка - 100% п/э 60гр/м2; Соответствие - ГОСТ 12.4.303-2016; 12.4.280-2014; 12.4.281-2014; ТР/ТС 019/2011; Размеры - 48</w:t>
            </w:r>
            <w:r>
              <w:rPr>
                <w:rFonts w:hint="default" w:ascii="Times New Roman" w:hAnsi="Times New Roman" w:cs="Times New Roman"/>
                <w:sz w:val="24"/>
                <w:szCs w:val="24"/>
                <w:lang w:val="ru-RU"/>
              </w:rPr>
              <w:t>-50</w:t>
            </w:r>
            <w:bookmarkStart w:id="29" w:name="_GoBack"/>
            <w:bookmarkEnd w:id="29"/>
            <w:r>
              <w:rPr>
                <w:rFonts w:ascii="Times New Roman" w:hAnsi="Times New Roman" w:cs="Times New Roman"/>
                <w:sz w:val="24"/>
                <w:szCs w:val="24"/>
              </w:rPr>
              <w:t xml:space="preserve"> 170-176 (</w:t>
            </w:r>
            <w:r>
              <w:rPr>
                <w:rFonts w:hint="default" w:ascii="Times New Roman" w:hAnsi="Times New Roman" w:cs="Times New Roman"/>
                <w:sz w:val="24"/>
                <w:szCs w:val="24"/>
                <w:lang w:val="ru-RU"/>
              </w:rPr>
              <w:t>2</w:t>
            </w:r>
            <w:r>
              <w:rPr>
                <w:rFonts w:ascii="Times New Roman" w:hAnsi="Times New Roman" w:cs="Times New Roman"/>
                <w:sz w:val="24"/>
                <w:szCs w:val="24"/>
              </w:rPr>
              <w:t>шт); 50-52 170-176 (1шт); Дополнительные свойства - СОП 50мм (светоотражающая полоса)/ Высокая видимость.</w:t>
            </w:r>
          </w:p>
          <w:p w14:paraId="0ECA99A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КУРТКА: - комбинированная прямого силуэта со светоотражающими полосами - центральная застежка-молния защищена утепленной ветрозащитной планкой, фиксирующейся на ленте 'велькро - регулируемый отстегивающийся капюшон - трикотажные манжеты на запястьях - накладные нагрудные и боковые карманы с клапанами на ленте 'велькро' ПОЛУКОМБИНЕЗОН: - комбинированные со светоотражающими полосами - на регулируемых по длине бретелях - два передних накладных кармана</w:t>
            </w:r>
          </w:p>
        </w:tc>
        <w:tc>
          <w:tcPr>
            <w:tcW w:w="1485" w:type="dxa"/>
            <w:tcBorders>
              <w:top w:val="single" w:color="auto" w:sz="4" w:space="0"/>
              <w:left w:val="single" w:color="auto" w:sz="4" w:space="0"/>
              <w:bottom w:val="single" w:color="auto" w:sz="4" w:space="0"/>
              <w:right w:val="single" w:color="auto" w:sz="4" w:space="0"/>
            </w:tcBorders>
            <w:vAlign w:val="center"/>
          </w:tcPr>
          <w:p w14:paraId="0D7676E4">
            <w:pPr>
              <w:autoSpaceDE w:val="0"/>
              <w:autoSpaceDN w:val="0"/>
              <w:adjustRightInd w:val="0"/>
              <w:spacing w:after="0" w:line="240" w:lineRule="auto"/>
              <w:jc w:val="center"/>
              <w:rPr>
                <w:rFonts w:ascii="Times New Roman" w:hAnsi="Times New Roman" w:cs="Times New Roman"/>
                <w:sz w:val="24"/>
                <w:szCs w:val="24"/>
              </w:rPr>
            </w:pPr>
          </w:p>
        </w:tc>
        <w:tc>
          <w:tcPr>
            <w:tcW w:w="1343" w:type="dxa"/>
            <w:tcBorders>
              <w:top w:val="single" w:color="auto" w:sz="4" w:space="0"/>
              <w:left w:val="single" w:color="auto" w:sz="4" w:space="0"/>
              <w:bottom w:val="single" w:color="auto" w:sz="4" w:space="0"/>
              <w:right w:val="single" w:color="auto" w:sz="4" w:space="0"/>
            </w:tcBorders>
            <w:vAlign w:val="center"/>
          </w:tcPr>
          <w:p w14:paraId="14BBB1A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141" w:type="dxa"/>
            <w:tcBorders>
              <w:top w:val="single" w:color="auto" w:sz="4" w:space="0"/>
              <w:left w:val="single" w:color="auto" w:sz="4" w:space="0"/>
              <w:bottom w:val="single" w:color="auto" w:sz="4" w:space="0"/>
              <w:right w:val="single" w:color="auto" w:sz="4" w:space="0"/>
            </w:tcBorders>
            <w:vAlign w:val="center"/>
          </w:tcPr>
          <w:p w14:paraId="7F9BA05E">
            <w:pPr>
              <w:autoSpaceDE w:val="0"/>
              <w:autoSpaceDN w:val="0"/>
              <w:adjustRightInd w:val="0"/>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w:t>
            </w:r>
          </w:p>
        </w:tc>
        <w:tc>
          <w:tcPr>
            <w:tcW w:w="1677" w:type="dxa"/>
            <w:tcBorders>
              <w:top w:val="single" w:color="auto" w:sz="4" w:space="0"/>
              <w:left w:val="single" w:color="auto" w:sz="4" w:space="0"/>
              <w:bottom w:val="single" w:color="auto" w:sz="4" w:space="0"/>
              <w:right w:val="single" w:color="auto" w:sz="4" w:space="0"/>
            </w:tcBorders>
            <w:vAlign w:val="center"/>
          </w:tcPr>
          <w:p w14:paraId="10643FA5">
            <w:pPr>
              <w:autoSpaceDE w:val="0"/>
              <w:autoSpaceDN w:val="0"/>
              <w:adjustRightInd w:val="0"/>
              <w:spacing w:after="0" w:line="240" w:lineRule="auto"/>
              <w:jc w:val="center"/>
              <w:rPr>
                <w:rFonts w:ascii="Times New Roman" w:hAnsi="Times New Roman" w:cs="Times New Roman"/>
                <w:sz w:val="24"/>
                <w:szCs w:val="24"/>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70EA5C67">
            <w:pPr>
              <w:autoSpaceDE w:val="0"/>
              <w:autoSpaceDN w:val="0"/>
              <w:adjustRightInd w:val="0"/>
              <w:spacing w:after="0" w:line="240" w:lineRule="auto"/>
              <w:jc w:val="center"/>
              <w:rPr>
                <w:rFonts w:ascii="Times New Roman" w:hAnsi="Times New Roman" w:cs="Times New Roman"/>
                <w:sz w:val="24"/>
                <w:szCs w:val="24"/>
              </w:rPr>
            </w:pPr>
          </w:p>
        </w:tc>
      </w:tr>
      <w:tr w14:paraId="139932DB">
        <w:tblPrEx>
          <w:tblCellMar>
            <w:top w:w="102" w:type="dxa"/>
            <w:left w:w="62" w:type="dxa"/>
            <w:bottom w:w="102" w:type="dxa"/>
            <w:right w:w="62" w:type="dxa"/>
          </w:tblCellMar>
        </w:tblPrEx>
        <w:trPr>
          <w:gridBefore w:val="1"/>
          <w:wBefore w:w="67" w:type="dxa"/>
        </w:trPr>
        <w:tc>
          <w:tcPr>
            <w:tcW w:w="14288" w:type="dxa"/>
            <w:gridSpan w:val="8"/>
            <w:tcBorders>
              <w:top w:val="single" w:color="auto" w:sz="4" w:space="0"/>
              <w:left w:val="single" w:color="auto" w:sz="4" w:space="0"/>
              <w:bottom w:val="single" w:color="auto" w:sz="4" w:space="0"/>
              <w:right w:val="single" w:color="auto" w:sz="4" w:space="0"/>
            </w:tcBorders>
          </w:tcPr>
          <w:p w14:paraId="609EB6C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1417" w:type="dxa"/>
            <w:gridSpan w:val="2"/>
            <w:tcBorders>
              <w:top w:val="single" w:color="auto" w:sz="4" w:space="0"/>
              <w:left w:val="single" w:color="auto" w:sz="4" w:space="0"/>
              <w:bottom w:val="single" w:color="auto" w:sz="4" w:space="0"/>
              <w:right w:val="single" w:color="auto" w:sz="4" w:space="0"/>
            </w:tcBorders>
          </w:tcPr>
          <w:p w14:paraId="43D66979">
            <w:pPr>
              <w:autoSpaceDE w:val="0"/>
              <w:autoSpaceDN w:val="0"/>
              <w:adjustRightInd w:val="0"/>
              <w:spacing w:after="0" w:line="240" w:lineRule="auto"/>
              <w:jc w:val="center"/>
              <w:rPr>
                <w:rFonts w:ascii="Times New Roman" w:hAnsi="Times New Roman" w:cs="Times New Roman"/>
                <w:b/>
                <w:sz w:val="24"/>
                <w:szCs w:val="24"/>
              </w:rPr>
            </w:pPr>
          </w:p>
        </w:tc>
      </w:tr>
    </w:tbl>
    <w:p w14:paraId="7740C49C">
      <w:pPr>
        <w:autoSpaceDE w:val="0"/>
        <w:autoSpaceDN w:val="0"/>
        <w:adjustRightInd w:val="0"/>
        <w:spacing w:after="0" w:line="240" w:lineRule="auto"/>
        <w:rPr>
          <w:rFonts w:ascii="Times New Roman" w:hAnsi="Times New Roman" w:cs="Times New Roman"/>
          <w:sz w:val="24"/>
          <w:szCs w:val="24"/>
        </w:rPr>
      </w:pPr>
    </w:p>
    <w:p w14:paraId="131F8DB7">
      <w:pPr>
        <w:autoSpaceDE w:val="0"/>
        <w:autoSpaceDN w:val="0"/>
        <w:adjustRightInd w:val="0"/>
        <w:spacing w:after="0" w:line="240" w:lineRule="auto"/>
        <w:rPr>
          <w:rFonts w:ascii="Times New Roman" w:hAnsi="Times New Roman" w:cs="Times New Roman"/>
          <w:sz w:val="24"/>
          <w:szCs w:val="24"/>
        </w:rPr>
      </w:pPr>
    </w:p>
    <w:tbl>
      <w:tblPr>
        <w:tblStyle w:val="3"/>
        <w:tblW w:w="0" w:type="auto"/>
        <w:tblInd w:w="0" w:type="dxa"/>
        <w:tblLayout w:type="fixed"/>
        <w:tblCellMar>
          <w:top w:w="102" w:type="dxa"/>
          <w:left w:w="62" w:type="dxa"/>
          <w:bottom w:w="102" w:type="dxa"/>
          <w:right w:w="62" w:type="dxa"/>
        </w:tblCellMar>
      </w:tblPr>
      <w:tblGrid>
        <w:gridCol w:w="3798"/>
        <w:gridCol w:w="1474"/>
        <w:gridCol w:w="3798"/>
      </w:tblGrid>
      <w:tr w14:paraId="74F88444">
        <w:tblPrEx>
          <w:tblCellMar>
            <w:top w:w="102" w:type="dxa"/>
            <w:left w:w="62" w:type="dxa"/>
            <w:bottom w:w="102" w:type="dxa"/>
            <w:right w:w="62" w:type="dxa"/>
          </w:tblCellMar>
        </w:tblPrEx>
        <w:tc>
          <w:tcPr>
            <w:tcW w:w="3798" w:type="dxa"/>
          </w:tcPr>
          <w:p w14:paraId="3964A7F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1474" w:type="dxa"/>
          </w:tcPr>
          <w:p w14:paraId="658BAB61">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3A3A987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Поставщика:</w:t>
            </w:r>
          </w:p>
        </w:tc>
      </w:tr>
      <w:tr w14:paraId="4A18166B">
        <w:tblPrEx>
          <w:tblCellMar>
            <w:top w:w="102" w:type="dxa"/>
            <w:left w:w="62" w:type="dxa"/>
            <w:bottom w:w="102" w:type="dxa"/>
            <w:right w:w="62" w:type="dxa"/>
          </w:tblCellMar>
        </w:tblPrEx>
        <w:tc>
          <w:tcPr>
            <w:tcW w:w="3798" w:type="dxa"/>
            <w:tcBorders>
              <w:bottom w:val="single" w:color="auto" w:sz="4" w:space="0"/>
            </w:tcBorders>
          </w:tcPr>
          <w:p w14:paraId="7CF71FE2">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2F8F129F">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color="auto" w:sz="4" w:space="0"/>
            </w:tcBorders>
          </w:tcPr>
          <w:p w14:paraId="1ECA186F">
            <w:pPr>
              <w:autoSpaceDE w:val="0"/>
              <w:autoSpaceDN w:val="0"/>
              <w:adjustRightInd w:val="0"/>
              <w:spacing w:after="0" w:line="240" w:lineRule="auto"/>
              <w:jc w:val="both"/>
              <w:rPr>
                <w:rFonts w:ascii="Times New Roman" w:hAnsi="Times New Roman" w:cs="Times New Roman"/>
                <w:sz w:val="24"/>
                <w:szCs w:val="24"/>
              </w:rPr>
            </w:pPr>
          </w:p>
        </w:tc>
      </w:tr>
    </w:tbl>
    <w:p w14:paraId="5BC59A1F">
      <w:pPr>
        <w:autoSpaceDE w:val="0"/>
        <w:autoSpaceDN w:val="0"/>
        <w:adjustRightInd w:val="0"/>
        <w:spacing w:after="0" w:line="240" w:lineRule="auto"/>
        <w:outlineLvl w:val="0"/>
        <w:rPr>
          <w:rFonts w:ascii="Times New Roman" w:hAnsi="Times New Roman" w:cs="Times New Roman"/>
          <w:sz w:val="24"/>
          <w:szCs w:val="24"/>
        </w:rPr>
      </w:pPr>
    </w:p>
    <w:sectPr>
      <w:pgSz w:w="16838" w:h="11906" w:orient="landscape"/>
      <w:pgMar w:top="1134" w:right="567" w:bottom="1134" w:left="567"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font887">
    <w:altName w:val="Calibri"/>
    <w:panose1 w:val="00000000000000000000"/>
    <w:charset w:val="CC"/>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gutterAtTop/>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C16723"/>
    <w:rsid w:val="00003B7F"/>
    <w:rsid w:val="00032251"/>
    <w:rsid w:val="00037B87"/>
    <w:rsid w:val="00062B8C"/>
    <w:rsid w:val="00064BAA"/>
    <w:rsid w:val="00065F84"/>
    <w:rsid w:val="00065F8F"/>
    <w:rsid w:val="00093DD0"/>
    <w:rsid w:val="000A2AF7"/>
    <w:rsid w:val="000B0940"/>
    <w:rsid w:val="000B42C1"/>
    <w:rsid w:val="000B4953"/>
    <w:rsid w:val="000D1110"/>
    <w:rsid w:val="000D6D95"/>
    <w:rsid w:val="000E40ED"/>
    <w:rsid w:val="000E573B"/>
    <w:rsid w:val="000F1AF8"/>
    <w:rsid w:val="000F791D"/>
    <w:rsid w:val="001073A3"/>
    <w:rsid w:val="00120D61"/>
    <w:rsid w:val="00125278"/>
    <w:rsid w:val="00142F52"/>
    <w:rsid w:val="0014435B"/>
    <w:rsid w:val="00150059"/>
    <w:rsid w:val="001563E6"/>
    <w:rsid w:val="00176F6A"/>
    <w:rsid w:val="00185E6E"/>
    <w:rsid w:val="001E1E18"/>
    <w:rsid w:val="001E2225"/>
    <w:rsid w:val="002056E8"/>
    <w:rsid w:val="00205C26"/>
    <w:rsid w:val="00227EBB"/>
    <w:rsid w:val="0024121F"/>
    <w:rsid w:val="00262779"/>
    <w:rsid w:val="002636B6"/>
    <w:rsid w:val="002644A3"/>
    <w:rsid w:val="002709BE"/>
    <w:rsid w:val="00276B8A"/>
    <w:rsid w:val="002924FA"/>
    <w:rsid w:val="002C4B48"/>
    <w:rsid w:val="002C4C60"/>
    <w:rsid w:val="002D2F84"/>
    <w:rsid w:val="002E57AC"/>
    <w:rsid w:val="003258F0"/>
    <w:rsid w:val="00325BF4"/>
    <w:rsid w:val="0033015C"/>
    <w:rsid w:val="0033144B"/>
    <w:rsid w:val="00331A4B"/>
    <w:rsid w:val="003326F8"/>
    <w:rsid w:val="00333E3C"/>
    <w:rsid w:val="00335BB4"/>
    <w:rsid w:val="00336659"/>
    <w:rsid w:val="003540C7"/>
    <w:rsid w:val="0035616E"/>
    <w:rsid w:val="00362B61"/>
    <w:rsid w:val="00382F36"/>
    <w:rsid w:val="0038419E"/>
    <w:rsid w:val="00387234"/>
    <w:rsid w:val="00393797"/>
    <w:rsid w:val="0039429C"/>
    <w:rsid w:val="003A212A"/>
    <w:rsid w:val="003A36EA"/>
    <w:rsid w:val="003A41E9"/>
    <w:rsid w:val="003B0CB6"/>
    <w:rsid w:val="003C6AF3"/>
    <w:rsid w:val="003C7C8D"/>
    <w:rsid w:val="003D1DFC"/>
    <w:rsid w:val="00410BDA"/>
    <w:rsid w:val="004124C7"/>
    <w:rsid w:val="004353B8"/>
    <w:rsid w:val="00440415"/>
    <w:rsid w:val="00444F46"/>
    <w:rsid w:val="00455DC4"/>
    <w:rsid w:val="00456448"/>
    <w:rsid w:val="0045699F"/>
    <w:rsid w:val="00492228"/>
    <w:rsid w:val="00497447"/>
    <w:rsid w:val="004A58DA"/>
    <w:rsid w:val="004B538E"/>
    <w:rsid w:val="004B6991"/>
    <w:rsid w:val="004F2946"/>
    <w:rsid w:val="00502528"/>
    <w:rsid w:val="00503486"/>
    <w:rsid w:val="00540F11"/>
    <w:rsid w:val="00576E22"/>
    <w:rsid w:val="00595E7E"/>
    <w:rsid w:val="005C16AA"/>
    <w:rsid w:val="005C1F01"/>
    <w:rsid w:val="005C66ED"/>
    <w:rsid w:val="005D18D0"/>
    <w:rsid w:val="005F1F8C"/>
    <w:rsid w:val="00615606"/>
    <w:rsid w:val="00621E7F"/>
    <w:rsid w:val="00626D64"/>
    <w:rsid w:val="00641AFF"/>
    <w:rsid w:val="006F68F8"/>
    <w:rsid w:val="00723F42"/>
    <w:rsid w:val="0072597A"/>
    <w:rsid w:val="007559B6"/>
    <w:rsid w:val="007642FC"/>
    <w:rsid w:val="00765524"/>
    <w:rsid w:val="00774B1C"/>
    <w:rsid w:val="007758A5"/>
    <w:rsid w:val="0077605D"/>
    <w:rsid w:val="0078025E"/>
    <w:rsid w:val="007879D8"/>
    <w:rsid w:val="007A124C"/>
    <w:rsid w:val="007B1E21"/>
    <w:rsid w:val="007C2C49"/>
    <w:rsid w:val="007C49E9"/>
    <w:rsid w:val="007C5598"/>
    <w:rsid w:val="007D3D4C"/>
    <w:rsid w:val="007F672B"/>
    <w:rsid w:val="00843CF3"/>
    <w:rsid w:val="00851661"/>
    <w:rsid w:val="008554D0"/>
    <w:rsid w:val="0085594B"/>
    <w:rsid w:val="00862224"/>
    <w:rsid w:val="0087199E"/>
    <w:rsid w:val="0088761C"/>
    <w:rsid w:val="008A5605"/>
    <w:rsid w:val="008B3244"/>
    <w:rsid w:val="008C291C"/>
    <w:rsid w:val="008C4049"/>
    <w:rsid w:val="008C67D3"/>
    <w:rsid w:val="008D3B40"/>
    <w:rsid w:val="008D72FB"/>
    <w:rsid w:val="008D7C09"/>
    <w:rsid w:val="008E5E6D"/>
    <w:rsid w:val="008F7F9B"/>
    <w:rsid w:val="00911B2A"/>
    <w:rsid w:val="009128ED"/>
    <w:rsid w:val="00915D80"/>
    <w:rsid w:val="009162DF"/>
    <w:rsid w:val="00916BD8"/>
    <w:rsid w:val="0091717F"/>
    <w:rsid w:val="009279CF"/>
    <w:rsid w:val="00927A47"/>
    <w:rsid w:val="00934A81"/>
    <w:rsid w:val="00942C42"/>
    <w:rsid w:val="00942E78"/>
    <w:rsid w:val="00945E03"/>
    <w:rsid w:val="009505B4"/>
    <w:rsid w:val="009522F2"/>
    <w:rsid w:val="00955568"/>
    <w:rsid w:val="00956FCD"/>
    <w:rsid w:val="00965C4B"/>
    <w:rsid w:val="00982000"/>
    <w:rsid w:val="0098766A"/>
    <w:rsid w:val="0099743A"/>
    <w:rsid w:val="009A3A75"/>
    <w:rsid w:val="009D1512"/>
    <w:rsid w:val="009D20F7"/>
    <w:rsid w:val="00A00EF2"/>
    <w:rsid w:val="00A13F3E"/>
    <w:rsid w:val="00A42736"/>
    <w:rsid w:val="00A67656"/>
    <w:rsid w:val="00A725D8"/>
    <w:rsid w:val="00AA23D6"/>
    <w:rsid w:val="00AC200B"/>
    <w:rsid w:val="00AC7684"/>
    <w:rsid w:val="00AD6757"/>
    <w:rsid w:val="00AE0386"/>
    <w:rsid w:val="00AF1B52"/>
    <w:rsid w:val="00AF46C0"/>
    <w:rsid w:val="00AF553E"/>
    <w:rsid w:val="00B02DB6"/>
    <w:rsid w:val="00B03E11"/>
    <w:rsid w:val="00B2420E"/>
    <w:rsid w:val="00B30C86"/>
    <w:rsid w:val="00B33336"/>
    <w:rsid w:val="00B34187"/>
    <w:rsid w:val="00B44F3A"/>
    <w:rsid w:val="00B623B2"/>
    <w:rsid w:val="00B63CE8"/>
    <w:rsid w:val="00B658B0"/>
    <w:rsid w:val="00B65D77"/>
    <w:rsid w:val="00B67135"/>
    <w:rsid w:val="00B77949"/>
    <w:rsid w:val="00B82861"/>
    <w:rsid w:val="00BB28F7"/>
    <w:rsid w:val="00BC1B0A"/>
    <w:rsid w:val="00BC50B9"/>
    <w:rsid w:val="00BC6ABF"/>
    <w:rsid w:val="00BD3190"/>
    <w:rsid w:val="00BD6004"/>
    <w:rsid w:val="00BE1123"/>
    <w:rsid w:val="00BE1CD4"/>
    <w:rsid w:val="00BE41E9"/>
    <w:rsid w:val="00C0039E"/>
    <w:rsid w:val="00C06D03"/>
    <w:rsid w:val="00C156B9"/>
    <w:rsid w:val="00C16064"/>
    <w:rsid w:val="00C16723"/>
    <w:rsid w:val="00C305BA"/>
    <w:rsid w:val="00C42176"/>
    <w:rsid w:val="00C44899"/>
    <w:rsid w:val="00C55E37"/>
    <w:rsid w:val="00C6208E"/>
    <w:rsid w:val="00CA1E95"/>
    <w:rsid w:val="00CA3B12"/>
    <w:rsid w:val="00CA48E7"/>
    <w:rsid w:val="00CB17DA"/>
    <w:rsid w:val="00CC3827"/>
    <w:rsid w:val="00CC4525"/>
    <w:rsid w:val="00CD2045"/>
    <w:rsid w:val="00CD2DD4"/>
    <w:rsid w:val="00CD313E"/>
    <w:rsid w:val="00CD7922"/>
    <w:rsid w:val="00CE557B"/>
    <w:rsid w:val="00CE6766"/>
    <w:rsid w:val="00D50D83"/>
    <w:rsid w:val="00D64D64"/>
    <w:rsid w:val="00D8167C"/>
    <w:rsid w:val="00D86FB4"/>
    <w:rsid w:val="00DA27F0"/>
    <w:rsid w:val="00DE6601"/>
    <w:rsid w:val="00E10AC3"/>
    <w:rsid w:val="00E14BDC"/>
    <w:rsid w:val="00E15C5C"/>
    <w:rsid w:val="00E17FC2"/>
    <w:rsid w:val="00E26488"/>
    <w:rsid w:val="00E3071D"/>
    <w:rsid w:val="00E50142"/>
    <w:rsid w:val="00E54526"/>
    <w:rsid w:val="00E5650A"/>
    <w:rsid w:val="00E617AC"/>
    <w:rsid w:val="00E64848"/>
    <w:rsid w:val="00E804E1"/>
    <w:rsid w:val="00ED729D"/>
    <w:rsid w:val="00EE3359"/>
    <w:rsid w:val="00EF2FC1"/>
    <w:rsid w:val="00F00860"/>
    <w:rsid w:val="00F24556"/>
    <w:rsid w:val="00F25257"/>
    <w:rsid w:val="00F255E6"/>
    <w:rsid w:val="00F33BA6"/>
    <w:rsid w:val="00F461EF"/>
    <w:rsid w:val="00F6643B"/>
    <w:rsid w:val="00F84DC9"/>
    <w:rsid w:val="00F90FC1"/>
    <w:rsid w:val="00F93F2F"/>
    <w:rsid w:val="00FC4BA4"/>
    <w:rsid w:val="00FD3D48"/>
    <w:rsid w:val="00FD7586"/>
    <w:rsid w:val="00FD7B65"/>
    <w:rsid w:val="00FE755A"/>
    <w:rsid w:val="00FF0FE0"/>
    <w:rsid w:val="00FF2D38"/>
    <w:rsid w:val="2D0A5826"/>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rPr>
  </w:style>
  <w:style w:type="character" w:styleId="5">
    <w:name w:val="Strong"/>
    <w:basedOn w:val="2"/>
    <w:qFormat/>
    <w:uiPriority w:val="22"/>
    <w:rPr>
      <w:b/>
      <w:bCs/>
    </w:rPr>
  </w:style>
  <w:style w:type="character" w:customStyle="1" w:styleId="6">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5121A-48A9-4600-AF9F-C631E27B747B}">
  <ds:schemaRefs/>
</ds:datastoreItem>
</file>

<file path=docProps/app.xml><?xml version="1.0" encoding="utf-8"?>
<Properties xmlns="http://schemas.openxmlformats.org/officeDocument/2006/extended-properties" xmlns:vt="http://schemas.openxmlformats.org/officeDocument/2006/docPropsVTypes">
  <Template>Normal</Template>
  <Pages>14</Pages>
  <Words>6302</Words>
  <Characters>35925</Characters>
  <Lines>299</Lines>
  <Paragraphs>84</Paragraphs>
  <TotalTime>729</TotalTime>
  <ScaleCrop>false</ScaleCrop>
  <LinksUpToDate>false</LinksUpToDate>
  <CharactersWithSpaces>42143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2024-02-12T07:18:00Z</dcterms:created>
  <dc:creator>PKC</dc:creator>
  <cp:lastModifiedBy>Виктория</cp:lastModifiedBy>
  <cp:lastPrinted>2025-02-10T21:17:00Z</cp:lastPrinted>
  <dcterms:modified xsi:type="dcterms:W3CDTF">2026-04-29T09:00:12Z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6F6129DDF842495FA575EF49B6578730_12</vt:lpwstr>
  </property>
</Properties>
</file>