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header+xml" PartName="/word/header5.xml"/>
  <Override ContentType="application/vnd.openxmlformats-officedocument.wordprocessingml.header+xml" PartName="/word/header6.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10000000">
      <w:pPr>
        <w:widowControl w:val="1"/>
        <w:spacing w:after="120"/>
        <w:ind/>
        <w:jc w:val="center"/>
        <w:rPr>
          <w:b w:val="1"/>
          <w:sz w:val="22"/>
        </w:rPr>
      </w:pPr>
      <w:r>
        <w:rPr>
          <w:b w:val="1"/>
          <w:sz w:val="22"/>
        </w:rPr>
        <w:t>К</w:t>
      </w:r>
      <w:r>
        <w:rPr>
          <w:b w:val="1"/>
          <w:sz w:val="22"/>
        </w:rPr>
        <w:t xml:space="preserve">онтракт </w:t>
      </w:r>
      <w:r>
        <w:rPr>
          <w:b w:val="1"/>
          <w:sz w:val="22"/>
        </w:rPr>
        <w:t xml:space="preserve">№ </w:t>
      </w:r>
      <w:r>
        <w:rPr>
          <w:b w:val="1"/>
          <w:sz w:val="22"/>
        </w:rPr>
        <w:t>АКАР</w:t>
      </w:r>
      <w:r>
        <w:rPr>
          <w:b w:val="1"/>
          <w:sz w:val="22"/>
        </w:rPr>
        <w:t xml:space="preserve">- </w:t>
      </w:r>
      <w:r>
        <w:rPr>
          <w:b w:val="1"/>
          <w:sz w:val="22"/>
        </w:rPr>
        <w:t>109</w:t>
      </w:r>
    </w:p>
    <w:p w14:paraId="11000000">
      <w:pPr>
        <w:widowControl w:val="1"/>
        <w:ind/>
        <w:jc w:val="center"/>
        <w:rPr>
          <w:b w:val="1"/>
          <w:sz w:val="22"/>
        </w:rPr>
      </w:pPr>
    </w:p>
    <w:p w14:paraId="12000000">
      <w:pPr>
        <w:widowControl w:val="1"/>
        <w:ind/>
        <w:jc w:val="center"/>
        <w:rPr>
          <w:sz w:val="22"/>
        </w:rPr>
      </w:pPr>
      <w:r>
        <w:rPr>
          <w:sz w:val="22"/>
        </w:rPr>
        <w:t>Санкт – Петербург</w:t>
      </w:r>
      <w:r>
        <w:rPr>
          <w:sz w:val="22"/>
        </w:rPr>
        <w:tab/>
      </w:r>
      <w:r>
        <w:rPr>
          <w:sz w:val="22"/>
        </w:rPr>
        <w:tab/>
      </w:r>
      <w:r>
        <w:rPr>
          <w:sz w:val="22"/>
        </w:rPr>
        <w:tab/>
      </w:r>
      <w:r>
        <w:rPr>
          <w:sz w:val="22"/>
        </w:rPr>
        <w:t xml:space="preserve">                                 </w:t>
      </w:r>
      <w:r>
        <w:rPr>
          <w:sz w:val="22"/>
        </w:rPr>
        <w:tab/>
      </w:r>
      <w:r>
        <w:rPr>
          <w:sz w:val="22"/>
        </w:rPr>
        <w:tab/>
      </w:r>
      <w:r>
        <w:rPr>
          <w:sz w:val="22"/>
        </w:rPr>
        <w:t xml:space="preserve">              </w:t>
      </w:r>
      <w:r>
        <w:rPr>
          <w:color w:val="000000"/>
          <w:sz w:val="22"/>
        </w:rPr>
        <w:t>«_»_</w:t>
      </w:r>
      <w:r>
        <w:rPr>
          <w:sz w:val="22"/>
        </w:rPr>
        <w:t xml:space="preserve"> </w:t>
      </w:r>
      <w:r>
        <w:rPr>
          <w:sz w:val="22"/>
        </w:rPr>
        <w:t>2026</w:t>
      </w:r>
      <w:r>
        <w:rPr>
          <w:sz w:val="22"/>
        </w:rPr>
        <w:t xml:space="preserve"> </w:t>
      </w:r>
      <w:r>
        <w:rPr>
          <w:sz w:val="22"/>
        </w:rPr>
        <w:t>г.</w:t>
      </w:r>
    </w:p>
    <w:p w14:paraId="13000000">
      <w:pPr>
        <w:widowControl w:val="1"/>
        <w:ind/>
        <w:jc w:val="both"/>
        <w:rPr>
          <w:sz w:val="22"/>
        </w:rPr>
      </w:pPr>
    </w:p>
    <w:p w14:paraId="14000000">
      <w:pPr>
        <w:widowControl w:val="1"/>
        <w:spacing w:after="120"/>
        <w:ind w:firstLine="709"/>
        <w:jc w:val="both"/>
        <w:rPr>
          <w:sz w:val="22"/>
        </w:rPr>
      </w:pPr>
      <w:r>
        <w:rPr>
          <w:sz w:val="22"/>
        </w:rPr>
        <w:t>Государственное бюджетное дошкольное образовательное учреждение детский сад № 109 комбинированного вида Фрунзенского района Санкт-Петербурга</w:t>
      </w:r>
      <w:r>
        <w:rPr>
          <w:sz w:val="22"/>
        </w:rPr>
        <w:t>,</w:t>
      </w:r>
      <w:r>
        <w:rPr>
          <w:sz w:val="22"/>
        </w:rPr>
        <w:t xml:space="preserve"> </w:t>
      </w:r>
      <w:r>
        <w:rPr>
          <w:sz w:val="22"/>
        </w:rPr>
        <w:t>в лице</w:t>
      </w:r>
      <w:r>
        <w:rPr>
          <w:sz w:val="22"/>
        </w:rPr>
        <w:t xml:space="preserve"> </w:t>
      </w:r>
      <w:r>
        <w:rPr>
          <w:sz w:val="22"/>
        </w:rPr>
        <w:t>Заведующего</w:t>
      </w:r>
      <w:r>
        <w:rPr>
          <w:sz w:val="22"/>
        </w:rPr>
        <w:t xml:space="preserve"> </w:t>
      </w:r>
      <w:r>
        <w:rPr>
          <w:sz w:val="22"/>
        </w:rPr>
        <w:t>Лозы Оксаны Анатольевны</w:t>
      </w:r>
      <w:r>
        <w:rPr>
          <w:sz w:val="22"/>
        </w:rPr>
        <w:t xml:space="preserve">, </w:t>
      </w:r>
      <w:r>
        <w:rPr>
          <w:sz w:val="22"/>
        </w:rPr>
        <w:t>действующего на основании</w:t>
      </w:r>
      <w:r>
        <w:rPr>
          <w:sz w:val="22"/>
        </w:rPr>
        <w:t xml:space="preserve"> Устава</w:t>
      </w:r>
      <w:r>
        <w:rPr>
          <w:sz w:val="22"/>
        </w:rPr>
        <w:t>, именуемое в дальнейшем Заказчик, с одной стороны, и</w:t>
      </w:r>
      <w:r>
        <w:rPr>
          <w:sz w:val="22"/>
        </w:rPr>
        <w:t xml:space="preserve"> </w:t>
      </w:r>
      <w:r>
        <w:rPr>
          <w:sz w:val="22"/>
        </w:rPr>
        <w:t>______________</w:t>
      </w:r>
      <w:r>
        <w:rPr>
          <w:sz w:val="22"/>
        </w:rPr>
        <w:t>, в лице</w:t>
      </w:r>
      <w:r>
        <w:rPr>
          <w:sz w:val="22"/>
        </w:rPr>
        <w:t xml:space="preserve"> </w:t>
      </w:r>
      <w:r>
        <w:rPr>
          <w:sz w:val="22"/>
        </w:rPr>
        <w:t>_____ __________</w:t>
      </w:r>
      <w:r>
        <w:rPr>
          <w:sz w:val="22"/>
        </w:rPr>
        <w:t>,</w:t>
      </w:r>
      <w:r>
        <w:rPr>
          <w:sz w:val="22"/>
        </w:rPr>
        <w:t xml:space="preserve"> действующего на основании</w:t>
      </w:r>
      <w:r>
        <w:rPr>
          <w:sz w:val="22"/>
        </w:rPr>
        <w:t xml:space="preserve"> </w:t>
      </w:r>
      <w:r>
        <w:rPr>
          <w:sz w:val="22"/>
        </w:rPr>
        <w:t>___________</w:t>
      </w:r>
      <w:r>
        <w:rPr>
          <w:sz w:val="22"/>
        </w:rPr>
        <w:t>,</w:t>
      </w:r>
      <w:r>
        <w:rPr>
          <w:sz w:val="22"/>
        </w:rPr>
        <w:t xml:space="preserve"> именуемое в дальнейшем Исполнитель, с другой стороны (далее именуемые - стороны), заключили настоящий контракт (далее – Контракт) о нижеследующем:</w:t>
      </w:r>
    </w:p>
    <w:p w14:paraId="15000000">
      <w:pPr>
        <w:widowControl w:val="1"/>
        <w:ind w:firstLine="680"/>
        <w:jc w:val="center"/>
        <w:rPr>
          <w:sz w:val="22"/>
        </w:rPr>
      </w:pPr>
    </w:p>
    <w:p w14:paraId="16000000">
      <w:pPr>
        <w:pStyle w:val="Style_2"/>
        <w:widowControl w:val="1"/>
        <w:ind w:firstLine="567"/>
        <w:jc w:val="center"/>
        <w:rPr>
          <w:rFonts w:ascii="Times New Roman" w:hAnsi="Times New Roman"/>
          <w:color w:val="000000"/>
          <w:sz w:val="22"/>
        </w:rPr>
      </w:pPr>
      <w:r>
        <w:rPr>
          <w:rFonts w:ascii="Times New Roman" w:hAnsi="Times New Roman"/>
          <w:color w:val="000000"/>
          <w:sz w:val="22"/>
        </w:rPr>
        <w:t>1. Предмет контракта</w:t>
      </w:r>
    </w:p>
    <w:p w14:paraId="17000000">
      <w:pPr>
        <w:pStyle w:val="Style_2"/>
        <w:widowControl w:val="1"/>
        <w:ind/>
        <w:jc w:val="center"/>
        <w:rPr>
          <w:rFonts w:ascii="Times New Roman" w:hAnsi="Times New Roman"/>
          <w:color w:val="000000"/>
          <w:sz w:val="22"/>
        </w:rPr>
      </w:pPr>
    </w:p>
    <w:p w14:paraId="18000000">
      <w:pPr>
        <w:widowControl w:val="0"/>
        <w:ind w:firstLine="709"/>
        <w:jc w:val="both"/>
        <w:rPr>
          <w:color w:val="000000"/>
          <w:sz w:val="22"/>
        </w:rPr>
      </w:pPr>
      <w:r>
        <w:rPr>
          <w:color w:val="000000"/>
          <w:sz w:val="22"/>
        </w:rPr>
        <w:t>1.1.</w:t>
      </w:r>
      <w:r>
        <w:rPr>
          <w:color w:val="000000"/>
          <w:sz w:val="22"/>
        </w:rPr>
        <w:t xml:space="preserve"> </w:t>
      </w:r>
      <w:r>
        <w:rPr>
          <w:color w:val="000000"/>
          <w:sz w:val="22"/>
        </w:rPr>
        <w:t xml:space="preserve">Исполнитель обязуется оказать услуги по </w:t>
      </w:r>
      <w:r>
        <w:rPr>
          <w:b w:val="1"/>
          <w:color w:val="000000"/>
          <w:sz w:val="22"/>
        </w:rPr>
        <w:t>проведению акарицидной обработки</w:t>
      </w:r>
      <w:r>
        <w:rPr>
          <w:color w:val="000000"/>
          <w:sz w:val="22"/>
        </w:rPr>
        <w:t xml:space="preserve"> (далее – услуги)</w:t>
      </w:r>
      <w:r>
        <w:rPr>
          <w:color w:val="000000"/>
          <w:sz w:val="22"/>
        </w:rPr>
        <w:t xml:space="preserve"> </w:t>
      </w:r>
      <w:r>
        <w:rPr>
          <w:color w:val="000000"/>
          <w:sz w:val="22"/>
        </w:rPr>
        <w:t>по адресу</w:t>
      </w:r>
      <w:r>
        <w:rPr>
          <w:color w:val="000000"/>
          <w:sz w:val="22"/>
        </w:rPr>
        <w:t>:</w:t>
      </w:r>
      <w:r>
        <w:rPr>
          <w:sz w:val="22"/>
        </w:rPr>
        <w:t xml:space="preserve"> </w:t>
      </w:r>
      <w:r>
        <w:rPr>
          <w:sz w:val="22"/>
        </w:rPr>
        <w:t>г Санкт-Петербург, вн.тер.г. муниципальный округ Балканский, пр-кт Дунайский, д. 33 к. 3 литера А</w:t>
      </w:r>
      <w:r>
        <w:rPr>
          <w:sz w:val="22"/>
        </w:rPr>
        <w:t xml:space="preserve">, площадь </w:t>
      </w:r>
      <w:r>
        <w:rPr>
          <w:color w:val="000000"/>
          <w:sz w:val="22"/>
        </w:rPr>
        <w:t>0,787 га</w:t>
      </w:r>
      <w:r>
        <w:rPr>
          <w:sz w:val="22"/>
        </w:rPr>
        <w:t xml:space="preserve"> </w:t>
      </w:r>
      <w:r>
        <w:rPr>
          <w:color w:val="000000"/>
          <w:sz w:val="22"/>
        </w:rPr>
        <w:t>(идентификационный код закупки</w:t>
      </w:r>
      <w:r>
        <w:rPr>
          <w:color w:val="000000"/>
          <w:sz w:val="22"/>
        </w:rPr>
        <w:t xml:space="preserve"> </w:t>
      </w:r>
      <w:r>
        <w:rPr>
          <w:sz w:val="22"/>
        </w:rPr>
        <w:t>262781615652778160100100020000000244</w:t>
      </w:r>
      <w:r>
        <w:rPr>
          <w:color w:val="000000"/>
          <w:sz w:val="22"/>
        </w:rPr>
        <w:t>), а Заказчик обязуется обеспечить оплату оказанных услуг, предусмотренных настоящим контрактом.</w:t>
      </w:r>
    </w:p>
    <w:p w14:paraId="19000000">
      <w:pPr>
        <w:widowControl w:val="1"/>
        <w:ind w:firstLine="709"/>
        <w:jc w:val="both"/>
        <w:rPr>
          <w:color w:val="000000"/>
          <w:sz w:val="22"/>
        </w:rPr>
      </w:pPr>
      <w:r>
        <w:rPr>
          <w:color w:val="000000"/>
          <w:sz w:val="22"/>
        </w:rPr>
        <w:t xml:space="preserve">Исполнитель </w:t>
      </w:r>
      <w:r>
        <w:rPr>
          <w:color w:val="000000"/>
          <w:sz w:val="22"/>
        </w:rPr>
        <w:t>оказ</w:t>
      </w:r>
      <w:r>
        <w:rPr>
          <w:color w:val="000000"/>
          <w:sz w:val="22"/>
        </w:rPr>
        <w:t>ывает</w:t>
      </w:r>
      <w:r>
        <w:rPr>
          <w:color w:val="000000"/>
          <w:sz w:val="22"/>
        </w:rPr>
        <w:t xml:space="preserve"> услуги </w:t>
      </w:r>
      <w:r>
        <w:rPr>
          <w:color w:val="000000"/>
          <w:sz w:val="22"/>
        </w:rPr>
        <w:t>в соответствии с условиями н</w:t>
      </w:r>
      <w:r>
        <w:rPr>
          <w:color w:val="000000"/>
          <w:sz w:val="22"/>
        </w:rPr>
        <w:t>а</w:t>
      </w:r>
      <w:r>
        <w:rPr>
          <w:color w:val="000000"/>
          <w:sz w:val="22"/>
        </w:rPr>
        <w:t>стоящего контра</w:t>
      </w:r>
      <w:r>
        <w:rPr>
          <w:color w:val="000000"/>
          <w:sz w:val="22"/>
        </w:rPr>
        <w:t xml:space="preserve">кта, в том числе </w:t>
      </w:r>
      <w:r>
        <w:rPr>
          <w:color w:val="000000"/>
          <w:sz w:val="22"/>
        </w:rPr>
        <w:t>П</w:t>
      </w:r>
      <w:r>
        <w:rPr>
          <w:color w:val="000000"/>
          <w:sz w:val="22"/>
        </w:rPr>
        <w:t xml:space="preserve">риложениями </w:t>
      </w:r>
      <w:r>
        <w:rPr>
          <w:color w:val="000000"/>
          <w:sz w:val="22"/>
        </w:rPr>
        <w:t>№№</w:t>
      </w:r>
      <w:r>
        <w:rPr>
          <w:color w:val="000000"/>
          <w:sz w:val="22"/>
        </w:rPr>
        <w:t>1</w:t>
      </w:r>
      <w:r>
        <w:rPr>
          <w:color w:val="000000"/>
          <w:sz w:val="22"/>
        </w:rPr>
        <w:t>,</w:t>
      </w:r>
      <w:r>
        <w:rPr>
          <w:color w:val="000000"/>
          <w:sz w:val="22"/>
        </w:rPr>
        <w:t xml:space="preserve"> </w:t>
      </w:r>
      <w:r>
        <w:rPr>
          <w:color w:val="000000"/>
          <w:sz w:val="22"/>
        </w:rPr>
        <w:t>2</w:t>
      </w:r>
      <w:r>
        <w:rPr>
          <w:color w:val="000000"/>
          <w:sz w:val="22"/>
        </w:rPr>
        <w:t xml:space="preserve"> к настоящему </w:t>
      </w:r>
      <w:r>
        <w:rPr>
          <w:color w:val="000000"/>
          <w:sz w:val="22"/>
        </w:rPr>
        <w:t>к</w:t>
      </w:r>
      <w:r>
        <w:rPr>
          <w:color w:val="000000"/>
          <w:sz w:val="22"/>
        </w:rPr>
        <w:t>онтракту</w:t>
      </w:r>
      <w:r>
        <w:rPr>
          <w:color w:val="000000"/>
          <w:sz w:val="22"/>
        </w:rPr>
        <w:t xml:space="preserve">. </w:t>
      </w:r>
    </w:p>
    <w:p w14:paraId="1A000000">
      <w:pPr>
        <w:widowControl w:val="1"/>
        <w:ind/>
        <w:jc w:val="center"/>
        <w:rPr>
          <w:color w:val="000000"/>
          <w:sz w:val="22"/>
        </w:rPr>
      </w:pPr>
    </w:p>
    <w:p w14:paraId="1B000000">
      <w:pPr>
        <w:widowControl w:val="1"/>
        <w:ind w:firstLine="709"/>
        <w:jc w:val="center"/>
        <w:rPr>
          <w:b w:val="1"/>
          <w:sz w:val="22"/>
        </w:rPr>
      </w:pPr>
    </w:p>
    <w:p w14:paraId="1C000000">
      <w:pPr>
        <w:widowControl w:val="1"/>
        <w:ind w:firstLine="709"/>
        <w:jc w:val="center"/>
        <w:rPr>
          <w:b w:val="1"/>
          <w:sz w:val="22"/>
        </w:rPr>
      </w:pPr>
      <w:r>
        <w:rPr>
          <w:b w:val="1"/>
          <w:sz w:val="22"/>
        </w:rPr>
        <w:t>2</w:t>
      </w:r>
      <w:r>
        <w:rPr>
          <w:b w:val="1"/>
          <w:sz w:val="22"/>
        </w:rPr>
        <w:t xml:space="preserve">. Срок </w:t>
      </w:r>
      <w:r>
        <w:rPr>
          <w:b w:val="1"/>
          <w:sz w:val="22"/>
        </w:rPr>
        <w:t>оказания услуг</w:t>
      </w:r>
    </w:p>
    <w:p w14:paraId="1D000000">
      <w:pPr>
        <w:widowControl w:val="1"/>
        <w:ind w:firstLine="709"/>
        <w:rPr>
          <w:sz w:val="22"/>
        </w:rPr>
      </w:pPr>
    </w:p>
    <w:p w14:paraId="1E000000">
      <w:pPr>
        <w:pStyle w:val="Style_3"/>
        <w:widowControl w:val="1"/>
        <w:ind w:firstLine="709" w:left="0"/>
        <w:jc w:val="both"/>
        <w:rPr>
          <w:b w:val="1"/>
          <w:color w:val="000000"/>
          <w:sz w:val="22"/>
        </w:rPr>
      </w:pPr>
      <w:r>
        <w:rPr>
          <w:sz w:val="22"/>
        </w:rPr>
        <w:t>2.1. Срок оказания услуг:</w:t>
      </w:r>
      <w:r>
        <w:rPr>
          <w:sz w:val="22"/>
        </w:rPr>
        <w:t xml:space="preserve"> с</w:t>
      </w:r>
      <w:r>
        <w:rPr>
          <w:sz w:val="22"/>
        </w:rPr>
        <w:t xml:space="preserve"> </w:t>
      </w:r>
      <w:r>
        <w:rPr>
          <w:sz w:val="22"/>
        </w:rPr>
        <w:t>25.</w:t>
      </w:r>
      <w:r>
        <w:rPr>
          <w:sz w:val="22"/>
        </w:rPr>
        <w:t>05.</w:t>
      </w:r>
      <w:r>
        <w:rPr>
          <w:sz w:val="22"/>
        </w:rPr>
        <w:t>20</w:t>
      </w:r>
      <w:r>
        <w:rPr>
          <w:sz w:val="22"/>
        </w:rPr>
        <w:t>26 по 31.07</w:t>
      </w:r>
      <w:r>
        <w:rPr>
          <w:sz w:val="22"/>
        </w:rPr>
        <w:t>.</w:t>
      </w:r>
      <w:r>
        <w:rPr>
          <w:sz w:val="22"/>
        </w:rPr>
        <w:t>20</w:t>
      </w:r>
      <w:r>
        <w:rPr>
          <w:sz w:val="22"/>
        </w:rPr>
        <w:t xml:space="preserve">26 </w:t>
      </w:r>
      <w:r>
        <w:rPr>
          <w:sz w:val="22"/>
        </w:rPr>
        <w:t>(</w:t>
      </w:r>
      <w:r>
        <w:rPr>
          <w:sz w:val="22"/>
        </w:rPr>
        <w:t>включительно</w:t>
      </w:r>
      <w:r>
        <w:rPr>
          <w:sz w:val="22"/>
        </w:rPr>
        <w:t>)</w:t>
      </w:r>
      <w:r>
        <w:rPr>
          <w:sz w:val="22"/>
        </w:rPr>
        <w:t xml:space="preserve">. </w:t>
      </w:r>
    </w:p>
    <w:p w14:paraId="1F000000">
      <w:pPr>
        <w:pStyle w:val="Style_2"/>
        <w:rPr>
          <w:rFonts w:ascii="Times New Roman" w:hAnsi="Times New Roman"/>
          <w:b w:val="0"/>
          <w:color w:val="000000"/>
          <w:sz w:val="22"/>
        </w:rPr>
      </w:pPr>
    </w:p>
    <w:p w14:paraId="20000000">
      <w:pPr>
        <w:pStyle w:val="Style_2"/>
        <w:widowControl w:val="1"/>
        <w:ind w:firstLine="3402"/>
        <w:rPr>
          <w:rFonts w:ascii="Times New Roman" w:hAnsi="Times New Roman"/>
          <w:color w:val="000000"/>
          <w:sz w:val="22"/>
        </w:rPr>
      </w:pPr>
      <w:r>
        <w:rPr>
          <w:rFonts w:ascii="Times New Roman" w:hAnsi="Times New Roman"/>
          <w:color w:val="000000"/>
          <w:sz w:val="22"/>
        </w:rPr>
        <w:t>3</w:t>
      </w:r>
      <w:r>
        <w:rPr>
          <w:rFonts w:ascii="Times New Roman" w:hAnsi="Times New Roman"/>
          <w:color w:val="000000"/>
          <w:sz w:val="22"/>
        </w:rPr>
        <w:t>. Цена контракта и порядок расчетов</w:t>
      </w:r>
    </w:p>
    <w:p w14:paraId="21000000">
      <w:pPr>
        <w:pStyle w:val="Style_2"/>
        <w:widowControl w:val="1"/>
        <w:ind/>
        <w:jc w:val="center"/>
        <w:rPr>
          <w:rFonts w:ascii="Times New Roman" w:hAnsi="Times New Roman"/>
          <w:color w:val="000000"/>
          <w:sz w:val="22"/>
        </w:rPr>
      </w:pPr>
    </w:p>
    <w:p w14:paraId="22000000">
      <w:pPr>
        <w:widowControl w:val="1"/>
        <w:ind w:firstLine="709"/>
        <w:jc w:val="both"/>
        <w:rPr>
          <w:sz w:val="22"/>
        </w:rPr>
      </w:pPr>
      <w:r>
        <w:rPr>
          <w:sz w:val="22"/>
        </w:rPr>
        <w:t>3</w:t>
      </w:r>
      <w:r>
        <w:rPr>
          <w:sz w:val="22"/>
        </w:rPr>
        <w:t>.1</w:t>
      </w:r>
      <w:r>
        <w:rPr>
          <w:sz w:val="22"/>
        </w:rPr>
        <w:t xml:space="preserve"> </w:t>
      </w:r>
      <w:r>
        <w:rPr>
          <w:sz w:val="22"/>
        </w:rPr>
        <w:t>Цена настоящего Контракта составляет _________ рублей ______ копеек (___________), включая НДС ____ рублей __ копеек (_____________). (НДС не облагается, основание ____</w:t>
      </w:r>
      <w:r>
        <w:rPr>
          <w:sz w:val="22"/>
        </w:rPr>
        <w:t>)</w:t>
      </w:r>
      <w:r>
        <w:rPr>
          <w:sz w:val="22"/>
        </w:rPr>
        <w:t>,</w:t>
      </w:r>
      <w:r>
        <w:rPr>
          <w:sz w:val="22"/>
        </w:rPr>
        <w:t xml:space="preserve"> в соответствии с приложением №1 к настоящему контракту. </w:t>
      </w:r>
      <w:r>
        <w:rPr>
          <w:sz w:val="22"/>
        </w:rPr>
        <w:t>В цену Контракта включены все расходы, в том числе расходы на уплату налогов, сборов</w:t>
      </w:r>
      <w:r>
        <w:rPr>
          <w:sz w:val="22"/>
        </w:rPr>
        <w:t xml:space="preserve"> и других обязательных платежей, а также прочие расходы, связанные с исполнением настоящего Контракта. </w:t>
      </w:r>
    </w:p>
    <w:p w14:paraId="23000000">
      <w:pPr>
        <w:widowControl w:val="1"/>
        <w:ind w:firstLine="709"/>
        <w:jc w:val="both"/>
        <w:rPr>
          <w:sz w:val="22"/>
        </w:rPr>
      </w:pPr>
      <w:r>
        <w:rPr>
          <w:sz w:val="22"/>
        </w:rPr>
        <w:t>3</w:t>
      </w:r>
      <w:r>
        <w:rPr>
          <w:sz w:val="22"/>
        </w:rPr>
        <w:t>.2.Цена контракта является твердой и определяется на весь срок исполнения контракта.</w:t>
      </w:r>
      <w:r>
        <w:rPr>
          <w:sz w:val="22"/>
        </w:rPr>
        <w:t xml:space="preserve"> </w:t>
      </w:r>
    </w:p>
    <w:p w14:paraId="24000000">
      <w:pPr>
        <w:widowControl w:val="1"/>
        <w:ind w:firstLine="567"/>
        <w:jc w:val="both"/>
        <w:rPr>
          <w:sz w:val="22"/>
        </w:rPr>
      </w:pPr>
      <w:r>
        <w:rPr>
          <w:sz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000000">
      <w:pPr>
        <w:pStyle w:val="Style_4"/>
        <w:widowControl w:val="1"/>
        <w:spacing w:after="0" w:line="240" w:lineRule="auto"/>
        <w:ind w:firstLine="567" w:left="0"/>
        <w:jc w:val="both"/>
        <w:rPr>
          <w:sz w:val="22"/>
        </w:rPr>
      </w:pPr>
      <w:r>
        <w:rPr>
          <w:sz w:val="22"/>
        </w:rPr>
        <w:t>3.3.</w:t>
      </w:r>
      <w:r>
        <w:rPr>
          <w:sz w:val="22"/>
        </w:rPr>
        <w:tab/>
      </w:r>
      <w:r>
        <w:rPr>
          <w:sz w:val="22"/>
        </w:rPr>
        <w:t>Оплата оказанных Исполнителем услуг по настоящему контракту производится Заказчиком</w:t>
      </w:r>
      <w:r>
        <w:rPr>
          <w:sz w:val="22"/>
        </w:rPr>
        <w:t xml:space="preserve"> на основании </w:t>
      </w:r>
      <w:r>
        <w:rPr>
          <w:i w:val="1"/>
          <w:sz w:val="22"/>
        </w:rPr>
        <w:t xml:space="preserve">счета, </w:t>
      </w:r>
      <w:r>
        <w:rPr>
          <w:i w:val="1"/>
          <w:sz w:val="22"/>
        </w:rPr>
        <w:t>счет-фактура,</w:t>
      </w:r>
      <w:r>
        <w:rPr>
          <w:i w:val="1"/>
          <w:sz w:val="22"/>
        </w:rPr>
        <w:t xml:space="preserve"> </w:t>
      </w:r>
      <w:r>
        <w:rPr>
          <w:i w:val="1"/>
          <w:sz w:val="22"/>
        </w:rPr>
        <w:t>представленных Исполнителем,</w:t>
      </w:r>
      <w:r>
        <w:rPr>
          <w:sz w:val="22"/>
        </w:rPr>
        <w:t xml:space="preserve"> акта оказанных услуг, подписанного сторонами в порядке, предусмотренном п. 6 настоящего контракта, </w:t>
      </w:r>
      <w:r>
        <w:rPr>
          <w:color w:val="000000"/>
          <w:sz w:val="22"/>
        </w:rPr>
        <w:t xml:space="preserve">с учетом удержанных сумм неисполненных Исполнителем требований Заказчика </w:t>
      </w:r>
      <w:r>
        <w:rPr>
          <w:sz w:val="22"/>
        </w:rPr>
        <w:t>об уплате неустоек (штрафов, пеней) (при наличии обстоятельств, предусмотренных п. 7 контракта) в срок не превышающий 10 рабочих дней</w:t>
      </w:r>
      <w:r>
        <w:rPr>
          <w:i w:val="1"/>
          <w:sz w:val="22"/>
        </w:rPr>
        <w:t xml:space="preserve"> </w:t>
      </w:r>
      <w:r>
        <w:rPr>
          <w:sz w:val="22"/>
        </w:rPr>
        <w:t xml:space="preserve">с даты подписания Заказчиком акта оказанных услуг. </w:t>
      </w:r>
    </w:p>
    <w:p w14:paraId="26000000">
      <w:pPr>
        <w:widowControl w:val="1"/>
        <w:ind w:firstLine="567"/>
        <w:jc w:val="both"/>
        <w:rPr>
          <w:sz w:val="22"/>
        </w:rPr>
      </w:pPr>
      <w:r>
        <w:rPr>
          <w:sz w:val="22"/>
        </w:rPr>
        <w:t>3.4.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w:t>
      </w:r>
      <w:r>
        <w:rPr>
          <w:sz w:val="22"/>
        </w:rPr>
        <w:t xml:space="preserve"> и муниципальных нужд» (далее – </w:t>
      </w:r>
      <w:r>
        <w:rPr>
          <w:sz w:val="22"/>
        </w:rPr>
        <w:t>Федеральный закон № 44-ФЗ) и контрактом, удерживаются Заказчиком из суммы, подлежащей оплате Исполнителю.</w:t>
      </w:r>
    </w:p>
    <w:p w14:paraId="27000000">
      <w:pPr>
        <w:widowControl w:val="1"/>
        <w:ind w:firstLine="567"/>
        <w:jc w:val="both"/>
        <w:rPr>
          <w:sz w:val="22"/>
        </w:rPr>
      </w:pPr>
      <w:r>
        <w:rPr>
          <w:sz w:val="22"/>
        </w:rPr>
        <w:t>3.5.</w:t>
      </w:r>
      <w:r>
        <w:rPr>
          <w:sz w:val="22"/>
        </w:rPr>
        <w:tab/>
      </w:r>
      <w:r>
        <w:rPr>
          <w:sz w:val="22"/>
        </w:rPr>
        <w:t xml:space="preserve">Оплата </w:t>
      </w:r>
      <w:r>
        <w:rPr>
          <w:color w:val="000000"/>
          <w:spacing w:val="-1"/>
          <w:sz w:val="22"/>
        </w:rPr>
        <w:t>по настоящему контракту</w:t>
      </w:r>
      <w:r>
        <w:rPr>
          <w:sz w:val="22"/>
        </w:rPr>
        <w:t xml:space="preserve"> производится Заказчиком путем перечисления денежных средств на расчетный счет Исполнителя.</w:t>
      </w:r>
    </w:p>
    <w:p w14:paraId="28000000">
      <w:pPr>
        <w:widowControl w:val="1"/>
        <w:ind w:firstLine="567"/>
        <w:jc w:val="both"/>
        <w:rPr>
          <w:sz w:val="22"/>
        </w:rPr>
      </w:pPr>
      <w:r>
        <w:rPr>
          <w:sz w:val="22"/>
        </w:rPr>
        <w:t>3.</w:t>
      </w:r>
      <w:r>
        <w:rPr>
          <w:sz w:val="22"/>
        </w:rPr>
        <w:t>6</w:t>
      </w:r>
      <w:r>
        <w:rPr>
          <w:sz w:val="22"/>
        </w:rPr>
        <w:t>.</w:t>
      </w:r>
      <w:r>
        <w:rPr>
          <w:sz w:val="22"/>
        </w:rPr>
        <w:tab/>
      </w:r>
      <w:r>
        <w:rPr>
          <w:sz w:val="22"/>
        </w:rPr>
        <w:t>Расчеты по к</w:t>
      </w:r>
      <w:r>
        <w:rPr>
          <w:sz w:val="22"/>
        </w:rPr>
        <w:t>онтракту осуществляются в соответствии с правилами безн</w:t>
      </w:r>
      <w:r>
        <w:rPr>
          <w:sz w:val="22"/>
        </w:rPr>
        <w:t>а</w:t>
      </w:r>
      <w:r>
        <w:rPr>
          <w:sz w:val="22"/>
        </w:rPr>
        <w:t>личных расчетов платежными поручениями с учетом казначейской системы оплаты.</w:t>
      </w:r>
    </w:p>
    <w:p w14:paraId="29000000">
      <w:pPr>
        <w:widowControl w:val="1"/>
        <w:ind w:firstLine="567"/>
        <w:jc w:val="both"/>
        <w:rPr>
          <w:sz w:val="22"/>
        </w:rPr>
      </w:pPr>
      <w:r>
        <w:rPr>
          <w:sz w:val="22"/>
        </w:rPr>
        <w:t>3.</w:t>
      </w:r>
      <w:r>
        <w:rPr>
          <w:sz w:val="22"/>
        </w:rPr>
        <w:t>7</w:t>
      </w:r>
      <w:r>
        <w:rPr>
          <w:sz w:val="22"/>
        </w:rPr>
        <w:t>.</w:t>
      </w:r>
      <w:r>
        <w:rPr>
          <w:sz w:val="22"/>
        </w:rPr>
        <w:t xml:space="preserve"> </w:t>
      </w:r>
      <w:r>
        <w:rPr>
          <w:sz w:val="22"/>
        </w:rPr>
        <w:t>Источник финансирования:</w:t>
      </w:r>
      <w:r>
        <w:rPr>
          <w:sz w:val="22"/>
        </w:rPr>
        <w:t xml:space="preserve"> </w:t>
      </w:r>
      <w:r>
        <w:rPr>
          <w:sz w:val="22"/>
        </w:rPr>
        <w:t>внебюджетные средства, средства бюджетных учреждений.</w:t>
      </w:r>
    </w:p>
    <w:p w14:paraId="2A000000">
      <w:pPr>
        <w:widowControl w:val="1"/>
        <w:ind/>
        <w:jc w:val="both"/>
        <w:rPr>
          <w:sz w:val="22"/>
        </w:rPr>
      </w:pPr>
    </w:p>
    <w:p w14:paraId="2B000000">
      <w:pPr>
        <w:pStyle w:val="Style_2"/>
        <w:widowControl w:val="1"/>
        <w:ind/>
        <w:jc w:val="center"/>
        <w:rPr>
          <w:rFonts w:ascii="Times New Roman" w:hAnsi="Times New Roman"/>
          <w:color w:val="000000"/>
          <w:sz w:val="22"/>
        </w:rPr>
      </w:pPr>
      <w:r>
        <w:rPr>
          <w:rFonts w:ascii="Times New Roman" w:hAnsi="Times New Roman"/>
          <w:color w:val="000000"/>
          <w:sz w:val="22"/>
        </w:rPr>
        <w:t>4</w:t>
      </w:r>
      <w:r>
        <w:rPr>
          <w:rFonts w:ascii="Times New Roman" w:hAnsi="Times New Roman"/>
          <w:color w:val="000000"/>
          <w:sz w:val="22"/>
        </w:rPr>
        <w:t xml:space="preserve">. </w:t>
      </w:r>
      <w:r>
        <w:rPr>
          <w:rFonts w:ascii="Times New Roman" w:hAnsi="Times New Roman"/>
          <w:color w:val="000000"/>
          <w:sz w:val="22"/>
        </w:rPr>
        <w:t>О</w:t>
      </w:r>
      <w:r>
        <w:rPr>
          <w:rFonts w:ascii="Times New Roman" w:hAnsi="Times New Roman"/>
          <w:color w:val="000000"/>
          <w:sz w:val="22"/>
        </w:rPr>
        <w:t xml:space="preserve">бязанности сторон </w:t>
      </w:r>
    </w:p>
    <w:p w14:paraId="2C000000">
      <w:pPr>
        <w:pStyle w:val="Style_2"/>
        <w:widowControl w:val="1"/>
        <w:ind/>
        <w:jc w:val="center"/>
        <w:rPr>
          <w:rFonts w:ascii="Times New Roman" w:hAnsi="Times New Roman"/>
          <w:color w:val="000000"/>
          <w:sz w:val="22"/>
        </w:rPr>
      </w:pPr>
    </w:p>
    <w:p w14:paraId="2D000000">
      <w:pPr>
        <w:pStyle w:val="Style_2"/>
        <w:widowControl w:val="1"/>
        <w:ind w:firstLine="709"/>
        <w:rPr>
          <w:rFonts w:ascii="Times New Roman" w:hAnsi="Times New Roman"/>
          <w:b w:val="0"/>
          <w:color w:val="000000"/>
          <w:sz w:val="22"/>
        </w:rPr>
      </w:pPr>
      <w:r>
        <w:rPr>
          <w:rFonts w:ascii="Times New Roman" w:hAnsi="Times New Roman"/>
          <w:b w:val="0"/>
          <w:color w:val="000000"/>
          <w:sz w:val="22"/>
        </w:rPr>
        <w:t>4</w:t>
      </w:r>
      <w:r>
        <w:rPr>
          <w:rFonts w:ascii="Times New Roman" w:hAnsi="Times New Roman"/>
          <w:b w:val="0"/>
          <w:color w:val="000000"/>
          <w:sz w:val="22"/>
        </w:rPr>
        <w:t>.1</w:t>
      </w:r>
      <w:r>
        <w:rPr>
          <w:rFonts w:ascii="Times New Roman" w:hAnsi="Times New Roman"/>
          <w:b w:val="0"/>
          <w:color w:val="000000"/>
          <w:sz w:val="22"/>
        </w:rPr>
        <w:t>.</w:t>
      </w:r>
      <w:r>
        <w:rPr>
          <w:rFonts w:ascii="Times New Roman" w:hAnsi="Times New Roman"/>
          <w:b w:val="0"/>
          <w:color w:val="000000"/>
          <w:sz w:val="22"/>
        </w:rPr>
        <w:t xml:space="preserve"> </w:t>
      </w:r>
      <w:r>
        <w:rPr>
          <w:rFonts w:ascii="Times New Roman" w:hAnsi="Times New Roman"/>
          <w:b w:val="0"/>
          <w:color w:val="000000"/>
          <w:sz w:val="22"/>
        </w:rPr>
        <w:t>Заказчик</w:t>
      </w:r>
      <w:r>
        <w:rPr>
          <w:rFonts w:ascii="Times New Roman" w:hAnsi="Times New Roman"/>
          <w:b w:val="0"/>
          <w:color w:val="000000"/>
          <w:sz w:val="22"/>
        </w:rPr>
        <w:t xml:space="preserve"> обязан</w:t>
      </w:r>
      <w:r>
        <w:rPr>
          <w:rFonts w:ascii="Times New Roman" w:hAnsi="Times New Roman"/>
          <w:b w:val="0"/>
          <w:color w:val="000000"/>
          <w:sz w:val="22"/>
        </w:rPr>
        <w:t>:</w:t>
      </w:r>
    </w:p>
    <w:p w14:paraId="2E000000">
      <w:pPr>
        <w:widowControl w:val="1"/>
        <w:ind w:firstLine="709"/>
        <w:jc w:val="both"/>
        <w:rPr>
          <w:color w:val="000000"/>
          <w:sz w:val="22"/>
        </w:rPr>
      </w:pPr>
      <w:r>
        <w:rPr>
          <w:color w:val="000000"/>
          <w:sz w:val="22"/>
        </w:rPr>
        <w:t>4</w:t>
      </w:r>
      <w:r>
        <w:rPr>
          <w:color w:val="000000"/>
          <w:sz w:val="22"/>
        </w:rPr>
        <w:t>.1.</w:t>
      </w:r>
      <w:r>
        <w:rPr>
          <w:color w:val="000000"/>
          <w:sz w:val="22"/>
        </w:rPr>
        <w:t>1</w:t>
      </w:r>
      <w:r>
        <w:rPr>
          <w:color w:val="000000"/>
          <w:sz w:val="22"/>
        </w:rPr>
        <w:t>.</w:t>
      </w:r>
      <w:r>
        <w:rPr>
          <w:color w:val="000000"/>
          <w:sz w:val="22"/>
        </w:rPr>
        <w:t xml:space="preserve"> </w:t>
      </w:r>
      <w:r>
        <w:rPr>
          <w:color w:val="000000"/>
          <w:sz w:val="22"/>
        </w:rPr>
        <w:t>Осуществлять</w:t>
      </w:r>
      <w:r>
        <w:rPr>
          <w:color w:val="000000"/>
          <w:sz w:val="22"/>
        </w:rPr>
        <w:t xml:space="preserve"> контроль за ходом оказания услуг Исполнителем по н</w:t>
      </w:r>
      <w:r>
        <w:rPr>
          <w:color w:val="000000"/>
          <w:sz w:val="22"/>
        </w:rPr>
        <w:t>а</w:t>
      </w:r>
      <w:r>
        <w:rPr>
          <w:color w:val="000000"/>
          <w:sz w:val="22"/>
        </w:rPr>
        <w:t>стоящему Контракту, не вмешиваясь при этом в оперативно-хозяйственную деятельность И</w:t>
      </w:r>
      <w:r>
        <w:rPr>
          <w:color w:val="000000"/>
          <w:sz w:val="22"/>
        </w:rPr>
        <w:t>с</w:t>
      </w:r>
      <w:r>
        <w:rPr>
          <w:color w:val="000000"/>
          <w:sz w:val="22"/>
        </w:rPr>
        <w:t>полнителя.</w:t>
      </w:r>
    </w:p>
    <w:p w14:paraId="2F000000">
      <w:pPr>
        <w:widowControl w:val="1"/>
        <w:ind w:firstLine="709"/>
        <w:jc w:val="both"/>
        <w:rPr>
          <w:color w:val="000000"/>
          <w:sz w:val="22"/>
        </w:rPr>
      </w:pPr>
      <w:r>
        <w:rPr>
          <w:color w:val="000000"/>
          <w:sz w:val="22"/>
        </w:rPr>
        <w:t>4</w:t>
      </w:r>
      <w:r>
        <w:rPr>
          <w:color w:val="000000"/>
          <w:sz w:val="22"/>
        </w:rPr>
        <w:t>.1.2.</w:t>
      </w:r>
      <w:r>
        <w:rPr>
          <w:color w:val="000000"/>
          <w:sz w:val="22"/>
        </w:rPr>
        <w:t xml:space="preserve"> </w:t>
      </w:r>
      <w:r>
        <w:rPr>
          <w:color w:val="000000"/>
          <w:sz w:val="22"/>
        </w:rPr>
        <w:t xml:space="preserve">Осуществить приемку оказанных услуг на соответствие требованиям настоящего контракта. </w:t>
      </w:r>
    </w:p>
    <w:p w14:paraId="30000000">
      <w:pPr>
        <w:widowControl w:val="1"/>
        <w:ind w:firstLine="709"/>
        <w:jc w:val="both"/>
        <w:rPr>
          <w:color w:val="000000"/>
          <w:sz w:val="22"/>
        </w:rPr>
      </w:pPr>
      <w:r>
        <w:rPr>
          <w:color w:val="000000"/>
          <w:sz w:val="22"/>
        </w:rPr>
        <w:t>4</w:t>
      </w:r>
      <w:r>
        <w:rPr>
          <w:color w:val="000000"/>
          <w:sz w:val="22"/>
        </w:rPr>
        <w:t>.1.3.</w:t>
      </w:r>
      <w:r>
        <w:rPr>
          <w:color w:val="000000"/>
          <w:sz w:val="22"/>
        </w:rPr>
        <w:t xml:space="preserve"> </w:t>
      </w:r>
      <w:r>
        <w:rPr>
          <w:color w:val="000000"/>
          <w:sz w:val="22"/>
        </w:rPr>
        <w:t>Оплатить услуги в порядке и в сроки, предусмотренные н</w:t>
      </w:r>
      <w:r>
        <w:rPr>
          <w:color w:val="000000"/>
          <w:sz w:val="22"/>
        </w:rPr>
        <w:t>а</w:t>
      </w:r>
      <w:r>
        <w:rPr>
          <w:color w:val="000000"/>
          <w:sz w:val="22"/>
        </w:rPr>
        <w:t>стоящим контрактом.</w:t>
      </w:r>
    </w:p>
    <w:p w14:paraId="31000000">
      <w:pPr>
        <w:widowControl w:val="1"/>
        <w:ind w:firstLine="709"/>
        <w:jc w:val="both"/>
        <w:rPr>
          <w:sz w:val="22"/>
        </w:rPr>
      </w:pPr>
      <w:r>
        <w:rPr>
          <w:sz w:val="22"/>
        </w:rPr>
        <w:t>4.1.</w:t>
      </w:r>
      <w:r>
        <w:rPr>
          <w:sz w:val="22"/>
        </w:rPr>
        <w:t>4</w:t>
      </w:r>
      <w:r>
        <w:rPr>
          <w:sz w:val="22"/>
        </w:rPr>
        <w:t>.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32000000">
      <w:pPr>
        <w:widowControl w:val="1"/>
        <w:ind w:firstLine="709"/>
        <w:jc w:val="both"/>
        <w:rPr>
          <w:sz w:val="22"/>
        </w:rPr>
      </w:pPr>
      <w:r>
        <w:rPr>
          <w:sz w:val="22"/>
        </w:rPr>
        <w:t>4</w:t>
      </w:r>
      <w:r>
        <w:rPr>
          <w:sz w:val="22"/>
        </w:rPr>
        <w:t>.2</w:t>
      </w:r>
      <w:r>
        <w:rPr>
          <w:sz w:val="22"/>
        </w:rPr>
        <w:t>.</w:t>
      </w:r>
      <w:r>
        <w:rPr>
          <w:sz w:val="22"/>
        </w:rPr>
        <w:t xml:space="preserve"> </w:t>
      </w:r>
      <w:r>
        <w:rPr>
          <w:sz w:val="22"/>
        </w:rPr>
        <w:t xml:space="preserve">Заказчик </w:t>
      </w:r>
      <w:r>
        <w:rPr>
          <w:sz w:val="22"/>
        </w:rPr>
        <w:t>обеспечивает проведение</w:t>
      </w:r>
      <w:r>
        <w:rPr>
          <w:sz w:val="22"/>
        </w:rPr>
        <w:t xml:space="preserve"> экспертиз</w:t>
      </w:r>
      <w:r>
        <w:rPr>
          <w:sz w:val="22"/>
        </w:rPr>
        <w:t>ы</w:t>
      </w:r>
      <w:r>
        <w:rPr>
          <w:sz w:val="22"/>
        </w:rPr>
        <w:t xml:space="preserve"> </w:t>
      </w:r>
      <w:r>
        <w:rPr>
          <w:sz w:val="22"/>
        </w:rPr>
        <w:t>оказанных услуг</w:t>
      </w:r>
      <w:r>
        <w:rPr>
          <w:sz w:val="22"/>
        </w:rPr>
        <w:t>.</w:t>
      </w:r>
    </w:p>
    <w:p w14:paraId="33000000">
      <w:pPr>
        <w:widowControl w:val="1"/>
        <w:ind w:firstLine="709"/>
        <w:jc w:val="both"/>
        <w:rPr>
          <w:color w:val="000000"/>
          <w:sz w:val="22"/>
        </w:rPr>
      </w:pPr>
      <w:r>
        <w:rPr>
          <w:color w:val="000000"/>
          <w:sz w:val="22"/>
        </w:rPr>
        <w:t>4</w:t>
      </w:r>
      <w:r>
        <w:rPr>
          <w:color w:val="000000"/>
          <w:sz w:val="22"/>
        </w:rPr>
        <w:t>.</w:t>
      </w:r>
      <w:r>
        <w:rPr>
          <w:color w:val="000000"/>
          <w:sz w:val="22"/>
        </w:rPr>
        <w:t>3</w:t>
      </w:r>
      <w:r>
        <w:rPr>
          <w:color w:val="000000"/>
          <w:sz w:val="22"/>
        </w:rPr>
        <w:t>.</w:t>
      </w:r>
      <w:r>
        <w:rPr>
          <w:color w:val="000000"/>
          <w:sz w:val="22"/>
        </w:rPr>
        <w:t xml:space="preserve"> </w:t>
      </w:r>
      <w:r>
        <w:rPr>
          <w:color w:val="000000"/>
          <w:sz w:val="22"/>
        </w:rPr>
        <w:t>Исполнитель обязан</w:t>
      </w:r>
      <w:r>
        <w:rPr>
          <w:color w:val="000000"/>
          <w:sz w:val="22"/>
        </w:rPr>
        <w:t>:</w:t>
      </w:r>
    </w:p>
    <w:p w14:paraId="34000000">
      <w:pPr>
        <w:widowControl w:val="1"/>
        <w:ind w:firstLine="709"/>
        <w:jc w:val="both"/>
        <w:rPr>
          <w:color w:val="000000"/>
          <w:sz w:val="22"/>
        </w:rPr>
      </w:pPr>
      <w:r>
        <w:rPr>
          <w:color w:val="000000"/>
          <w:sz w:val="22"/>
        </w:rPr>
        <w:t>4</w:t>
      </w:r>
      <w:r>
        <w:rPr>
          <w:color w:val="000000"/>
          <w:sz w:val="22"/>
        </w:rPr>
        <w:t>.</w:t>
      </w:r>
      <w:r>
        <w:rPr>
          <w:color w:val="000000"/>
          <w:sz w:val="22"/>
        </w:rPr>
        <w:t>3</w:t>
      </w:r>
      <w:r>
        <w:rPr>
          <w:color w:val="000000"/>
          <w:sz w:val="22"/>
        </w:rPr>
        <w:t>.1.</w:t>
      </w:r>
      <w:r>
        <w:rPr>
          <w:color w:val="000000"/>
          <w:sz w:val="22"/>
        </w:rPr>
        <w:t xml:space="preserve"> </w:t>
      </w:r>
      <w:r>
        <w:rPr>
          <w:color w:val="000000"/>
          <w:sz w:val="22"/>
        </w:rPr>
        <w:t>С</w:t>
      </w:r>
      <w:r>
        <w:rPr>
          <w:color w:val="000000"/>
          <w:sz w:val="22"/>
        </w:rPr>
        <w:t>воевременно и качественно оказать услуги, предусмотренные насто</w:t>
      </w:r>
      <w:r>
        <w:rPr>
          <w:color w:val="000000"/>
          <w:sz w:val="22"/>
        </w:rPr>
        <w:t>я</w:t>
      </w:r>
      <w:r>
        <w:rPr>
          <w:color w:val="000000"/>
          <w:sz w:val="22"/>
        </w:rPr>
        <w:t>щим контрактом.</w:t>
      </w:r>
    </w:p>
    <w:p w14:paraId="35000000">
      <w:pPr>
        <w:widowControl w:val="1"/>
        <w:ind w:firstLine="709"/>
        <w:jc w:val="both"/>
        <w:rPr>
          <w:color w:val="000000"/>
          <w:sz w:val="22"/>
        </w:rPr>
      </w:pPr>
      <w:r>
        <w:rPr>
          <w:color w:val="000000"/>
          <w:sz w:val="22"/>
        </w:rPr>
        <w:t>4</w:t>
      </w:r>
      <w:r>
        <w:rPr>
          <w:color w:val="000000"/>
          <w:sz w:val="22"/>
        </w:rPr>
        <w:t>.</w:t>
      </w:r>
      <w:r>
        <w:rPr>
          <w:color w:val="000000"/>
          <w:sz w:val="22"/>
        </w:rPr>
        <w:t>3</w:t>
      </w:r>
      <w:r>
        <w:rPr>
          <w:color w:val="000000"/>
          <w:sz w:val="22"/>
        </w:rPr>
        <w:t>.</w:t>
      </w:r>
      <w:r>
        <w:rPr>
          <w:color w:val="000000"/>
          <w:sz w:val="22"/>
        </w:rPr>
        <w:t>2</w:t>
      </w:r>
      <w:r>
        <w:rPr>
          <w:color w:val="000000"/>
          <w:sz w:val="22"/>
        </w:rPr>
        <w:t>.</w:t>
      </w:r>
      <w:r>
        <w:rPr>
          <w:color w:val="000000"/>
          <w:sz w:val="22"/>
        </w:rPr>
        <w:t xml:space="preserve"> </w:t>
      </w:r>
      <w:r>
        <w:rPr>
          <w:color w:val="000000"/>
          <w:sz w:val="22"/>
        </w:rPr>
        <w:t>У</w:t>
      </w:r>
      <w:r>
        <w:rPr>
          <w:color w:val="000000"/>
          <w:sz w:val="22"/>
        </w:rPr>
        <w:t xml:space="preserve">странять все недостатки при </w:t>
      </w:r>
      <w:r>
        <w:rPr>
          <w:color w:val="000000"/>
          <w:sz w:val="22"/>
        </w:rPr>
        <w:t>оказании</w:t>
      </w:r>
      <w:r>
        <w:rPr>
          <w:color w:val="000000"/>
          <w:sz w:val="22"/>
        </w:rPr>
        <w:t xml:space="preserve"> услуг </w:t>
      </w:r>
      <w:r>
        <w:rPr>
          <w:color w:val="000000"/>
          <w:sz w:val="22"/>
        </w:rPr>
        <w:t>в срок, указанный</w:t>
      </w:r>
      <w:r>
        <w:rPr>
          <w:color w:val="000000"/>
          <w:sz w:val="22"/>
        </w:rPr>
        <w:t xml:space="preserve"> Заказч</w:t>
      </w:r>
      <w:r>
        <w:rPr>
          <w:color w:val="000000"/>
          <w:sz w:val="22"/>
        </w:rPr>
        <w:t>и</w:t>
      </w:r>
      <w:r>
        <w:rPr>
          <w:color w:val="000000"/>
          <w:sz w:val="22"/>
        </w:rPr>
        <w:t xml:space="preserve">ком. </w:t>
      </w:r>
    </w:p>
    <w:p w14:paraId="36000000">
      <w:pPr>
        <w:widowControl w:val="1"/>
        <w:ind w:firstLine="709"/>
        <w:jc w:val="both"/>
        <w:rPr>
          <w:color w:val="000000"/>
          <w:sz w:val="22"/>
        </w:rPr>
      </w:pPr>
      <w:r>
        <w:rPr>
          <w:color w:val="000000"/>
          <w:sz w:val="22"/>
        </w:rPr>
        <w:t>4</w:t>
      </w:r>
      <w:r>
        <w:rPr>
          <w:color w:val="000000"/>
          <w:sz w:val="22"/>
        </w:rPr>
        <w:t>.</w:t>
      </w:r>
      <w:r>
        <w:rPr>
          <w:color w:val="000000"/>
          <w:sz w:val="22"/>
        </w:rPr>
        <w:t>3</w:t>
      </w:r>
      <w:r>
        <w:rPr>
          <w:color w:val="000000"/>
          <w:sz w:val="22"/>
        </w:rPr>
        <w:t>.</w:t>
      </w:r>
      <w:r>
        <w:rPr>
          <w:color w:val="000000"/>
          <w:sz w:val="22"/>
        </w:rPr>
        <w:t>3</w:t>
      </w:r>
      <w:r>
        <w:rPr>
          <w:color w:val="000000"/>
          <w:sz w:val="22"/>
        </w:rPr>
        <w:t>.</w:t>
      </w:r>
      <w:r>
        <w:rPr>
          <w:color w:val="000000"/>
          <w:sz w:val="22"/>
        </w:rPr>
        <w:t xml:space="preserve"> </w:t>
      </w:r>
      <w:r>
        <w:rPr>
          <w:color w:val="000000"/>
          <w:sz w:val="22"/>
        </w:rPr>
        <w:t>С</w:t>
      </w:r>
      <w:r>
        <w:rPr>
          <w:color w:val="000000"/>
          <w:sz w:val="22"/>
        </w:rPr>
        <w:t>дать Заказчику оказанные услуги.</w:t>
      </w:r>
      <w:r>
        <w:rPr>
          <w:color w:val="000000"/>
          <w:sz w:val="22"/>
        </w:rPr>
        <w:t xml:space="preserve"> </w:t>
      </w:r>
    </w:p>
    <w:p w14:paraId="37000000">
      <w:pPr>
        <w:widowControl w:val="1"/>
        <w:ind w:firstLine="709"/>
        <w:jc w:val="both"/>
        <w:rPr>
          <w:color w:val="000000"/>
          <w:sz w:val="22"/>
        </w:rPr>
      </w:pPr>
      <w:r>
        <w:rPr>
          <w:color w:val="000000"/>
          <w:sz w:val="22"/>
        </w:rPr>
        <w:t>4.3.4.</w:t>
      </w:r>
      <w:r>
        <w:rPr>
          <w:color w:val="FFFFFF"/>
          <w:sz w:val="22"/>
        </w:rPr>
        <w:t xml:space="preserve"> </w:t>
      </w:r>
      <w:r>
        <w:rPr>
          <w:sz w:val="22"/>
        </w:rP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38000000">
      <w:pPr>
        <w:widowControl w:val="1"/>
        <w:ind w:firstLine="540"/>
        <w:jc w:val="both"/>
        <w:rPr>
          <w:color w:val="000000"/>
          <w:sz w:val="22"/>
        </w:rPr>
      </w:pPr>
      <w:r>
        <w:rPr>
          <w:sz w:val="22"/>
        </w:rPr>
        <w:t>О сложностях, возникающих при исполнении Контракта, Исполнитель обязан незамедлительно уведомить Заказчика.</w:t>
      </w:r>
    </w:p>
    <w:p w14:paraId="39000000">
      <w:pPr>
        <w:rPr>
          <w:b w:val="1"/>
          <w:sz w:val="22"/>
        </w:rPr>
      </w:pPr>
    </w:p>
    <w:p w14:paraId="3A000000">
      <w:pPr>
        <w:widowControl w:val="1"/>
        <w:ind w:firstLine="708"/>
        <w:jc w:val="center"/>
        <w:rPr>
          <w:b w:val="1"/>
          <w:sz w:val="22"/>
        </w:rPr>
      </w:pPr>
      <w:r>
        <w:rPr>
          <w:b w:val="1"/>
          <w:sz w:val="22"/>
        </w:rPr>
        <w:t>5</w:t>
      </w:r>
      <w:r>
        <w:rPr>
          <w:b w:val="1"/>
          <w:sz w:val="22"/>
        </w:rPr>
        <w:t xml:space="preserve">. </w:t>
      </w:r>
      <w:r>
        <w:rPr>
          <w:b w:val="1"/>
          <w:sz w:val="22"/>
        </w:rPr>
        <w:t>К</w:t>
      </w:r>
      <w:r>
        <w:rPr>
          <w:b w:val="1"/>
          <w:sz w:val="22"/>
        </w:rPr>
        <w:t>ачеств</w:t>
      </w:r>
      <w:r>
        <w:rPr>
          <w:b w:val="1"/>
          <w:sz w:val="22"/>
        </w:rPr>
        <w:t>о</w:t>
      </w:r>
      <w:r>
        <w:rPr>
          <w:b w:val="1"/>
          <w:sz w:val="22"/>
        </w:rPr>
        <w:t xml:space="preserve"> и безопасност</w:t>
      </w:r>
      <w:r>
        <w:rPr>
          <w:b w:val="1"/>
          <w:sz w:val="22"/>
        </w:rPr>
        <w:t>ь</w:t>
      </w:r>
      <w:r>
        <w:rPr>
          <w:b w:val="1"/>
          <w:sz w:val="22"/>
        </w:rPr>
        <w:t xml:space="preserve"> услуг</w:t>
      </w:r>
    </w:p>
    <w:p w14:paraId="3B000000">
      <w:pPr>
        <w:widowControl w:val="1"/>
        <w:ind w:firstLine="708"/>
        <w:jc w:val="center"/>
        <w:rPr>
          <w:b w:val="1"/>
          <w:sz w:val="22"/>
        </w:rPr>
      </w:pPr>
    </w:p>
    <w:p w14:paraId="3C000000">
      <w:pPr>
        <w:widowControl w:val="1"/>
        <w:ind w:firstLine="709"/>
        <w:jc w:val="both"/>
        <w:rPr>
          <w:sz w:val="22"/>
        </w:rPr>
      </w:pPr>
      <w:r>
        <w:rPr>
          <w:sz w:val="22"/>
        </w:rPr>
        <w:t>5</w:t>
      </w:r>
      <w:r>
        <w:rPr>
          <w:sz w:val="22"/>
        </w:rPr>
        <w:t>.1.</w:t>
      </w:r>
      <w:r>
        <w:rPr>
          <w:sz w:val="22"/>
        </w:rPr>
        <w:t xml:space="preserve"> </w:t>
      </w:r>
      <w:r>
        <w:rPr>
          <w:sz w:val="22"/>
        </w:rPr>
        <w:t xml:space="preserve">Качество и безопасность оказываемых услуг должны соответствовать требованиям действующего законодательства.  </w:t>
      </w:r>
    </w:p>
    <w:p w14:paraId="3D000000">
      <w:pPr>
        <w:widowControl w:val="1"/>
        <w:ind w:firstLine="709"/>
        <w:jc w:val="both"/>
        <w:rPr>
          <w:sz w:val="22"/>
        </w:rPr>
      </w:pPr>
      <w:r>
        <w:rPr>
          <w:sz w:val="22"/>
        </w:rPr>
        <w:t>5</w:t>
      </w:r>
      <w:r>
        <w:rPr>
          <w:sz w:val="22"/>
        </w:rPr>
        <w:t>.2.</w:t>
      </w:r>
      <w:r>
        <w:rPr>
          <w:sz w:val="22"/>
        </w:rPr>
        <w:t xml:space="preserve"> </w:t>
      </w:r>
      <w:r>
        <w:rPr>
          <w:sz w:val="22"/>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3E000000">
      <w:pPr>
        <w:widowControl w:val="1"/>
        <w:ind/>
        <w:jc w:val="both"/>
        <w:rPr>
          <w:sz w:val="22"/>
        </w:rPr>
      </w:pPr>
    </w:p>
    <w:p w14:paraId="3F000000">
      <w:pPr>
        <w:widowControl w:val="1"/>
        <w:ind w:firstLine="2552"/>
        <w:jc w:val="both"/>
        <w:rPr>
          <w:color w:val="000000"/>
          <w:sz w:val="22"/>
        </w:rPr>
      </w:pPr>
      <w:r>
        <w:rPr>
          <w:b w:val="1"/>
          <w:sz w:val="22"/>
        </w:rPr>
        <w:t>6</w:t>
      </w:r>
      <w:r>
        <w:rPr>
          <w:b w:val="1"/>
          <w:sz w:val="22"/>
        </w:rPr>
        <w:t>. Порядок сдачи и приемки услуг</w:t>
      </w:r>
    </w:p>
    <w:p w14:paraId="40000000">
      <w:pPr>
        <w:widowControl w:val="1"/>
        <w:ind/>
        <w:jc w:val="both"/>
        <w:rPr>
          <w:b w:val="1"/>
          <w:color w:val="000000"/>
          <w:sz w:val="22"/>
        </w:rPr>
      </w:pPr>
    </w:p>
    <w:p w14:paraId="41000000">
      <w:pPr>
        <w:widowControl w:val="1"/>
        <w:ind/>
        <w:jc w:val="both"/>
        <w:rPr>
          <w:color w:val="000000"/>
          <w:sz w:val="22"/>
        </w:rPr>
      </w:pPr>
      <w:r>
        <w:rPr>
          <w:color w:val="000000"/>
          <w:sz w:val="22"/>
        </w:rPr>
        <w:t xml:space="preserve">6.1. </w:t>
      </w:r>
      <w:r>
        <w:rPr>
          <w:sz w:val="22"/>
        </w:rPr>
        <w:t>В течение 5 рабочих дней с момента завершения оказания услуг Исполнитель извещает Заказчика о готовности сдать оказанные услуги (далее - извещение Исполнителя).</w:t>
      </w:r>
    </w:p>
    <w:p w14:paraId="42000000">
      <w:pPr>
        <w:widowControl w:val="1"/>
        <w:ind w:firstLine="709"/>
        <w:jc w:val="both"/>
        <w:rPr>
          <w:color w:val="000000"/>
          <w:sz w:val="22"/>
        </w:rPr>
      </w:pPr>
      <w:r>
        <w:rPr>
          <w:color w:val="000000"/>
          <w:sz w:val="22"/>
        </w:rPr>
        <w:t>6.2. Зак</w:t>
      </w:r>
      <w:r>
        <w:rPr>
          <w:color w:val="000000"/>
          <w:sz w:val="22"/>
        </w:rPr>
        <w:t xml:space="preserve">азчик в </w:t>
      </w:r>
      <w:r>
        <w:rPr>
          <w:color w:val="000000"/>
          <w:sz w:val="22"/>
        </w:rPr>
        <w:t xml:space="preserve">срок до </w:t>
      </w:r>
      <w:r>
        <w:rPr>
          <w:color w:val="000000"/>
          <w:sz w:val="22"/>
        </w:rPr>
        <w:t>20</w:t>
      </w:r>
      <w:r>
        <w:rPr>
          <w:color w:val="000000"/>
          <w:sz w:val="22"/>
        </w:rPr>
        <w:t xml:space="preserve"> раб</w:t>
      </w:r>
      <w:r>
        <w:rPr>
          <w:color w:val="000000"/>
          <w:sz w:val="22"/>
        </w:rPr>
        <w:t>очих дней с момента получения</w:t>
      </w:r>
      <w:r>
        <w:rPr>
          <w:color w:val="000000"/>
          <w:sz w:val="22"/>
        </w:rPr>
        <w:t xml:space="preserve"> извещения Ис</w:t>
      </w:r>
      <w:r>
        <w:rPr>
          <w:color w:val="000000"/>
          <w:sz w:val="22"/>
        </w:rPr>
        <w:t xml:space="preserve">полнителя осуществляет приемку </w:t>
      </w:r>
      <w:r>
        <w:rPr>
          <w:color w:val="000000"/>
          <w:sz w:val="22"/>
        </w:rPr>
        <w:t>оказанных услуг, в том числе в части соответствия их количества, комплектности, объема требованиям, установле</w:t>
      </w:r>
      <w:r>
        <w:rPr>
          <w:color w:val="000000"/>
          <w:sz w:val="22"/>
        </w:rPr>
        <w:t xml:space="preserve">нным Контрактом, с оформлением </w:t>
      </w:r>
      <w:r>
        <w:rPr>
          <w:color w:val="000000"/>
          <w:sz w:val="22"/>
        </w:rPr>
        <w:t>результатов такой приемки.</w:t>
      </w:r>
    </w:p>
    <w:p w14:paraId="43000000">
      <w:pPr>
        <w:widowControl w:val="1"/>
        <w:ind w:firstLine="709"/>
        <w:jc w:val="both"/>
        <w:rPr>
          <w:color w:val="000000"/>
          <w:sz w:val="22"/>
        </w:rPr>
      </w:pPr>
      <w:r>
        <w:rPr>
          <w:color w:val="000000"/>
          <w:sz w:val="22"/>
        </w:rPr>
        <w:t xml:space="preserve">6.3.Сдача оказанных услуг Исполнителем и их приемка Заказчиком оформляется актом оказанных услуг. </w:t>
      </w:r>
    </w:p>
    <w:p w14:paraId="44000000">
      <w:pPr>
        <w:widowControl w:val="1"/>
        <w:ind w:firstLine="709"/>
        <w:jc w:val="both"/>
        <w:rPr>
          <w:color w:val="000000"/>
          <w:sz w:val="22"/>
        </w:rPr>
      </w:pPr>
      <w:r>
        <w:rPr>
          <w:color w:val="000000"/>
          <w:sz w:val="22"/>
        </w:rPr>
        <w:t>6.4.При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45000000">
      <w:pPr>
        <w:widowControl w:val="1"/>
        <w:ind w:firstLine="709"/>
        <w:jc w:val="both"/>
        <w:rPr>
          <w:color w:val="000000"/>
          <w:sz w:val="22"/>
        </w:rPr>
      </w:pPr>
      <w:r>
        <w:rPr>
          <w:color w:val="000000"/>
          <w:sz w:val="22"/>
        </w:rPr>
        <w:t>6.5.В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14:paraId="46000000">
      <w:pPr>
        <w:widowControl w:val="1"/>
        <w:ind w:firstLine="709"/>
        <w:jc w:val="both"/>
        <w:rPr>
          <w:b w:val="1"/>
          <w:sz w:val="22"/>
        </w:rPr>
      </w:pPr>
      <w:r>
        <w:rPr>
          <w:color w:val="000000"/>
          <w:sz w:val="22"/>
        </w:rPr>
        <w:t>6.6.Датой приемки оказанных услуг является дата подписания сторонами акта оказанных услуг.</w:t>
      </w:r>
    </w:p>
    <w:p w14:paraId="47000000">
      <w:pPr>
        <w:widowControl w:val="1"/>
        <w:ind/>
        <w:jc w:val="right"/>
        <w:rPr>
          <w:rFonts w:ascii="Arial" w:hAnsi="Arial"/>
          <w:sz w:val="22"/>
        </w:rPr>
      </w:pPr>
    </w:p>
    <w:p w14:paraId="48000000">
      <w:pPr>
        <w:widowControl w:val="1"/>
        <w:ind/>
        <w:jc w:val="center"/>
        <w:rPr>
          <w:b w:val="1"/>
          <w:sz w:val="22"/>
        </w:rPr>
      </w:pPr>
      <w:r>
        <w:rPr>
          <w:b w:val="1"/>
          <w:sz w:val="22"/>
        </w:rPr>
        <w:t>7</w:t>
      </w:r>
      <w:r>
        <w:rPr>
          <w:b w:val="1"/>
          <w:sz w:val="22"/>
        </w:rPr>
        <w:t xml:space="preserve">. </w:t>
      </w:r>
      <w:r>
        <w:rPr>
          <w:b w:val="1"/>
          <w:sz w:val="22"/>
        </w:rPr>
        <w:t>Ответственность сторон</w:t>
      </w:r>
      <w:r>
        <w:rPr>
          <w:b w:val="1"/>
          <w:sz w:val="22"/>
        </w:rPr>
        <w:t xml:space="preserve"> и иные последствия нарушения обязательств</w:t>
      </w:r>
    </w:p>
    <w:p w14:paraId="49000000">
      <w:pPr>
        <w:widowControl w:val="1"/>
        <w:ind/>
        <w:jc w:val="center"/>
        <w:rPr>
          <w:color w:val="000000"/>
          <w:sz w:val="22"/>
        </w:rPr>
      </w:pPr>
    </w:p>
    <w:p w14:paraId="4A000000">
      <w:pPr>
        <w:widowControl w:val="1"/>
        <w:ind w:firstLine="567"/>
        <w:jc w:val="both"/>
        <w:rPr>
          <w:color w:val="000000"/>
          <w:sz w:val="22"/>
        </w:rPr>
      </w:pPr>
      <w:r>
        <w:rPr>
          <w:color w:val="000000"/>
          <w:sz w:val="22"/>
        </w:rPr>
        <w:t>7.1.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4B000000">
      <w:pPr>
        <w:widowControl w:val="1"/>
        <w:ind w:firstLine="567"/>
        <w:jc w:val="both"/>
        <w:rPr>
          <w:color w:val="000000"/>
          <w:sz w:val="22"/>
        </w:rPr>
      </w:pPr>
      <w:r>
        <w:rPr>
          <w:color w:val="000000"/>
          <w:sz w:val="22"/>
        </w:rPr>
        <w:tab/>
      </w:r>
      <w:r>
        <w:rPr>
          <w:color w:val="000000"/>
          <w:sz w:val="22"/>
        </w:rPr>
        <w:t>7.2.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C000000">
      <w:pPr>
        <w:widowControl w:val="1"/>
        <w:ind w:firstLine="567"/>
        <w:jc w:val="both"/>
        <w:rPr>
          <w:color w:val="000000"/>
          <w:sz w:val="22"/>
        </w:rPr>
      </w:pPr>
      <w:r>
        <w:rPr>
          <w:color w:val="000000"/>
          <w:sz w:val="22"/>
        </w:rPr>
        <w:tab/>
      </w:r>
      <w:r>
        <w:rPr>
          <w:color w:val="000000"/>
          <w:sz w:val="22"/>
        </w:rPr>
        <w:t xml:space="preserve">7.3.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4D000000">
      <w:pPr>
        <w:widowControl w:val="1"/>
        <w:ind w:firstLine="567"/>
        <w:jc w:val="both"/>
        <w:rPr>
          <w:color w:val="000000"/>
          <w:sz w:val="22"/>
        </w:rPr>
      </w:pPr>
      <w:r>
        <w:rPr>
          <w:color w:val="000000"/>
          <w:sz w:val="22"/>
        </w:rPr>
        <w:tab/>
      </w:r>
      <w:r>
        <w:rPr>
          <w:color w:val="000000"/>
          <w:sz w:val="22"/>
        </w:rPr>
        <w:t xml:space="preserve">7.3.1.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w:t>
      </w:r>
      <w:r>
        <w:rPr>
          <w:color w:val="000000"/>
          <w:sz w:val="22"/>
        </w:rPr>
        <w:t>______________ руб. ________ коп.</w:t>
      </w:r>
    </w:p>
    <w:p w14:paraId="4E000000">
      <w:pPr>
        <w:widowControl w:val="1"/>
        <w:ind w:firstLine="567"/>
        <w:jc w:val="both"/>
        <w:rPr>
          <w:color w:val="000000"/>
          <w:sz w:val="22"/>
        </w:rPr>
      </w:pPr>
      <w:r>
        <w:rPr>
          <w:color w:val="000000"/>
          <w:sz w:val="22"/>
        </w:rPr>
        <w:tab/>
      </w:r>
      <w:r>
        <w:rPr>
          <w:color w:val="000000"/>
          <w:sz w:val="22"/>
        </w:rPr>
        <w:t>7.3.2.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 рублей 00 коп.</w:t>
      </w:r>
    </w:p>
    <w:p w14:paraId="4F000000">
      <w:pPr>
        <w:pStyle w:val="Style_5"/>
        <w:widowControl w:val="1"/>
        <w:ind w:firstLine="567"/>
        <w:jc w:val="both"/>
        <w:rPr>
          <w:rFonts w:ascii="Times New Roman" w:hAnsi="Times New Roman"/>
          <w:sz w:val="22"/>
        </w:rPr>
      </w:pPr>
      <w:r>
        <w:rPr>
          <w:rFonts w:ascii="Times New Roman" w:hAnsi="Times New Roman"/>
          <w:sz w:val="22"/>
        </w:rPr>
        <w:tab/>
      </w:r>
      <w:r>
        <w:rPr>
          <w:rFonts w:ascii="Times New Roman" w:hAnsi="Times New Roman"/>
          <w:sz w:val="22"/>
        </w:rPr>
        <w:t>7.</w:t>
      </w:r>
      <w:r>
        <w:rPr>
          <w:rFonts w:ascii="Times New Roman" w:hAnsi="Times New Roman"/>
          <w:sz w:val="22"/>
        </w:rPr>
        <w:t>4</w:t>
      </w:r>
      <w:r>
        <w:rPr>
          <w:rFonts w:ascii="Times New Roman" w:hAnsi="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0000000">
      <w:pPr>
        <w:widowControl w:val="1"/>
        <w:ind w:firstLine="709"/>
        <w:jc w:val="both"/>
        <w:rPr>
          <w:sz w:val="22"/>
        </w:rPr>
      </w:pPr>
      <w:bookmarkStart w:id="1" w:name="_GoBack"/>
      <w:bookmarkEnd w:id="1"/>
      <w:r>
        <w:rPr>
          <w:sz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000000">
      <w:pPr>
        <w:widowControl w:val="1"/>
        <w:ind w:firstLine="709"/>
        <w:jc w:val="both"/>
        <w:rPr>
          <w:sz w:val="22"/>
        </w:rPr>
      </w:pPr>
      <w:r>
        <w:rPr>
          <w:sz w:val="22"/>
        </w:rPr>
        <w:t>7.6. Факт неисполнения или ненадлежащего исполнения Исполнителем обязательств по настоящему контракту, а также расчет пени, штрафа определяется в акте оказанных услуг и в требовании Заказчика об уплате неустоек (штрафов, пеней).</w:t>
      </w:r>
    </w:p>
    <w:p w14:paraId="52000000">
      <w:pPr>
        <w:widowControl w:val="1"/>
        <w:ind w:firstLine="709"/>
        <w:jc w:val="both"/>
        <w:rPr>
          <w:sz w:val="22"/>
        </w:rPr>
      </w:pPr>
      <w:r>
        <w:rPr>
          <w:sz w:val="22"/>
        </w:rPr>
        <w:t>Заказчик направляет Исполнителю требование об уплате неустоек (штрафов, пеней), содержащее расчет примененных мер ответственности.</w:t>
      </w:r>
    </w:p>
    <w:p w14:paraId="53000000">
      <w:pPr>
        <w:widowControl w:val="1"/>
        <w:ind w:firstLine="709"/>
        <w:jc w:val="both"/>
        <w:rPr>
          <w:sz w:val="22"/>
        </w:rPr>
      </w:pPr>
      <w:r>
        <w:rPr>
          <w:sz w:val="22"/>
        </w:rPr>
        <w:t>7.7.</w:t>
      </w:r>
      <w:r>
        <w:rPr>
          <w:sz w:val="22"/>
        </w:rPr>
        <w:tab/>
      </w:r>
      <w:r>
        <w:rPr>
          <w:sz w:val="22"/>
        </w:rPr>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54000000">
      <w:pPr>
        <w:widowControl w:val="1"/>
        <w:ind w:firstLine="709"/>
        <w:jc w:val="both"/>
        <w:rPr>
          <w:sz w:val="22"/>
        </w:rPr>
      </w:pPr>
      <w:r>
        <w:rPr>
          <w:sz w:val="22"/>
        </w:rPr>
        <w:t>7.8.</w:t>
      </w:r>
      <w:r>
        <w:rPr>
          <w:sz w:val="22"/>
        </w:rPr>
        <w:tab/>
      </w:r>
      <w:r>
        <w:rPr>
          <w:sz w:val="22"/>
        </w:rPr>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55000000">
      <w:pPr>
        <w:widowControl w:val="1"/>
        <w:ind w:firstLine="709"/>
        <w:jc w:val="both"/>
        <w:rPr>
          <w:sz w:val="22"/>
        </w:rPr>
      </w:pPr>
      <w:r>
        <w:rPr>
          <w:sz w:val="22"/>
        </w:rPr>
        <w:t>7.8.1.</w:t>
      </w:r>
      <w:r>
        <w:rPr>
          <w:sz w:val="22"/>
        </w:rPr>
        <w:tab/>
      </w:r>
      <w:r>
        <w:rPr>
          <w:sz w:val="22"/>
        </w:rPr>
        <w:t>В случае нарушения Исполнителем сроков оказания услуг более чем на 3 календарных дня;</w:t>
      </w:r>
    </w:p>
    <w:p w14:paraId="56000000">
      <w:pPr>
        <w:widowControl w:val="1"/>
        <w:ind w:firstLine="709"/>
        <w:jc w:val="both"/>
        <w:rPr>
          <w:sz w:val="22"/>
        </w:rPr>
      </w:pPr>
      <w:r>
        <w:rPr>
          <w:sz w:val="22"/>
        </w:rPr>
        <w:t>7.8.2.</w:t>
      </w:r>
      <w:r>
        <w:rPr>
          <w:sz w:val="22"/>
        </w:rPr>
        <w:tab/>
      </w:r>
      <w:r>
        <w:rPr>
          <w:sz w:val="22"/>
        </w:rPr>
        <w:t>В случае систематического (2-х и более раз) невыполнения или ненадлежащего выполнения Исполнителем обязательств по контракту;</w:t>
      </w:r>
    </w:p>
    <w:p w14:paraId="57000000">
      <w:pPr>
        <w:widowControl w:val="1"/>
        <w:ind w:firstLine="709"/>
        <w:jc w:val="both"/>
        <w:rPr>
          <w:sz w:val="22"/>
        </w:rPr>
      </w:pPr>
      <w:r>
        <w:rPr>
          <w:sz w:val="22"/>
        </w:rPr>
        <w:t>7.8.3.</w:t>
      </w:r>
      <w:r>
        <w:rPr>
          <w:sz w:val="22"/>
        </w:rPr>
        <w:tab/>
      </w:r>
      <w:r>
        <w:rPr>
          <w:sz w:val="22"/>
        </w:rPr>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58000000">
      <w:pPr>
        <w:widowControl w:val="1"/>
        <w:ind w:firstLine="709"/>
        <w:jc w:val="both"/>
        <w:rPr>
          <w:sz w:val="22"/>
        </w:rPr>
      </w:pPr>
      <w:r>
        <w:rPr>
          <w:sz w:val="22"/>
        </w:rPr>
        <w:t>7.8.4.</w:t>
      </w:r>
      <w:r>
        <w:rPr>
          <w:sz w:val="22"/>
        </w:rPr>
        <w:tab/>
      </w:r>
      <w:r>
        <w:rPr>
          <w:sz w:val="22"/>
        </w:rPr>
        <w:t xml:space="preserve">В случае привлечения Исполнителем иностранных работников </w:t>
      </w:r>
    </w:p>
    <w:p w14:paraId="59000000">
      <w:pPr>
        <w:widowControl w:val="1"/>
        <w:ind w:firstLine="709"/>
        <w:jc w:val="both"/>
        <w:rPr>
          <w:sz w:val="22"/>
        </w:rPr>
      </w:pPr>
      <w:r>
        <w:rPr>
          <w:sz w:val="22"/>
        </w:rPr>
        <w:t>с нарушением миграционного законодательства РФ.</w:t>
      </w:r>
    </w:p>
    <w:p w14:paraId="5A000000">
      <w:pPr>
        <w:widowControl w:val="1"/>
        <w:ind w:firstLine="709"/>
        <w:jc w:val="both"/>
        <w:rPr>
          <w:sz w:val="22"/>
        </w:rPr>
      </w:pPr>
      <w:r>
        <w:rPr>
          <w:sz w:val="22"/>
        </w:rPr>
        <w:t>7.8.5.</w:t>
      </w:r>
      <w:r>
        <w:rPr>
          <w:sz w:val="22"/>
        </w:rPr>
        <w:tab/>
      </w:r>
      <w:r>
        <w:rPr>
          <w:sz w:val="22"/>
        </w:rPr>
        <w:t>По другим основаниям, предусмотренным гражданским законодательством.</w:t>
      </w:r>
    </w:p>
    <w:p w14:paraId="5B000000">
      <w:pPr>
        <w:widowControl w:val="1"/>
        <w:ind w:firstLine="709"/>
        <w:jc w:val="both"/>
        <w:rPr>
          <w:sz w:val="22"/>
        </w:rPr>
      </w:pPr>
      <w:r>
        <w:rPr>
          <w:sz w:val="22"/>
        </w:rPr>
        <w:t>7.8.6.</w:t>
      </w:r>
      <w:r>
        <w:rPr>
          <w:sz w:val="22"/>
        </w:rPr>
        <w:tab/>
      </w:r>
      <w:r>
        <w:rPr>
          <w:sz w:val="22"/>
        </w:rPr>
        <w:t>В случае неоказания Исполнителем услуг в течение 3 календарных дней подряд (включается в случае ежедневного оказания услуг);</w:t>
      </w:r>
    </w:p>
    <w:p w14:paraId="5C000000">
      <w:pPr>
        <w:widowControl w:val="1"/>
        <w:ind/>
        <w:jc w:val="both"/>
        <w:rPr>
          <w:sz w:val="22"/>
        </w:rPr>
      </w:pPr>
    </w:p>
    <w:p w14:paraId="5D000000">
      <w:pPr>
        <w:widowControl w:val="1"/>
        <w:ind w:firstLine="709"/>
        <w:jc w:val="center"/>
        <w:rPr>
          <w:b w:val="1"/>
          <w:sz w:val="22"/>
        </w:rPr>
      </w:pPr>
      <w:r>
        <w:rPr>
          <w:b w:val="1"/>
          <w:sz w:val="22"/>
        </w:rPr>
        <w:t>8</w:t>
      </w:r>
      <w:r>
        <w:rPr>
          <w:b w:val="1"/>
          <w:sz w:val="22"/>
        </w:rPr>
        <w:t>. Порядок разрешения споров</w:t>
      </w:r>
    </w:p>
    <w:p w14:paraId="5E000000">
      <w:pPr>
        <w:widowControl w:val="1"/>
        <w:ind w:firstLine="709"/>
        <w:rPr>
          <w:sz w:val="22"/>
        </w:rPr>
      </w:pPr>
    </w:p>
    <w:p w14:paraId="5F000000">
      <w:pPr>
        <w:widowControl w:val="1"/>
        <w:ind w:firstLine="709"/>
        <w:jc w:val="both"/>
        <w:rPr>
          <w:sz w:val="22"/>
        </w:rPr>
      </w:pPr>
      <w:r>
        <w:rPr>
          <w:sz w:val="22"/>
        </w:rPr>
        <w:t>8</w:t>
      </w:r>
      <w:r>
        <w:rPr>
          <w:sz w:val="22"/>
        </w:rPr>
        <w:t>.1.</w:t>
      </w:r>
      <w:r>
        <w:rPr>
          <w:sz w:val="22"/>
        </w:rPr>
        <w:t xml:space="preserve"> </w:t>
      </w:r>
      <w:r>
        <w:rPr>
          <w:sz w:val="22"/>
        </w:rPr>
        <w:t xml:space="preserve">Все споры по настоящему контракту подлежат рассмотрению </w:t>
      </w:r>
      <w:r>
        <w:rPr>
          <w:sz w:val="22"/>
        </w:rPr>
        <w:br/>
      </w:r>
      <w:r>
        <w:rPr>
          <w:sz w:val="22"/>
        </w:rPr>
        <w:t>в А</w:t>
      </w:r>
      <w:r>
        <w:rPr>
          <w:sz w:val="22"/>
        </w:rPr>
        <w:t>р</w:t>
      </w:r>
      <w:r>
        <w:rPr>
          <w:sz w:val="22"/>
        </w:rPr>
        <w:t>битражном суде</w:t>
      </w:r>
      <w:r>
        <w:rPr>
          <w:sz w:val="22"/>
        </w:rPr>
        <w:t xml:space="preserve"> города</w:t>
      </w:r>
      <w:r>
        <w:rPr>
          <w:sz w:val="22"/>
        </w:rPr>
        <w:t xml:space="preserve"> Санкт-Петербурга и Ленинградской области.</w:t>
      </w:r>
    </w:p>
    <w:p w14:paraId="60000000">
      <w:pPr>
        <w:widowControl w:val="1"/>
        <w:ind w:firstLine="709"/>
        <w:jc w:val="both"/>
        <w:rPr>
          <w:sz w:val="22"/>
        </w:rPr>
      </w:pPr>
    </w:p>
    <w:p w14:paraId="61000000">
      <w:pPr>
        <w:widowControl w:val="1"/>
        <w:ind w:firstLine="709"/>
        <w:jc w:val="center"/>
        <w:rPr>
          <w:b w:val="1"/>
          <w:sz w:val="22"/>
        </w:rPr>
      </w:pPr>
      <w:r>
        <w:rPr>
          <w:b w:val="1"/>
          <w:sz w:val="22"/>
        </w:rPr>
        <w:t>9</w:t>
      </w:r>
      <w:r>
        <w:rPr>
          <w:b w:val="1"/>
          <w:sz w:val="22"/>
        </w:rPr>
        <w:t>. Срок</w:t>
      </w:r>
      <w:r>
        <w:rPr>
          <w:b w:val="1"/>
          <w:sz w:val="22"/>
        </w:rPr>
        <w:t xml:space="preserve"> контракта</w:t>
      </w:r>
      <w:r>
        <w:rPr>
          <w:b w:val="1"/>
          <w:sz w:val="22"/>
        </w:rPr>
        <w:t xml:space="preserve"> </w:t>
      </w:r>
      <w:r>
        <w:rPr>
          <w:b w:val="1"/>
          <w:sz w:val="22"/>
        </w:rPr>
        <w:t>и порядок</w:t>
      </w:r>
      <w:r>
        <w:rPr>
          <w:b w:val="1"/>
          <w:sz w:val="22"/>
        </w:rPr>
        <w:t xml:space="preserve"> его прекращения</w:t>
      </w:r>
      <w:r>
        <w:rPr>
          <w:b w:val="1"/>
          <w:sz w:val="22"/>
        </w:rPr>
        <w:t xml:space="preserve"> </w:t>
      </w:r>
    </w:p>
    <w:p w14:paraId="62000000">
      <w:pPr>
        <w:widowControl w:val="1"/>
        <w:ind w:firstLine="709"/>
        <w:rPr>
          <w:sz w:val="22"/>
        </w:rPr>
      </w:pPr>
    </w:p>
    <w:p w14:paraId="63000000">
      <w:pPr>
        <w:pStyle w:val="Style_3"/>
        <w:widowControl w:val="1"/>
        <w:ind w:firstLine="709" w:left="0"/>
        <w:jc w:val="both"/>
        <w:rPr>
          <w:sz w:val="22"/>
        </w:rPr>
      </w:pPr>
      <w:r>
        <w:rPr>
          <w:sz w:val="22"/>
        </w:rPr>
        <w:t>9</w:t>
      </w:r>
      <w:r>
        <w:rPr>
          <w:sz w:val="22"/>
        </w:rPr>
        <w:t xml:space="preserve">.1. Настоящий Контракт вступает в силу с момента </w:t>
      </w:r>
      <w:r>
        <w:rPr>
          <w:sz w:val="22"/>
        </w:rPr>
        <w:t>заключения</w:t>
      </w:r>
      <w:r>
        <w:rPr>
          <w:sz w:val="22"/>
        </w:rPr>
        <w:t xml:space="preserve"> </w:t>
      </w:r>
      <w:r>
        <w:rPr>
          <w:sz w:val="22"/>
        </w:rPr>
        <w:t xml:space="preserve">его </w:t>
      </w:r>
      <w:r>
        <w:rPr>
          <w:sz w:val="22"/>
        </w:rPr>
        <w:t xml:space="preserve">сторонами </w:t>
      </w:r>
      <w:r>
        <w:rPr>
          <w:sz w:val="22"/>
        </w:rPr>
        <w:br/>
      </w:r>
      <w:r>
        <w:rPr>
          <w:sz w:val="22"/>
        </w:rPr>
        <w:t>и  действ</w:t>
      </w:r>
      <w:r>
        <w:rPr>
          <w:sz w:val="22"/>
        </w:rPr>
        <w:t>у</w:t>
      </w:r>
      <w:r>
        <w:rPr>
          <w:sz w:val="22"/>
        </w:rPr>
        <w:t xml:space="preserve">ет </w:t>
      </w:r>
      <w:r>
        <w:rPr>
          <w:sz w:val="22"/>
        </w:rPr>
        <w:t>по</w:t>
      </w:r>
      <w:r>
        <w:rPr>
          <w:sz w:val="22"/>
        </w:rPr>
        <w:t xml:space="preserve"> </w:t>
      </w:r>
      <w:r>
        <w:rPr>
          <w:sz w:val="22"/>
        </w:rPr>
        <w:t>31.10</w:t>
      </w:r>
      <w:r>
        <w:rPr>
          <w:sz w:val="22"/>
        </w:rPr>
        <w:t>.</w:t>
      </w:r>
      <w:r>
        <w:rPr>
          <w:sz w:val="22"/>
        </w:rPr>
        <w:t>2026</w:t>
      </w:r>
      <w:r>
        <w:rPr>
          <w:sz w:val="22"/>
        </w:rPr>
        <w:t xml:space="preserve"> г.</w:t>
      </w:r>
      <w:r>
        <w:rPr>
          <w:sz w:val="22"/>
        </w:rPr>
        <w:t xml:space="preserve"> </w:t>
      </w:r>
      <w:r>
        <w:rPr>
          <w:sz w:val="22"/>
        </w:rPr>
        <w:t>(</w:t>
      </w:r>
      <w:r>
        <w:rPr>
          <w:sz w:val="22"/>
        </w:rPr>
        <w:t>включительно</w:t>
      </w:r>
      <w:r>
        <w:rPr>
          <w:sz w:val="22"/>
        </w:rPr>
        <w:t>)</w:t>
      </w:r>
      <w:r>
        <w:rPr>
          <w:sz w:val="22"/>
        </w:rPr>
        <w:t>.</w:t>
      </w:r>
    </w:p>
    <w:p w14:paraId="64000000">
      <w:pPr>
        <w:widowControl w:val="1"/>
        <w:ind w:firstLine="709"/>
        <w:jc w:val="both"/>
        <w:rPr>
          <w:sz w:val="22"/>
        </w:rPr>
      </w:pPr>
      <w:r>
        <w:rPr>
          <w:sz w:val="22"/>
        </w:rPr>
        <w:t>Окончание срока действия настоящего Контракта не освобождает стороны от исполнения принятых на себя обязательств в полном объеме.</w:t>
      </w:r>
    </w:p>
    <w:p w14:paraId="65000000">
      <w:pPr>
        <w:widowControl w:val="1"/>
        <w:ind w:firstLine="709"/>
        <w:jc w:val="both"/>
        <w:rPr>
          <w:sz w:val="22"/>
        </w:rPr>
      </w:pPr>
      <w:r>
        <w:rPr>
          <w:sz w:val="22"/>
        </w:rPr>
        <w:t>9</w:t>
      </w:r>
      <w:r>
        <w:rPr>
          <w:sz w:val="22"/>
        </w:rPr>
        <w:t>.</w:t>
      </w:r>
      <w:r>
        <w:rPr>
          <w:sz w:val="22"/>
        </w:rPr>
        <w:t>2</w:t>
      </w:r>
      <w:r>
        <w:rPr>
          <w:sz w:val="22"/>
        </w:rPr>
        <w:t>.</w:t>
      </w:r>
      <w:r>
        <w:rPr>
          <w:sz w:val="22"/>
        </w:rPr>
        <w:t xml:space="preserve"> </w:t>
      </w:r>
      <w:r>
        <w:rPr>
          <w:sz w:val="22"/>
        </w:rPr>
        <w:t>Настоящий</w:t>
      </w:r>
      <w:r>
        <w:rPr>
          <w:sz w:val="22"/>
        </w:rPr>
        <w:t xml:space="preserve"> </w:t>
      </w:r>
      <w:r>
        <w:rPr>
          <w:sz w:val="22"/>
        </w:rPr>
        <w:t>контракт</w:t>
      </w:r>
      <w:r>
        <w:rPr>
          <w:sz w:val="22"/>
        </w:rPr>
        <w:t xml:space="preserve"> </w:t>
      </w:r>
      <w:r>
        <w:rPr>
          <w:sz w:val="22"/>
        </w:rPr>
        <w:t xml:space="preserve">может быть расторгнут по соглашению сторон, по решению суда или в связи с односторонним отказом Заказчика от исполнения контракта, предусмотренным </w:t>
      </w:r>
      <w:r>
        <w:rPr>
          <w:sz w:val="22"/>
        </w:rPr>
        <w:t>п.</w:t>
      </w:r>
      <w:r>
        <w:rPr>
          <w:sz w:val="22"/>
        </w:rPr>
        <w:t>7</w:t>
      </w:r>
      <w:r>
        <w:rPr>
          <w:sz w:val="22"/>
        </w:rPr>
        <w:t>.</w:t>
      </w:r>
      <w:r>
        <w:rPr>
          <w:sz w:val="22"/>
        </w:rPr>
        <w:t>8</w:t>
      </w:r>
      <w:r>
        <w:rPr>
          <w:sz w:val="22"/>
        </w:rPr>
        <w:t xml:space="preserve"> настоящего</w:t>
      </w:r>
      <w:r>
        <w:rPr>
          <w:sz w:val="22"/>
        </w:rPr>
        <w:t xml:space="preserve"> контракта.</w:t>
      </w:r>
    </w:p>
    <w:p w14:paraId="66000000">
      <w:pPr>
        <w:widowControl w:val="1"/>
        <w:ind w:firstLine="709"/>
        <w:jc w:val="both"/>
        <w:rPr>
          <w:sz w:val="22"/>
        </w:rPr>
      </w:pPr>
      <w:r>
        <w:rPr>
          <w:sz w:val="22"/>
        </w:rPr>
        <w:t xml:space="preserve">Порядок одностороннего отказа Заказчика от исполнения контракта предусмотрен </w:t>
      </w:r>
      <w:r>
        <w:rPr>
          <w:sz w:val="22"/>
        </w:rPr>
        <w:t>Федеральным законом № 44-ФЗ</w:t>
      </w:r>
      <w:r>
        <w:rPr>
          <w:sz w:val="22"/>
        </w:rPr>
        <w:t>.</w:t>
      </w:r>
      <w:r>
        <w:rPr>
          <w:sz w:val="22"/>
        </w:rPr>
        <w:t xml:space="preserve"> </w:t>
      </w:r>
    </w:p>
    <w:p w14:paraId="67000000">
      <w:pPr>
        <w:widowControl w:val="1"/>
        <w:ind w:firstLine="709"/>
        <w:jc w:val="both"/>
        <w:rPr>
          <w:sz w:val="22"/>
        </w:rPr>
      </w:pPr>
    </w:p>
    <w:p w14:paraId="68000000">
      <w:pPr>
        <w:widowControl w:val="1"/>
        <w:ind/>
        <w:jc w:val="center"/>
        <w:rPr>
          <w:b w:val="1"/>
          <w:sz w:val="22"/>
        </w:rPr>
      </w:pPr>
      <w:r>
        <w:rPr>
          <w:b w:val="1"/>
          <w:sz w:val="22"/>
        </w:rPr>
        <w:t>10.ФОРС-МАЖОР</w:t>
      </w:r>
    </w:p>
    <w:p w14:paraId="69000000">
      <w:pPr>
        <w:widowControl w:val="1"/>
        <w:ind/>
        <w:jc w:val="center"/>
        <w:rPr>
          <w:b w:val="1"/>
          <w:sz w:val="22"/>
        </w:rPr>
      </w:pPr>
    </w:p>
    <w:p w14:paraId="6A000000">
      <w:pPr>
        <w:pStyle w:val="Style_6"/>
        <w:widowControl w:val="0"/>
        <w:spacing w:after="0" w:line="240" w:lineRule="auto"/>
        <w:ind w:firstLine="420"/>
        <w:jc w:val="both"/>
        <w:rPr>
          <w:sz w:val="22"/>
        </w:rPr>
      </w:pPr>
      <w:r>
        <w:rPr>
          <w:sz w:val="22"/>
        </w:rPr>
        <w:t>10.Стороны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w:t>
      </w:r>
      <w:r>
        <w:rPr>
          <w:sz w:val="22"/>
        </w:rPr>
        <w:t xml:space="preserve">нной готовности, установленный </w:t>
      </w:r>
      <w:r>
        <w:rPr>
          <w:sz w:val="22"/>
        </w:rPr>
        <w:t>постановлением Правительства Санкт-Петербу</w:t>
      </w:r>
      <w:r>
        <w:rPr>
          <w:sz w:val="22"/>
        </w:rPr>
        <w:t>рга от 13.03.2020 №121 «О мерах</w:t>
      </w:r>
      <w:r>
        <w:rPr>
          <w:sz w:val="22"/>
        </w:rPr>
        <w:t xml:space="preserve"> по противодействию распространению в Санкт-П</w:t>
      </w:r>
      <w:r>
        <w:rPr>
          <w:sz w:val="22"/>
        </w:rPr>
        <w:t xml:space="preserve">етербурге новой коронавирусной </w:t>
      </w:r>
      <w:r>
        <w:rPr>
          <w:sz w:val="22"/>
        </w:rPr>
        <w:t>инфекции (</w:t>
      </w:r>
      <w:r>
        <w:rPr>
          <w:sz w:val="22"/>
        </w:rPr>
        <w:t>COVID</w:t>
      </w:r>
      <w:r>
        <w:rPr>
          <w:sz w:val="22"/>
        </w:rPr>
        <w:t>-19)».</w:t>
      </w:r>
    </w:p>
    <w:p w14:paraId="6B000000">
      <w:pPr>
        <w:pStyle w:val="Style_6"/>
        <w:widowControl w:val="0"/>
        <w:spacing w:after="0" w:line="240" w:lineRule="auto"/>
        <w:ind w:firstLine="420"/>
        <w:jc w:val="both"/>
        <w:rPr>
          <w:sz w:val="22"/>
        </w:rPr>
      </w:pPr>
      <w:r>
        <w:rPr>
          <w:sz w:val="22"/>
        </w:rPr>
        <w:t>В случае наступления</w:t>
      </w:r>
      <w:r>
        <w:rPr>
          <w:sz w:val="22"/>
        </w:rPr>
        <w:t xml:space="preserve"> указанных в настоящем пункте обстоятельств сторона, которая не в состоянии исполнить взятые на себя обязательс</w:t>
      </w:r>
      <w:r>
        <w:rPr>
          <w:sz w:val="22"/>
        </w:rPr>
        <w:t xml:space="preserve">тва, должна в трехдневный срок </w:t>
      </w:r>
      <w:r>
        <w:rPr>
          <w:sz w:val="22"/>
        </w:rPr>
        <w:t>с момента их наступления сообщить об этом другой стороне в письменной форме с приложением подтверждающих документов. С мом</w:t>
      </w:r>
      <w:r>
        <w:rPr>
          <w:sz w:val="22"/>
        </w:rPr>
        <w:t xml:space="preserve">ента получения другой стороной </w:t>
      </w:r>
      <w:r>
        <w:rPr>
          <w:sz w:val="22"/>
        </w:rPr>
        <w:t xml:space="preserve">указанного письменного </w:t>
      </w:r>
      <w:r>
        <w:rPr>
          <w:sz w:val="22"/>
        </w:rPr>
        <w:t>сообщения</w:t>
      </w:r>
      <w:r>
        <w:rPr>
          <w:sz w:val="22"/>
        </w:rPr>
        <w:t xml:space="preserve"> и документов, подтверждающих наступление</w:t>
      </w:r>
      <w:r>
        <w:rPr>
          <w:sz w:val="22"/>
        </w:rPr>
        <w:t xml:space="preserve"> форс-мажорных обстоятельств, </w:t>
      </w:r>
      <w:r>
        <w:rPr>
          <w:sz w:val="22"/>
        </w:rPr>
        <w:t>действие контракта приостанавливается до момента, определяемого соглашением сторон.</w:t>
      </w:r>
    </w:p>
    <w:p w14:paraId="6C000000">
      <w:pPr>
        <w:widowControl w:val="1"/>
        <w:spacing w:after="120" w:before="120"/>
        <w:ind/>
        <w:jc w:val="center"/>
        <w:rPr>
          <w:sz w:val="22"/>
        </w:rPr>
      </w:pPr>
      <w:r>
        <w:rPr>
          <w:b w:val="1"/>
          <w:sz w:val="22"/>
        </w:rPr>
        <w:t>11. Антикоррупционная оговорка</w:t>
      </w:r>
    </w:p>
    <w:p w14:paraId="6D000000">
      <w:pPr>
        <w:widowControl w:val="1"/>
        <w:ind w:firstLine="539"/>
        <w:jc w:val="both"/>
        <w:rPr>
          <w:sz w:val="22"/>
        </w:rPr>
      </w:pPr>
      <w:r>
        <w:rPr>
          <w:sz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000000">
      <w:pPr>
        <w:widowControl w:val="1"/>
        <w:ind w:firstLine="539"/>
        <w:jc w:val="both"/>
        <w:rPr>
          <w:sz w:val="22"/>
        </w:rPr>
      </w:pPr>
      <w:r>
        <w:rPr>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Pr>
          <w:sz w:val="22"/>
        </w:rPr>
        <w:t>иным образом,</w:t>
      </w:r>
      <w:r>
        <w:rPr>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000000">
      <w:pPr>
        <w:widowControl w:val="1"/>
        <w:ind w:firstLine="539"/>
        <w:jc w:val="both"/>
        <w:rPr>
          <w:sz w:val="22"/>
        </w:rPr>
      </w:pPr>
      <w:r>
        <w:rPr>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000000">
      <w:pPr>
        <w:widowControl w:val="1"/>
        <w:ind w:firstLine="539"/>
        <w:jc w:val="both"/>
        <w:rPr>
          <w:sz w:val="22"/>
        </w:rPr>
      </w:pPr>
      <w:r>
        <w:rPr>
          <w:sz w:val="22"/>
        </w:rPr>
        <w:t>не совершать иных действий, нарушающих антикоррупционное законодательство Российской Федерации.</w:t>
      </w:r>
    </w:p>
    <w:p w14:paraId="71000000">
      <w:pPr>
        <w:widowControl w:val="1"/>
        <w:ind w:firstLine="539"/>
        <w:jc w:val="both"/>
        <w:rPr>
          <w:sz w:val="22"/>
        </w:rPr>
      </w:pPr>
    </w:p>
    <w:p w14:paraId="72000000">
      <w:pPr>
        <w:widowControl w:val="1"/>
        <w:ind/>
        <w:jc w:val="center"/>
        <w:rPr>
          <w:b w:val="1"/>
          <w:sz w:val="22"/>
        </w:rPr>
      </w:pPr>
      <w:r>
        <w:rPr>
          <w:b w:val="1"/>
          <w:sz w:val="22"/>
        </w:rPr>
        <w:t>12</w:t>
      </w:r>
      <w:r>
        <w:rPr>
          <w:b w:val="1"/>
          <w:sz w:val="22"/>
        </w:rPr>
        <w:t>. Прочие условия</w:t>
      </w:r>
    </w:p>
    <w:p w14:paraId="73000000">
      <w:pPr>
        <w:widowControl w:val="1"/>
        <w:ind/>
        <w:jc w:val="center"/>
        <w:rPr>
          <w:b w:val="1"/>
          <w:sz w:val="22"/>
        </w:rPr>
      </w:pPr>
    </w:p>
    <w:p w14:paraId="74000000">
      <w:pPr>
        <w:widowControl w:val="1"/>
        <w:ind w:firstLine="709"/>
        <w:jc w:val="both"/>
        <w:rPr>
          <w:sz w:val="22"/>
        </w:rPr>
      </w:pPr>
      <w:r>
        <w:rPr>
          <w:sz w:val="22"/>
        </w:rPr>
        <w:t>12</w:t>
      </w:r>
      <w:r>
        <w:rPr>
          <w:sz w:val="22"/>
        </w:rPr>
        <w:t>.1.</w:t>
      </w:r>
      <w:r>
        <w:rPr>
          <w:sz w:val="22"/>
        </w:rPr>
        <w:t xml:space="preserve"> </w:t>
      </w:r>
      <w:r>
        <w:rPr>
          <w:sz w:val="22"/>
        </w:rPr>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w:t>
      </w:r>
      <w:r>
        <w:rPr>
          <w:sz w:val="22"/>
        </w:rPr>
        <w:t>,</w:t>
      </w:r>
      <w:r>
        <w:rPr>
          <w:sz w:val="22"/>
        </w:rPr>
        <w:t xml:space="preserve"> в установленном порядке. </w:t>
      </w:r>
    </w:p>
    <w:p w14:paraId="75000000">
      <w:pPr>
        <w:widowControl w:val="0"/>
        <w:ind w:firstLine="709"/>
        <w:jc w:val="both"/>
        <w:rPr>
          <w:sz w:val="22"/>
        </w:rPr>
      </w:pPr>
      <w:r>
        <w:rPr>
          <w:sz w:val="22"/>
        </w:rPr>
        <w:t>12</w:t>
      </w:r>
      <w:r>
        <w:rPr>
          <w:sz w:val="22"/>
        </w:rPr>
        <w:t>.2</w:t>
      </w:r>
      <w:r>
        <w:rPr>
          <w:sz w:val="22"/>
        </w:rPr>
        <w:t xml:space="preserve">. </w:t>
      </w:r>
      <w:r>
        <w:rPr>
          <w:sz w:val="22"/>
        </w:rPr>
        <w:t xml:space="preserve">Стороны вправе изменить условия контракта в соответствии с положениями ст. 95 </w:t>
      </w:r>
      <w:r>
        <w:rPr>
          <w:sz w:val="22"/>
        </w:rPr>
        <w:t>Федерального закона № 44-ФЗ</w:t>
      </w:r>
      <w:r>
        <w:rPr>
          <w:sz w:val="22"/>
        </w:rPr>
        <w:t>,</w:t>
      </w:r>
      <w:r>
        <w:rPr>
          <w:sz w:val="22"/>
        </w:rPr>
        <w:t xml:space="preserve"> </w:t>
      </w:r>
      <w:r>
        <w:rPr>
          <w:sz w:val="22"/>
        </w:rPr>
        <w:t xml:space="preserve">ч.5 ст.78.1 Бюджетного кодекса РФ, </w:t>
      </w:r>
      <w:r>
        <w:rPr>
          <w:sz w:val="22"/>
        </w:rPr>
        <w:t>заключив дополнительное соглашение к контракту.</w:t>
      </w:r>
    </w:p>
    <w:p w14:paraId="76000000">
      <w:pPr>
        <w:widowControl w:val="1"/>
        <w:ind w:firstLine="709"/>
        <w:jc w:val="both"/>
        <w:rPr>
          <w:sz w:val="22"/>
        </w:rPr>
      </w:pPr>
      <w:r>
        <w:rPr>
          <w:sz w:val="22"/>
        </w:rPr>
        <w:t>12</w:t>
      </w:r>
      <w:r>
        <w:rPr>
          <w:sz w:val="22"/>
        </w:rPr>
        <w:t>.</w:t>
      </w:r>
      <w:r>
        <w:rPr>
          <w:sz w:val="22"/>
        </w:rPr>
        <w:t>3</w:t>
      </w:r>
      <w:r>
        <w:rPr>
          <w:sz w:val="22"/>
        </w:rPr>
        <w:t xml:space="preserve">.По вопросам, не предусмотренным настоящим контрактом, стороны руководствуются действующим законодательством Российской Федерации. </w:t>
      </w:r>
    </w:p>
    <w:p w14:paraId="77000000">
      <w:pPr>
        <w:pStyle w:val="Style_6"/>
        <w:widowControl w:val="1"/>
        <w:spacing w:after="0" w:line="240" w:lineRule="auto"/>
        <w:ind w:firstLine="709"/>
        <w:jc w:val="both"/>
        <w:rPr>
          <w:sz w:val="22"/>
        </w:rPr>
      </w:pPr>
      <w:r>
        <w:rPr>
          <w:sz w:val="22"/>
        </w:rPr>
        <w:t>12</w:t>
      </w:r>
      <w:r>
        <w:rPr>
          <w:sz w:val="22"/>
        </w:rPr>
        <w:t>.</w:t>
      </w:r>
      <w:r>
        <w:rPr>
          <w:sz w:val="22"/>
        </w:rPr>
        <w:t>4</w:t>
      </w:r>
      <w:r>
        <w:rPr>
          <w:sz w:val="22"/>
        </w:rPr>
        <w:t>.</w:t>
      </w:r>
      <w:r>
        <w:rPr>
          <w:sz w:val="22"/>
        </w:rPr>
        <w:t xml:space="preserve"> Стороны обязаны в течение 2-х дней с момента </w:t>
      </w:r>
      <w:r>
        <w:rPr>
          <w:sz w:val="22"/>
        </w:rPr>
        <w:t xml:space="preserve">внесения </w:t>
      </w:r>
      <w:r>
        <w:rPr>
          <w:sz w:val="22"/>
        </w:rPr>
        <w:t xml:space="preserve">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14:paraId="78000000">
      <w:pPr>
        <w:pStyle w:val="Style_6"/>
        <w:widowControl w:val="1"/>
        <w:spacing w:after="0" w:line="240" w:lineRule="auto"/>
        <w:ind w:firstLine="709"/>
        <w:jc w:val="both"/>
        <w:rPr>
          <w:sz w:val="22"/>
        </w:rPr>
      </w:pPr>
      <w:r>
        <w:rPr>
          <w:sz w:val="22"/>
        </w:rPr>
        <w:t>12</w:t>
      </w:r>
      <w:r>
        <w:rPr>
          <w:sz w:val="22"/>
        </w:rPr>
        <w:t xml:space="preserve">.5. При заключении настоящего Контракта Исполнитель подтверждает свое соответствие требованиям, установленным в ч. 1 ст. 31 </w:t>
      </w:r>
      <w:r>
        <w:rPr>
          <w:sz w:val="22"/>
        </w:rPr>
        <w:t>Федерального закона № 44-ФЗ</w:t>
      </w:r>
      <w:r>
        <w:rPr>
          <w:sz w:val="22"/>
        </w:rPr>
        <w:t>.</w:t>
      </w:r>
    </w:p>
    <w:p w14:paraId="79000000">
      <w:pPr>
        <w:widowControl w:val="1"/>
        <w:ind w:firstLine="709"/>
        <w:jc w:val="both"/>
        <w:rPr>
          <w:sz w:val="22"/>
        </w:rPr>
      </w:pPr>
      <w:r>
        <w:rPr>
          <w:sz w:val="22"/>
        </w:rPr>
        <w:t>12</w:t>
      </w:r>
      <w:r>
        <w:rPr>
          <w:sz w:val="22"/>
        </w:rPr>
        <w:t>.</w:t>
      </w:r>
      <w:r>
        <w:rPr>
          <w:sz w:val="22"/>
        </w:rPr>
        <w:t>6</w:t>
      </w:r>
      <w:r>
        <w:rPr>
          <w:sz w:val="22"/>
        </w:rPr>
        <w:t>.</w:t>
      </w:r>
      <w:r>
        <w:rPr>
          <w:sz w:val="22"/>
        </w:rPr>
        <w:t xml:space="preserve"> </w:t>
      </w:r>
      <w:r>
        <w:rPr>
          <w:sz w:val="22"/>
        </w:rPr>
        <w:t>К настоящему контракту прилагаются и являются его неотъемлемой частью:</w:t>
      </w:r>
    </w:p>
    <w:p w14:paraId="7A000000">
      <w:pPr>
        <w:widowControl w:val="1"/>
        <w:ind w:firstLine="709"/>
        <w:rPr>
          <w:sz w:val="22"/>
        </w:rPr>
      </w:pPr>
      <w:r>
        <w:rPr>
          <w:sz w:val="22"/>
        </w:rPr>
        <w:t>Приложение № 1 – «</w:t>
      </w:r>
      <w:r>
        <w:rPr>
          <w:sz w:val="22"/>
        </w:rPr>
        <w:t>Расчет стоимости услуг</w:t>
      </w:r>
      <w:r>
        <w:rPr>
          <w:sz w:val="22"/>
        </w:rPr>
        <w:t xml:space="preserve"> на 2026 год</w:t>
      </w:r>
      <w:r>
        <w:rPr>
          <w:sz w:val="22"/>
        </w:rPr>
        <w:t>»</w:t>
      </w:r>
    </w:p>
    <w:p w14:paraId="7B000000">
      <w:pPr>
        <w:widowControl w:val="1"/>
        <w:ind w:firstLine="709"/>
        <w:rPr>
          <w:sz w:val="22"/>
        </w:rPr>
      </w:pPr>
      <w:r>
        <w:rPr>
          <w:sz w:val="22"/>
        </w:rPr>
        <w:t>Приложение № 2</w:t>
      </w:r>
      <w:r>
        <w:rPr>
          <w:sz w:val="22"/>
        </w:rPr>
        <w:t xml:space="preserve"> – «Техническое задание» </w:t>
      </w:r>
    </w:p>
    <w:p w14:paraId="7C000000">
      <w:pPr>
        <w:rPr>
          <w:sz w:val="22"/>
        </w:rPr>
      </w:pPr>
    </w:p>
    <w:p w14:paraId="7D000000">
      <w:pPr>
        <w:widowControl w:val="1"/>
        <w:ind w:firstLine="709"/>
        <w:rPr>
          <w:b w:val="1"/>
          <w:sz w:val="22"/>
        </w:rPr>
      </w:pPr>
    </w:p>
    <w:p w14:paraId="7E000000">
      <w:pPr>
        <w:widowControl w:val="1"/>
        <w:ind w:firstLine="709"/>
        <w:jc w:val="center"/>
        <w:rPr>
          <w:b w:val="1"/>
          <w:sz w:val="22"/>
        </w:rPr>
      </w:pPr>
      <w:r>
        <w:rPr>
          <w:b w:val="1"/>
          <w:sz w:val="22"/>
        </w:rPr>
        <w:t>13</w:t>
      </w:r>
      <w:r>
        <w:rPr>
          <w:b w:val="1"/>
          <w:sz w:val="22"/>
        </w:rPr>
        <w:t xml:space="preserve">. </w:t>
      </w:r>
      <w:r>
        <w:rPr>
          <w:b w:val="1"/>
          <w:sz w:val="22"/>
        </w:rPr>
        <w:t>Местонахождение, р</w:t>
      </w:r>
      <w:r>
        <w:rPr>
          <w:b w:val="1"/>
          <w:sz w:val="22"/>
        </w:rPr>
        <w:t>еквизиты</w:t>
      </w:r>
      <w:r>
        <w:rPr>
          <w:b w:val="1"/>
          <w:sz w:val="22"/>
        </w:rPr>
        <w:t xml:space="preserve"> и подписи</w:t>
      </w:r>
      <w:r>
        <w:rPr>
          <w:b w:val="1"/>
          <w:sz w:val="22"/>
        </w:rPr>
        <w:t xml:space="preserve"> сторон</w:t>
      </w:r>
    </w:p>
    <w:p w14:paraId="7F000000">
      <w:pPr>
        <w:widowControl w:val="1"/>
        <w:ind w:firstLine="709"/>
        <w:jc w:val="center"/>
        <w:rPr>
          <w:b w:val="1"/>
          <w:sz w:val="22"/>
        </w:rPr>
      </w:pPr>
    </w:p>
    <w:p w14:paraId="80000000">
      <w:pPr>
        <w:widowControl w:val="1"/>
        <w:ind w:firstLine="709"/>
        <w:jc w:val="center"/>
        <w:rPr>
          <w:b w:val="1"/>
          <w:sz w:val="22"/>
        </w:rPr>
      </w:pPr>
    </w:p>
    <w:tbl>
      <w:tblPr>
        <w:tblStyle w:val="Style_7"/>
        <w:tblW w:type="auto" w:w="0"/>
        <w:tblInd w:type="dxa" w:w="108"/>
        <w:tblBorders>
          <w:top w:color="000000" w:val="nil"/>
          <w:left w:color="000000" w:val="nil"/>
          <w:bottom w:color="000000" w:sz="4" w:val="single"/>
          <w:right w:color="000000" w:val="nil"/>
          <w:insideH w:color="000000" w:val="nil"/>
          <w:insideV w:color="000000" w:val="nil"/>
        </w:tblBorders>
        <w:tblLayout w:type="fixed"/>
      </w:tblPr>
      <w:tblGrid>
        <w:gridCol w:w="4721"/>
        <w:gridCol w:w="4742"/>
      </w:tblGrid>
      <w:tr>
        <w:trPr>
          <w:trHeight w:hRule="atLeast" w:val="1653"/>
        </w:trPr>
        <w:tc>
          <w:tcPr>
            <w:tcW w:type="dxa" w:w="4721"/>
            <w:tcBorders>
              <w:top w:color="000000" w:val="nil"/>
              <w:left w:color="000000" w:val="nil"/>
              <w:bottom w:sz="4" w:val="nil"/>
              <w:right w:color="000000" w:val="nil"/>
            </w:tcBorders>
          </w:tcPr>
          <w:p w14:paraId="81000000">
            <w:pPr>
              <w:rPr>
                <w:sz w:val="22"/>
              </w:rPr>
            </w:pPr>
            <w:r>
              <w:rPr>
                <w:sz w:val="22"/>
              </w:rPr>
              <w:t>Заказчик:</w:t>
            </w:r>
            <w:r>
              <w:rPr>
                <w:sz w:val="22"/>
              </w:rPr>
              <w:t xml:space="preserve"> </w:t>
            </w:r>
          </w:p>
          <w:p w14:paraId="82000000">
            <w:pPr>
              <w:rPr>
                <w:color w:val="000000"/>
                <w:sz w:val="22"/>
              </w:rPr>
            </w:pPr>
            <w:r>
              <w:rPr>
                <w:sz w:val="22"/>
              </w:rPr>
              <w:t>Государственное бюджетное дошкольное образовательное учреждение детский сад № 109 комбинированного вида Фрунзенского района Санкт-Петербурга</w:t>
            </w:r>
          </w:p>
          <w:p w14:paraId="83000000">
            <w:pPr>
              <w:rPr>
                <w:sz w:val="22"/>
              </w:rPr>
            </w:pPr>
          </w:p>
          <w:p w14:paraId="84000000">
            <w:pPr>
              <w:rPr>
                <w:sz w:val="22"/>
              </w:rPr>
            </w:pPr>
            <w:r>
              <w:rPr>
                <w:sz w:val="22"/>
              </w:rPr>
              <w:t xml:space="preserve">Юридический </w:t>
            </w:r>
            <w:r>
              <w:rPr>
                <w:sz w:val="22"/>
              </w:rPr>
              <w:t>адрес:</w:t>
            </w:r>
          </w:p>
          <w:p w14:paraId="85000000">
            <w:pPr>
              <w:rPr>
                <w:color w:val="000000"/>
                <w:sz w:val="22"/>
              </w:rPr>
            </w:pPr>
            <w:r>
              <w:rPr>
                <w:sz w:val="22"/>
              </w:rPr>
              <w:t>192281, Санкт-Петербург, проспект Дунайский, дом 33, корпус 3, Литер А</w:t>
            </w:r>
          </w:p>
          <w:p w14:paraId="86000000">
            <w:pPr>
              <w:rPr>
                <w:sz w:val="22"/>
              </w:rPr>
            </w:pPr>
          </w:p>
          <w:p w14:paraId="87000000">
            <w:pPr>
              <w:rPr>
                <w:color w:val="000000"/>
                <w:sz w:val="22"/>
              </w:rPr>
            </w:pPr>
            <w:r>
              <w:rPr>
                <w:sz w:val="22"/>
              </w:rPr>
              <w:t>ИНН</w:t>
            </w:r>
            <w:r>
              <w:rPr>
                <w:sz w:val="22"/>
              </w:rPr>
              <w:t>:</w:t>
            </w:r>
            <w:r>
              <w:rPr>
                <w:sz w:val="22"/>
              </w:rPr>
              <w:t xml:space="preserve"> </w:t>
            </w:r>
            <w:r>
              <w:rPr>
                <w:sz w:val="22"/>
              </w:rPr>
              <w:t>7816156527</w:t>
            </w:r>
          </w:p>
          <w:p w14:paraId="88000000">
            <w:pPr>
              <w:rPr>
                <w:sz w:val="22"/>
              </w:rPr>
            </w:pPr>
            <w:r>
              <w:rPr>
                <w:sz w:val="22"/>
              </w:rPr>
              <w:t>КПП</w:t>
            </w:r>
            <w:r>
              <w:rPr>
                <w:sz w:val="22"/>
              </w:rPr>
              <w:t>:</w:t>
            </w:r>
            <w:r>
              <w:rPr>
                <w:sz w:val="22"/>
              </w:rPr>
              <w:t xml:space="preserve"> </w:t>
            </w:r>
            <w:r>
              <w:rPr>
                <w:sz w:val="22"/>
              </w:rPr>
              <w:t>781601001</w:t>
            </w:r>
          </w:p>
          <w:p w14:paraId="89000000">
            <w:pPr>
              <w:rPr>
                <w:color w:val="000000"/>
                <w:sz w:val="22"/>
              </w:rPr>
            </w:pPr>
            <w:r>
              <w:rPr>
                <w:sz w:val="22"/>
              </w:rPr>
              <w:t xml:space="preserve">ОГРН: </w:t>
            </w:r>
            <w:r>
              <w:rPr>
                <w:sz w:val="22"/>
              </w:rPr>
              <w:t>1027807991474</w:t>
            </w:r>
          </w:p>
          <w:p w14:paraId="8A000000">
            <w:pPr>
              <w:rPr>
                <w:sz w:val="22"/>
              </w:rPr>
            </w:pPr>
            <w:r>
              <w:rPr>
                <w:sz w:val="22"/>
              </w:rPr>
              <w:t xml:space="preserve">Л/с </w:t>
            </w:r>
            <w:r>
              <w:rPr>
                <w:sz w:val="22"/>
              </w:rPr>
              <w:t>0661048</w:t>
            </w:r>
            <w:r>
              <w:rPr>
                <w:sz w:val="22"/>
              </w:rPr>
              <w:t xml:space="preserve"> в Комитете Финансов Санкт-Петербурга</w:t>
            </w:r>
          </w:p>
          <w:p w14:paraId="8B000000">
            <w:pPr>
              <w:rPr>
                <w:sz w:val="22"/>
              </w:rPr>
            </w:pPr>
          </w:p>
          <w:p w14:paraId="8C000000">
            <w:pPr>
              <w:rPr>
                <w:sz w:val="22"/>
              </w:rPr>
            </w:pPr>
          </w:p>
          <w:p w14:paraId="8D000000">
            <w:pPr>
              <w:rPr>
                <w:sz w:val="22"/>
              </w:rPr>
            </w:pPr>
          </w:p>
        </w:tc>
        <w:tc>
          <w:tcPr>
            <w:tcW w:type="dxa" w:w="4742"/>
            <w:tcBorders>
              <w:top w:color="000000" w:val="nil"/>
              <w:left w:color="000000" w:val="nil"/>
              <w:bottom w:sz="4" w:val="nil"/>
              <w:right w:color="000000" w:val="nil"/>
            </w:tcBorders>
          </w:tcPr>
          <w:p w14:paraId="8E000000">
            <w:pPr>
              <w:rPr>
                <w:color w:val="000000"/>
                <w:sz w:val="22"/>
              </w:rPr>
            </w:pPr>
            <w:r>
              <w:rPr>
                <w:color w:val="000000"/>
                <w:sz w:val="22"/>
              </w:rPr>
              <w:t>Исполнитель:</w:t>
            </w:r>
          </w:p>
          <w:p w14:paraId="8F000000">
            <w:pPr>
              <w:widowControl w:val="1"/>
              <w:ind w:firstLine="708"/>
              <w:rPr>
                <w:color w:val="000000"/>
                <w:sz w:val="22"/>
              </w:rPr>
            </w:pPr>
          </w:p>
          <w:p w14:paraId="90000000">
            <w:pPr>
              <w:rPr>
                <w:color w:val="000000"/>
                <w:sz w:val="22"/>
              </w:rPr>
            </w:pPr>
          </w:p>
          <w:p w14:paraId="91000000">
            <w:pPr>
              <w:rPr>
                <w:color w:val="000000"/>
                <w:sz w:val="22"/>
              </w:rPr>
            </w:pPr>
          </w:p>
          <w:p w14:paraId="92000000">
            <w:pPr>
              <w:rPr>
                <w:color w:val="000000"/>
                <w:sz w:val="22"/>
              </w:rPr>
            </w:pPr>
          </w:p>
          <w:p w14:paraId="93000000">
            <w:pPr>
              <w:widowControl w:val="1"/>
              <w:ind/>
              <w:jc w:val="both"/>
              <w:rPr>
                <w:color w:val="000000"/>
                <w:sz w:val="22"/>
              </w:rPr>
            </w:pPr>
          </w:p>
          <w:p w14:paraId="94000000">
            <w:pPr>
              <w:widowControl w:val="1"/>
              <w:ind/>
              <w:jc w:val="both"/>
              <w:rPr>
                <w:color w:val="000000"/>
                <w:sz w:val="22"/>
              </w:rPr>
            </w:pPr>
            <w:r>
              <w:rPr>
                <w:color w:val="000000"/>
                <w:sz w:val="22"/>
              </w:rPr>
              <w:t>____________  /__________/</w:t>
            </w:r>
          </w:p>
          <w:p w14:paraId="95000000">
            <w:pPr>
              <w:rPr>
                <w:sz w:val="22"/>
              </w:rPr>
            </w:pPr>
            <w:r>
              <w:rPr>
                <w:color w:val="000000"/>
                <w:sz w:val="22"/>
              </w:rPr>
              <w:t>Подписано ЭЦП</w:t>
            </w:r>
          </w:p>
          <w:p w14:paraId="96000000">
            <w:pPr>
              <w:rPr>
                <w:sz w:val="22"/>
              </w:rPr>
            </w:pPr>
          </w:p>
          <w:p w14:paraId="97000000">
            <w:pPr>
              <w:rPr>
                <w:sz w:val="22"/>
              </w:rPr>
            </w:pPr>
          </w:p>
        </w:tc>
      </w:tr>
      <w:tr>
        <w:trPr>
          <w:trHeight w:hRule="atLeast" w:val="1653"/>
        </w:trPr>
        <w:tc>
          <w:tcPr>
            <w:tcW w:type="dxa" w:w="4721"/>
            <w:tcBorders>
              <w:top w:color="000000" w:val="nil"/>
              <w:left w:color="000000" w:val="nil"/>
              <w:bottom w:sz="4" w:val="nil"/>
              <w:right w:color="000000" w:val="nil"/>
            </w:tcBorders>
          </w:tcPr>
          <w:p w14:paraId="98000000">
            <w:pPr>
              <w:rPr>
                <w:color w:val="000000"/>
                <w:sz w:val="22"/>
              </w:rPr>
            </w:pPr>
            <w:r>
              <w:rPr>
                <w:sz w:val="22"/>
              </w:rPr>
              <w:t>Заведующий</w:t>
            </w:r>
          </w:p>
          <w:p w14:paraId="99000000">
            <w:pPr>
              <w:rPr>
                <w:color w:val="000000"/>
                <w:sz w:val="22"/>
              </w:rPr>
            </w:pPr>
            <w:r>
              <w:rPr>
                <w:color w:val="000000"/>
                <w:sz w:val="22"/>
              </w:rPr>
              <w:t xml:space="preserve">___________________ / </w:t>
            </w:r>
            <w:r>
              <w:rPr>
                <w:sz w:val="22"/>
              </w:rPr>
              <w:t>Лоза О.А.</w:t>
            </w:r>
            <w:r>
              <w:rPr>
                <w:color w:val="000000"/>
                <w:sz w:val="22"/>
              </w:rPr>
              <w:t>/</w:t>
            </w:r>
          </w:p>
          <w:p w14:paraId="9A000000">
            <w:pPr>
              <w:rPr>
                <w:i w:val="1"/>
                <w:sz w:val="22"/>
              </w:rPr>
            </w:pPr>
            <w:r>
              <w:rPr>
                <w:color w:val="000000"/>
                <w:sz w:val="22"/>
              </w:rPr>
              <w:t>Подписано ЭЦП</w:t>
            </w:r>
          </w:p>
        </w:tc>
        <w:tc>
          <w:tcPr>
            <w:tcW w:type="dxa" w:w="4742"/>
            <w:tcBorders>
              <w:top w:color="000000" w:val="nil"/>
              <w:left w:color="000000" w:val="nil"/>
              <w:bottom w:sz="4" w:val="nil"/>
              <w:right w:color="000000" w:val="nil"/>
            </w:tcBorders>
          </w:tcPr>
          <w:p w14:paraId="9B000000">
            <w:pPr>
              <w:rPr>
                <w:i w:val="1"/>
                <w:sz w:val="22"/>
              </w:rPr>
            </w:pPr>
          </w:p>
        </w:tc>
      </w:tr>
    </w:tbl>
    <w:p w14:paraId="9C000000">
      <w:pPr>
        <w:widowControl w:val="1"/>
        <w:ind w:firstLine="709"/>
        <w:rPr>
          <w:sz w:val="22"/>
        </w:rPr>
      </w:pPr>
    </w:p>
    <w:p w14:paraId="9D000000">
      <w:pPr>
        <w:widowControl w:val="1"/>
        <w:ind w:firstLine="709"/>
        <w:jc w:val="center"/>
        <w:rPr>
          <w:sz w:val="22"/>
        </w:rPr>
      </w:pPr>
    </w:p>
    <w:p w14:paraId="9E000000">
      <w:pPr>
        <w:widowControl w:val="1"/>
        <w:ind w:firstLine="709"/>
        <w:jc w:val="center"/>
        <w:rPr>
          <w:sz w:val="22"/>
        </w:rPr>
      </w:pPr>
    </w:p>
    <w:p w14:paraId="9F000000">
      <w:pPr>
        <w:widowControl w:val="1"/>
        <w:ind w:firstLine="709"/>
        <w:jc w:val="center"/>
        <w:rPr>
          <w:sz w:val="22"/>
        </w:rPr>
      </w:pPr>
    </w:p>
    <w:p w14:paraId="A0000000">
      <w:pPr>
        <w:sectPr>
          <w:headerReference r:id="rId2" w:type="default"/>
          <w:headerReference r:id="rId4" w:type="first"/>
          <w:pgSz w:h="16838" w:orient="portrait" w:w="11906"/>
          <w:pgMar w:bottom="709" w:footer="709" w:gutter="0" w:header="709" w:left="1701" w:right="850" w:top="1134"/>
          <w:titlePg/>
        </w:sectPr>
      </w:pPr>
    </w:p>
    <w:p w14:paraId="A1000000">
      <w:pPr>
        <w:widowControl w:val="1"/>
        <w:ind/>
        <w:jc w:val="right"/>
        <w:rPr>
          <w:sz w:val="22"/>
        </w:rPr>
      </w:pPr>
      <w:r>
        <w:rPr>
          <w:sz w:val="22"/>
        </w:rPr>
        <w:t>Приложение № 1</w:t>
      </w:r>
    </w:p>
    <w:p w14:paraId="A2000000">
      <w:pPr>
        <w:widowControl w:val="1"/>
        <w:ind/>
        <w:jc w:val="right"/>
        <w:rPr>
          <w:sz w:val="22"/>
        </w:rPr>
      </w:pPr>
      <w:r>
        <w:rPr>
          <w:sz w:val="22"/>
        </w:rPr>
        <w:t xml:space="preserve">К </w:t>
      </w:r>
      <w:r>
        <w:rPr>
          <w:sz w:val="22"/>
        </w:rPr>
        <w:t>контракту</w:t>
      </w:r>
    </w:p>
    <w:p w14:paraId="A3000000">
      <w:pPr>
        <w:widowControl w:val="1"/>
        <w:ind/>
        <w:jc w:val="right"/>
        <w:rPr>
          <w:sz w:val="22"/>
        </w:rPr>
      </w:pPr>
      <w:r>
        <w:rPr>
          <w:sz w:val="22"/>
        </w:rPr>
        <w:t xml:space="preserve">№ </w:t>
      </w:r>
      <w:r>
        <w:rPr>
          <w:sz w:val="22"/>
        </w:rPr>
        <w:t>АКАР-</w:t>
      </w:r>
      <w:r>
        <w:rPr>
          <w:sz w:val="22"/>
        </w:rPr>
        <w:t>109</w:t>
      </w:r>
      <w:r>
        <w:rPr>
          <w:sz w:val="22"/>
        </w:rPr>
        <w:t xml:space="preserve"> </w:t>
      </w:r>
    </w:p>
    <w:p w14:paraId="A4000000">
      <w:pPr>
        <w:widowControl w:val="1"/>
        <w:ind/>
        <w:jc w:val="right"/>
        <w:rPr>
          <w:sz w:val="22"/>
        </w:rPr>
      </w:pPr>
      <w:r>
        <w:rPr>
          <w:sz w:val="22"/>
        </w:rPr>
        <w:t xml:space="preserve">от </w:t>
      </w:r>
      <w:r>
        <w:rPr>
          <w:sz w:val="22"/>
        </w:rPr>
        <w:t>___2026</w:t>
      </w:r>
      <w:r>
        <w:rPr>
          <w:sz w:val="22"/>
        </w:rPr>
        <w:t xml:space="preserve"> </w:t>
      </w:r>
      <w:r>
        <w:rPr>
          <w:sz w:val="22"/>
        </w:rPr>
        <w:t>г.</w:t>
      </w:r>
    </w:p>
    <w:p w14:paraId="A5000000">
      <w:pPr>
        <w:widowControl w:val="1"/>
        <w:ind/>
        <w:jc w:val="center"/>
        <w:rPr>
          <w:b w:val="1"/>
          <w:sz w:val="22"/>
        </w:rPr>
      </w:pPr>
      <w:r>
        <w:rPr>
          <w:b w:val="1"/>
          <w:sz w:val="22"/>
        </w:rPr>
        <w:t>Ра</w:t>
      </w:r>
      <w:r>
        <w:rPr>
          <w:b w:val="1"/>
          <w:sz w:val="22"/>
        </w:rPr>
        <w:t>счет стоимости услуг</w:t>
      </w:r>
    </w:p>
    <w:tbl>
      <w:tblPr>
        <w:tblStyle w:val="Style_7"/>
        <w:tblW w:type="auto" w:w="0"/>
        <w:jc w:val="center"/>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660"/>
        <w:gridCol w:w="5680"/>
        <w:gridCol w:w="960"/>
        <w:gridCol w:w="1520"/>
        <w:gridCol w:w="1700"/>
      </w:tblGrid>
      <w:tr>
        <w:trPr>
          <w:trHeight w:hRule="atLeast" w:val="853"/>
        </w:trPr>
        <w:tc>
          <w:tcPr>
            <w:tcW w:type="dxa" w:w="660"/>
            <w:tcBorders>
              <w:top w:color="000000" w:sz="4" w:val="single"/>
              <w:left w:color="000000" w:sz="4" w:val="single"/>
              <w:bottom w:color="000000" w:sz="4" w:val="single"/>
              <w:right w:color="000000" w:sz="4" w:val="single"/>
            </w:tcBorders>
            <w:shd w:fill="auto" w:val="clear"/>
            <w:vAlign w:val="center"/>
          </w:tcPr>
          <w:p w14:paraId="A6000000">
            <w:pPr>
              <w:widowControl w:val="1"/>
              <w:ind/>
              <w:jc w:val="center"/>
              <w:rPr>
                <w:b w:val="1"/>
                <w:color w:val="000000"/>
                <w:sz w:val="22"/>
              </w:rPr>
            </w:pPr>
            <w:r>
              <w:rPr>
                <w:b w:val="1"/>
                <w:color w:val="000000"/>
                <w:sz w:val="22"/>
              </w:rPr>
              <w:t>№ пп</w:t>
            </w:r>
          </w:p>
        </w:tc>
        <w:tc>
          <w:tcPr>
            <w:tcW w:type="dxa" w:w="5680"/>
            <w:tcBorders>
              <w:top w:color="000000" w:sz="4" w:val="single"/>
              <w:left w:color="000000" w:sz="4" w:val="single"/>
              <w:bottom w:color="000000" w:sz="4" w:val="single"/>
              <w:right w:color="000000" w:sz="4" w:val="single"/>
            </w:tcBorders>
            <w:shd w:fill="auto" w:val="clear"/>
            <w:vAlign w:val="center"/>
          </w:tcPr>
          <w:p w14:paraId="A7000000">
            <w:pPr>
              <w:widowControl w:val="1"/>
              <w:ind/>
              <w:jc w:val="center"/>
              <w:rPr>
                <w:b w:val="1"/>
                <w:color w:val="000000"/>
                <w:sz w:val="22"/>
              </w:rPr>
            </w:pPr>
            <w:r>
              <w:rPr>
                <w:b w:val="1"/>
                <w:color w:val="000000"/>
                <w:sz w:val="22"/>
              </w:rPr>
              <w:t>Наименование оказываемой услуги</w:t>
            </w:r>
          </w:p>
        </w:tc>
        <w:tc>
          <w:tcPr>
            <w:tcW w:type="dxa" w:w="960"/>
            <w:tcBorders>
              <w:top w:color="000000" w:sz="4" w:val="single"/>
              <w:left w:color="000000" w:sz="4" w:val="single"/>
              <w:bottom w:color="000000" w:sz="4" w:val="single"/>
              <w:right w:color="000000" w:sz="4" w:val="single"/>
            </w:tcBorders>
            <w:shd w:fill="FFFFFF" w:val="clear"/>
            <w:vAlign w:val="center"/>
          </w:tcPr>
          <w:p w14:paraId="A8000000">
            <w:pPr>
              <w:widowControl w:val="1"/>
              <w:ind/>
              <w:jc w:val="center"/>
              <w:rPr>
                <w:b w:val="1"/>
                <w:color w:val="000000"/>
                <w:sz w:val="22"/>
              </w:rPr>
            </w:pPr>
            <w:r>
              <w:rPr>
                <w:b w:val="1"/>
                <w:color w:val="000000"/>
                <w:sz w:val="22"/>
              </w:rPr>
              <w:t>Кол-во услуг</w:t>
            </w:r>
          </w:p>
        </w:tc>
        <w:tc>
          <w:tcPr>
            <w:tcW w:type="dxa" w:w="1520"/>
            <w:tcBorders>
              <w:top w:color="000000" w:sz="4" w:val="single"/>
              <w:left w:color="000000" w:sz="4" w:val="single"/>
              <w:bottom w:color="000000" w:sz="4" w:val="single"/>
              <w:right w:color="000000" w:sz="4" w:val="single"/>
            </w:tcBorders>
            <w:shd w:fill="auto" w:val="clear"/>
            <w:vAlign w:val="center"/>
          </w:tcPr>
          <w:p w14:paraId="A9000000">
            <w:pPr>
              <w:widowControl w:val="1"/>
              <w:ind/>
              <w:jc w:val="center"/>
              <w:rPr>
                <w:b w:val="1"/>
                <w:color w:val="000000"/>
                <w:sz w:val="22"/>
              </w:rPr>
            </w:pPr>
            <w:r>
              <w:rPr>
                <w:b w:val="1"/>
                <w:color w:val="000000"/>
                <w:sz w:val="22"/>
              </w:rPr>
              <w:t xml:space="preserve">Стоимость обработки </w:t>
            </w:r>
          </w:p>
          <w:p w14:paraId="AA000000">
            <w:pPr>
              <w:widowControl w:val="1"/>
              <w:ind/>
              <w:jc w:val="center"/>
              <w:rPr>
                <w:b w:val="1"/>
                <w:color w:val="000000"/>
                <w:sz w:val="22"/>
              </w:rPr>
            </w:pPr>
            <w:r>
              <w:rPr>
                <w:b w:val="1"/>
                <w:color w:val="000000"/>
                <w:sz w:val="22"/>
              </w:rPr>
              <w:t>без НДС/в т.ч. НДС, руб.</w:t>
            </w:r>
          </w:p>
        </w:tc>
        <w:tc>
          <w:tcPr>
            <w:tcW w:type="dxa" w:w="1700"/>
            <w:tcBorders>
              <w:top w:color="000000" w:sz="4" w:val="single"/>
              <w:left w:color="000000" w:sz="4" w:val="single"/>
              <w:bottom w:color="000000" w:sz="4" w:val="single"/>
              <w:right w:color="000000" w:sz="4" w:val="single"/>
            </w:tcBorders>
            <w:shd w:fill="auto" w:val="clear"/>
            <w:vAlign w:val="center"/>
          </w:tcPr>
          <w:p w14:paraId="AB000000">
            <w:pPr>
              <w:widowControl w:val="1"/>
              <w:ind/>
              <w:jc w:val="center"/>
              <w:rPr>
                <w:b w:val="1"/>
                <w:color w:val="000000"/>
                <w:sz w:val="22"/>
              </w:rPr>
            </w:pPr>
            <w:r>
              <w:rPr>
                <w:b w:val="1"/>
                <w:color w:val="000000"/>
                <w:sz w:val="22"/>
              </w:rPr>
              <w:t>Итого, без НДС/в т.ч. НДС, руб.</w:t>
            </w:r>
          </w:p>
        </w:tc>
      </w:tr>
      <w:tr>
        <w:trPr>
          <w:trHeight w:hRule="atLeast" w:val="1399"/>
        </w:trPr>
        <w:tc>
          <w:tcPr>
            <w:tcW w:type="dxa" w:w="660"/>
            <w:tcBorders>
              <w:top w:color="000000" w:sz="4" w:val="single"/>
              <w:left w:color="000000" w:sz="4" w:val="single"/>
              <w:bottom w:color="000000" w:sz="4" w:val="single"/>
              <w:right w:color="000000" w:sz="4" w:val="single"/>
            </w:tcBorders>
            <w:shd w:fill="auto" w:val="clear"/>
            <w:vAlign w:val="center"/>
          </w:tcPr>
          <w:p w14:paraId="AC000000">
            <w:pPr>
              <w:widowControl w:val="1"/>
              <w:ind/>
              <w:jc w:val="center"/>
              <w:rPr>
                <w:color w:val="000000"/>
                <w:sz w:val="22"/>
              </w:rPr>
            </w:pPr>
            <w:r>
              <w:rPr>
                <w:color w:val="000000"/>
                <w:sz w:val="22"/>
              </w:rPr>
              <w:t>1</w:t>
            </w:r>
          </w:p>
        </w:tc>
        <w:tc>
          <w:tcPr>
            <w:tcW w:type="dxa" w:w="5680"/>
            <w:tcBorders>
              <w:top w:color="000000" w:sz="4" w:val="single"/>
              <w:left w:color="000000" w:sz="4" w:val="single"/>
              <w:bottom w:color="000000" w:sz="4" w:val="single"/>
              <w:right w:color="000000" w:sz="4" w:val="single"/>
            </w:tcBorders>
            <w:shd w:fill="auto" w:val="clear"/>
            <w:vAlign w:val="center"/>
          </w:tcPr>
          <w:p w14:paraId="AD000000">
            <w:pPr>
              <w:widowControl w:val="1"/>
              <w:ind/>
              <w:jc w:val="center"/>
              <w:rPr>
                <w:color w:val="000000"/>
                <w:sz w:val="22"/>
              </w:rPr>
            </w:pPr>
            <w:r>
              <w:rPr>
                <w:color w:val="000000"/>
                <w:sz w:val="22"/>
              </w:rPr>
              <w:t>Система мероприятий против иксодовых клещей, включающая обследование территории перед обработкой с оформлением экспертного заключения по результатам обследования, обработку территории от иксодовых клещей, контроль эффективности обработки на 3-5 и на 15 день с оформлением экспертного заключения по результатам контроля эффективности обработки</w:t>
            </w:r>
          </w:p>
        </w:tc>
        <w:tc>
          <w:tcPr>
            <w:tcW w:type="dxa" w:w="960"/>
            <w:tcBorders>
              <w:top w:color="000000" w:sz="4" w:val="single"/>
              <w:left w:color="000000" w:sz="4" w:val="single"/>
              <w:bottom w:color="000000" w:sz="4" w:val="single"/>
              <w:right w:color="000000" w:sz="4" w:val="single"/>
            </w:tcBorders>
            <w:shd w:fill="auto" w:val="clear"/>
            <w:vAlign w:val="center"/>
          </w:tcPr>
          <w:p w14:paraId="AE000000">
            <w:pPr>
              <w:widowControl w:val="1"/>
              <w:ind/>
              <w:jc w:val="center"/>
              <w:rPr>
                <w:color w:val="000000"/>
                <w:sz w:val="22"/>
              </w:rPr>
            </w:pPr>
            <w:r>
              <w:rPr>
                <w:color w:val="000000"/>
                <w:sz w:val="22"/>
              </w:rPr>
              <w:t>1</w:t>
            </w:r>
          </w:p>
        </w:tc>
        <w:tc>
          <w:tcPr>
            <w:tcW w:type="dxa" w:w="1520"/>
            <w:tcBorders>
              <w:top w:color="000000" w:sz="4" w:val="single"/>
              <w:left w:color="000000" w:sz="4" w:val="single"/>
              <w:bottom w:color="000000" w:sz="4" w:val="single"/>
              <w:right w:color="000000" w:sz="4" w:val="single"/>
            </w:tcBorders>
            <w:shd w:fill="auto" w:val="clear"/>
            <w:vAlign w:val="center"/>
          </w:tcPr>
          <w:p w14:paraId="AF000000">
            <w:pPr>
              <w:widowControl w:val="1"/>
              <w:ind/>
              <w:jc w:val="center"/>
              <w:rPr>
                <w:color w:val="000000"/>
                <w:sz w:val="22"/>
              </w:rPr>
            </w:pPr>
          </w:p>
        </w:tc>
        <w:tc>
          <w:tcPr>
            <w:tcW w:type="dxa" w:w="1700"/>
            <w:tcBorders>
              <w:top w:color="000000" w:sz="4" w:val="single"/>
              <w:left w:color="000000" w:sz="4" w:val="single"/>
              <w:bottom w:color="000000" w:sz="4" w:val="single"/>
              <w:right w:color="000000" w:sz="4" w:val="single"/>
            </w:tcBorders>
            <w:shd w:fill="auto" w:val="clear"/>
            <w:vAlign w:val="center"/>
          </w:tcPr>
          <w:p w14:paraId="B0000000">
            <w:pPr>
              <w:widowControl w:val="1"/>
              <w:ind/>
              <w:jc w:val="center"/>
              <w:rPr>
                <w:color w:val="000000"/>
                <w:sz w:val="22"/>
              </w:rPr>
            </w:pPr>
          </w:p>
        </w:tc>
      </w:tr>
      <w:tr>
        <w:trPr>
          <w:trHeight w:hRule="atLeast" w:val="1020"/>
        </w:trPr>
        <w:tc>
          <w:tcPr>
            <w:tcW w:type="dxa" w:w="660"/>
            <w:tcBorders>
              <w:top w:color="000000" w:sz="4" w:val="single"/>
              <w:left w:color="000000" w:sz="4" w:val="single"/>
              <w:bottom w:color="000000" w:sz="4" w:val="single"/>
              <w:right w:color="000000" w:sz="4" w:val="single"/>
            </w:tcBorders>
            <w:shd w:fill="auto" w:val="clear"/>
            <w:vAlign w:val="center"/>
          </w:tcPr>
          <w:p w14:paraId="B1000000">
            <w:pPr>
              <w:widowControl w:val="1"/>
              <w:ind/>
              <w:jc w:val="center"/>
              <w:rPr>
                <w:color w:val="000000"/>
                <w:sz w:val="22"/>
              </w:rPr>
            </w:pPr>
            <w:r>
              <w:rPr>
                <w:color w:val="000000"/>
                <w:sz w:val="22"/>
              </w:rPr>
              <w:t>2</w:t>
            </w:r>
          </w:p>
        </w:tc>
        <w:tc>
          <w:tcPr>
            <w:tcW w:type="dxa" w:w="5680"/>
            <w:tcBorders>
              <w:top w:color="000000" w:sz="4" w:val="single"/>
              <w:left w:color="000000" w:sz="4" w:val="single"/>
              <w:bottom w:color="000000" w:sz="4" w:val="single"/>
              <w:right w:color="000000" w:sz="4" w:val="single"/>
            </w:tcBorders>
            <w:shd w:fill="auto" w:val="clear"/>
            <w:vAlign w:val="center"/>
          </w:tcPr>
          <w:p w14:paraId="B2000000">
            <w:pPr>
              <w:widowControl w:val="1"/>
              <w:ind/>
              <w:jc w:val="center"/>
              <w:rPr>
                <w:color w:val="000000"/>
                <w:sz w:val="22"/>
              </w:rPr>
            </w:pPr>
            <w:r>
              <w:rPr>
                <w:color w:val="000000"/>
                <w:sz w:val="22"/>
              </w:rPr>
              <w:t>Санитарно-эпидемиологическая экспертиза по результатам обследования территории парков, кладбищ, лесопарков, детских оздоровительных учреждений на наличие иксодовых клещей, водоемов на наличие личинок комаров</w:t>
            </w:r>
          </w:p>
        </w:tc>
        <w:tc>
          <w:tcPr>
            <w:tcW w:type="dxa" w:w="960"/>
            <w:tcBorders>
              <w:top w:color="000000" w:sz="4" w:val="single"/>
              <w:left w:color="000000" w:sz="4" w:val="single"/>
              <w:bottom w:color="000000" w:sz="4" w:val="single"/>
              <w:right w:color="000000" w:sz="4" w:val="single"/>
            </w:tcBorders>
            <w:shd w:fill="auto" w:val="clear"/>
            <w:vAlign w:val="center"/>
          </w:tcPr>
          <w:p w14:paraId="B3000000">
            <w:pPr>
              <w:widowControl w:val="1"/>
              <w:ind/>
              <w:jc w:val="center"/>
              <w:rPr>
                <w:color w:val="000000"/>
                <w:sz w:val="22"/>
              </w:rPr>
            </w:pPr>
            <w:r>
              <w:rPr>
                <w:color w:val="000000"/>
                <w:sz w:val="22"/>
              </w:rPr>
              <w:t>1</w:t>
            </w:r>
          </w:p>
        </w:tc>
        <w:tc>
          <w:tcPr>
            <w:tcW w:type="dxa" w:w="1520"/>
            <w:tcBorders>
              <w:top w:color="000000" w:sz="4" w:val="single"/>
              <w:left w:color="000000" w:sz="4" w:val="single"/>
              <w:bottom w:color="000000" w:sz="4" w:val="single"/>
              <w:right w:color="000000" w:sz="4" w:val="single"/>
            </w:tcBorders>
            <w:shd w:fill="auto" w:val="clear"/>
            <w:vAlign w:val="center"/>
          </w:tcPr>
          <w:p w14:paraId="B4000000">
            <w:pPr>
              <w:widowControl w:val="1"/>
              <w:ind/>
              <w:jc w:val="center"/>
              <w:rPr>
                <w:color w:val="000000"/>
                <w:sz w:val="22"/>
              </w:rPr>
            </w:pPr>
          </w:p>
        </w:tc>
        <w:tc>
          <w:tcPr>
            <w:tcW w:type="dxa" w:w="1700"/>
            <w:tcBorders>
              <w:top w:color="000000" w:sz="4" w:val="single"/>
              <w:left w:color="000000" w:sz="4" w:val="single"/>
              <w:bottom w:color="000000" w:sz="4" w:val="single"/>
              <w:right w:color="000000" w:sz="4" w:val="single"/>
            </w:tcBorders>
            <w:shd w:fill="auto" w:val="clear"/>
            <w:vAlign w:val="center"/>
          </w:tcPr>
          <w:p w14:paraId="B5000000">
            <w:pPr>
              <w:widowControl w:val="1"/>
              <w:ind/>
              <w:jc w:val="center"/>
              <w:rPr>
                <w:color w:val="000000"/>
                <w:sz w:val="22"/>
              </w:rPr>
            </w:pPr>
          </w:p>
        </w:tc>
      </w:tr>
      <w:tr>
        <w:trPr>
          <w:trHeight w:hRule="atLeast" w:val="346"/>
        </w:trPr>
        <w:tc>
          <w:tcPr>
            <w:tcW w:type="dxa" w:w="660"/>
            <w:tcBorders>
              <w:top w:color="000000" w:sz="4" w:val="single"/>
              <w:left w:color="000000" w:sz="4" w:val="single"/>
              <w:bottom w:color="000000" w:sz="4" w:val="single"/>
              <w:right w:color="000000" w:sz="4" w:val="single"/>
            </w:tcBorders>
            <w:shd w:fill="auto" w:val="clear"/>
            <w:vAlign w:val="center"/>
          </w:tcPr>
          <w:p w14:paraId="B6000000">
            <w:pPr>
              <w:widowControl w:val="1"/>
              <w:ind/>
              <w:jc w:val="center"/>
              <w:rPr>
                <w:color w:val="000000"/>
                <w:sz w:val="22"/>
              </w:rPr>
            </w:pPr>
            <w:r>
              <w:rPr>
                <w:color w:val="000000"/>
                <w:sz w:val="22"/>
              </w:rPr>
              <w:t>3</w:t>
            </w:r>
          </w:p>
        </w:tc>
        <w:tc>
          <w:tcPr>
            <w:tcW w:type="dxa" w:w="5680"/>
            <w:tcBorders>
              <w:top w:color="000000" w:sz="4" w:val="single"/>
              <w:left w:color="000000" w:sz="4" w:val="single"/>
              <w:bottom w:color="000000" w:sz="4" w:val="single"/>
              <w:right w:color="000000" w:sz="4" w:val="single"/>
            </w:tcBorders>
            <w:shd w:fill="auto" w:val="clear"/>
            <w:vAlign w:val="center"/>
          </w:tcPr>
          <w:p w14:paraId="B7000000">
            <w:pPr>
              <w:widowControl w:val="1"/>
              <w:ind/>
              <w:jc w:val="center"/>
              <w:rPr>
                <w:color w:val="000000"/>
                <w:sz w:val="22"/>
              </w:rPr>
            </w:pPr>
            <w:r>
              <w:rPr>
                <w:color w:val="000000"/>
                <w:sz w:val="22"/>
              </w:rPr>
              <w:t xml:space="preserve">Санитарно-эпидемиологическая экспертиза эффективности противоклещевых обработок  </w:t>
            </w:r>
          </w:p>
        </w:tc>
        <w:tc>
          <w:tcPr>
            <w:tcW w:type="dxa" w:w="960"/>
            <w:tcBorders>
              <w:top w:color="000000" w:sz="4" w:val="single"/>
              <w:left w:color="000000" w:sz="4" w:val="single"/>
              <w:bottom w:color="000000" w:sz="4" w:val="single"/>
              <w:right w:color="000000" w:sz="4" w:val="single"/>
            </w:tcBorders>
            <w:shd w:fill="auto" w:val="clear"/>
            <w:vAlign w:val="center"/>
          </w:tcPr>
          <w:p w14:paraId="B8000000">
            <w:pPr>
              <w:widowControl w:val="1"/>
              <w:ind/>
              <w:jc w:val="center"/>
              <w:rPr>
                <w:color w:val="000000"/>
                <w:sz w:val="22"/>
              </w:rPr>
            </w:pPr>
            <w:r>
              <w:rPr>
                <w:color w:val="000000"/>
                <w:sz w:val="22"/>
              </w:rPr>
              <w:t>1</w:t>
            </w:r>
          </w:p>
        </w:tc>
        <w:tc>
          <w:tcPr>
            <w:tcW w:type="dxa" w:w="1520"/>
            <w:tcBorders>
              <w:top w:color="000000" w:sz="4" w:val="single"/>
              <w:left w:color="000000" w:sz="4" w:val="single"/>
              <w:bottom w:color="000000" w:sz="4" w:val="single"/>
              <w:right w:color="000000" w:sz="4" w:val="single"/>
            </w:tcBorders>
            <w:shd w:fill="auto" w:val="clear"/>
            <w:vAlign w:val="center"/>
          </w:tcPr>
          <w:p w14:paraId="B9000000">
            <w:pPr>
              <w:widowControl w:val="1"/>
              <w:ind/>
              <w:jc w:val="center"/>
              <w:rPr>
                <w:color w:val="000000"/>
                <w:sz w:val="22"/>
              </w:rPr>
            </w:pPr>
          </w:p>
        </w:tc>
        <w:tc>
          <w:tcPr>
            <w:tcW w:type="dxa" w:w="1700"/>
            <w:tcBorders>
              <w:top w:color="000000" w:sz="4" w:val="single"/>
              <w:left w:color="000000" w:sz="4" w:val="single"/>
              <w:bottom w:color="000000" w:sz="4" w:val="single"/>
              <w:right w:color="000000" w:sz="4" w:val="single"/>
            </w:tcBorders>
            <w:shd w:fill="auto" w:val="clear"/>
            <w:vAlign w:val="center"/>
          </w:tcPr>
          <w:p w14:paraId="BA000000">
            <w:pPr>
              <w:widowControl w:val="1"/>
              <w:ind/>
              <w:jc w:val="center"/>
              <w:rPr>
                <w:color w:val="000000"/>
                <w:sz w:val="22"/>
              </w:rPr>
            </w:pPr>
          </w:p>
        </w:tc>
      </w:tr>
      <w:tr>
        <w:trPr>
          <w:trHeight w:hRule="atLeast" w:val="307"/>
        </w:trPr>
        <w:tc>
          <w:tcPr>
            <w:tcW w:type="dxa" w:w="8820"/>
            <w:gridSpan w:val="4"/>
            <w:tcBorders>
              <w:top w:color="000000" w:sz="4" w:val="single"/>
              <w:left w:color="000000" w:sz="4" w:val="single"/>
              <w:bottom w:color="000000" w:sz="4" w:val="single"/>
              <w:right w:color="000000" w:sz="4" w:val="single"/>
            </w:tcBorders>
            <w:shd w:fill="auto" w:val="clear"/>
            <w:vAlign w:val="center"/>
          </w:tcPr>
          <w:p w14:paraId="BB000000">
            <w:pPr>
              <w:widowControl w:val="1"/>
              <w:ind/>
              <w:jc w:val="right"/>
              <w:rPr>
                <w:color w:val="000000"/>
                <w:sz w:val="22"/>
              </w:rPr>
            </w:pPr>
            <w:r>
              <w:rPr>
                <w:b w:val="1"/>
                <w:color w:val="000000"/>
                <w:sz w:val="22"/>
              </w:rPr>
              <w:t>Итого:</w:t>
            </w:r>
          </w:p>
        </w:tc>
        <w:tc>
          <w:tcPr>
            <w:tcW w:type="dxa" w:w="1700"/>
            <w:tcBorders>
              <w:top w:color="000000" w:sz="4" w:val="single"/>
              <w:left w:color="000000" w:sz="4" w:val="single"/>
              <w:bottom w:color="000000" w:sz="4" w:val="single"/>
              <w:right w:color="000000" w:sz="4" w:val="single"/>
            </w:tcBorders>
            <w:shd w:fill="auto" w:val="clear"/>
            <w:vAlign w:val="center"/>
          </w:tcPr>
          <w:p w14:paraId="BC000000">
            <w:pPr>
              <w:widowControl w:val="1"/>
              <w:ind/>
              <w:jc w:val="center"/>
              <w:rPr>
                <w:color w:val="000000"/>
                <w:sz w:val="22"/>
              </w:rPr>
            </w:pPr>
          </w:p>
        </w:tc>
      </w:tr>
    </w:tbl>
    <w:p w14:paraId="BD000000">
      <w:pPr>
        <w:widowControl w:val="1"/>
        <w:ind/>
        <w:jc w:val="center"/>
        <w:rPr>
          <w:b w:val="1"/>
          <w:sz w:val="22"/>
        </w:rPr>
      </w:pPr>
    </w:p>
    <w:p w14:paraId="BE000000">
      <w:pPr>
        <w:widowControl w:val="1"/>
        <w:ind/>
        <w:jc w:val="center"/>
        <w:rPr>
          <w:b w:val="1"/>
          <w:sz w:val="22"/>
        </w:rPr>
      </w:pPr>
    </w:p>
    <w:p w14:paraId="BF000000">
      <w:pPr>
        <w:rPr>
          <w:b w:val="1"/>
          <w:sz w:val="22"/>
        </w:rPr>
      </w:pPr>
    </w:p>
    <w:tbl>
      <w:tblPr>
        <w:tblStyle w:val="Style_7"/>
        <w:tblW w:type="auto" w:w="0"/>
        <w:jc w:val="center"/>
        <w:tblLayout w:type="fixed"/>
        <w:tblCellMar>
          <w:left w:type="dxa" w:w="0"/>
          <w:right w:type="dxa" w:w="0"/>
        </w:tblCellMar>
      </w:tblPr>
      <w:tblGrid>
        <w:gridCol w:w="4543"/>
        <w:gridCol w:w="502"/>
        <w:gridCol w:w="4310"/>
      </w:tblGrid>
      <w:tr>
        <w:tc>
          <w:tcPr>
            <w:tcW w:type="dxa" w:w="4543"/>
            <w:tcMar>
              <w:left w:type="dxa" w:w="0"/>
              <w:right w:type="dxa" w:w="0"/>
            </w:tcMar>
          </w:tcPr>
          <w:p w14:paraId="C0000000">
            <w:pPr>
              <w:rPr>
                <w:b w:val="1"/>
                <w:sz w:val="22"/>
              </w:rPr>
            </w:pPr>
            <w:r>
              <w:rPr>
                <w:b w:val="1"/>
                <w:sz w:val="22"/>
              </w:rPr>
              <w:t>Заказчик:</w:t>
            </w:r>
          </w:p>
        </w:tc>
        <w:tc>
          <w:tcPr>
            <w:tcW w:type="dxa" w:w="502"/>
            <w:tcMar>
              <w:left w:type="dxa" w:w="0"/>
              <w:right w:type="dxa" w:w="0"/>
            </w:tcMar>
          </w:tcPr>
          <w:p w14:paraId="C1000000">
            <w:pPr>
              <w:rPr>
                <w:b w:val="1"/>
                <w:i w:val="1"/>
                <w:sz w:val="22"/>
              </w:rPr>
            </w:pPr>
          </w:p>
        </w:tc>
        <w:tc>
          <w:tcPr>
            <w:tcW w:type="dxa" w:w="4310"/>
            <w:tcMar>
              <w:left w:type="dxa" w:w="0"/>
              <w:right w:type="dxa" w:w="0"/>
            </w:tcMar>
          </w:tcPr>
          <w:p w14:paraId="C2000000">
            <w:pPr>
              <w:rPr>
                <w:b w:val="1"/>
                <w:sz w:val="22"/>
              </w:rPr>
            </w:pPr>
            <w:r>
              <w:rPr>
                <w:b w:val="1"/>
                <w:sz w:val="22"/>
              </w:rPr>
              <w:t>Исполнитель:</w:t>
            </w:r>
          </w:p>
        </w:tc>
      </w:tr>
      <w:tr>
        <w:tc>
          <w:tcPr>
            <w:tcW w:type="dxa" w:w="4543"/>
            <w:tcMar>
              <w:left w:type="dxa" w:w="0"/>
              <w:right w:type="dxa" w:w="0"/>
            </w:tcMar>
          </w:tcPr>
          <w:p w14:paraId="C3000000">
            <w:pPr>
              <w:rPr>
                <w:color w:val="000000"/>
                <w:sz w:val="22"/>
              </w:rPr>
            </w:pPr>
            <w:r>
              <w:rPr>
                <w:sz w:val="22"/>
              </w:rPr>
              <w:t>Заведующий</w:t>
            </w:r>
          </w:p>
        </w:tc>
        <w:tc>
          <w:tcPr>
            <w:tcW w:type="dxa" w:w="502"/>
            <w:tcMar>
              <w:left w:type="dxa" w:w="0"/>
              <w:right w:type="dxa" w:w="0"/>
            </w:tcMar>
          </w:tcPr>
          <w:p w14:paraId="C4000000">
            <w:pPr>
              <w:widowControl w:val="1"/>
              <w:tabs>
                <w:tab w:leader="none" w:pos="426" w:val="left"/>
                <w:tab w:leader="none" w:pos="927" w:val="left"/>
              </w:tabs>
              <w:ind/>
              <w:jc w:val="both"/>
              <w:rPr>
                <w:b w:val="1"/>
                <w:sz w:val="22"/>
              </w:rPr>
            </w:pPr>
          </w:p>
        </w:tc>
        <w:tc>
          <w:tcPr>
            <w:tcW w:type="dxa" w:w="4310"/>
            <w:tcMar>
              <w:left w:type="dxa" w:w="0"/>
              <w:right w:type="dxa" w:w="0"/>
            </w:tcMar>
          </w:tcPr>
          <w:p w14:paraId="C5000000">
            <w:pPr>
              <w:widowControl w:val="1"/>
              <w:tabs>
                <w:tab w:leader="none" w:pos="426" w:val="left"/>
                <w:tab w:leader="none" w:pos="927" w:val="left"/>
              </w:tabs>
              <w:ind/>
              <w:jc w:val="both"/>
              <w:rPr>
                <w:b w:val="1"/>
                <w:sz w:val="22"/>
              </w:rPr>
            </w:pPr>
          </w:p>
        </w:tc>
      </w:tr>
      <w:tr>
        <w:trPr>
          <w:trHeight w:hRule="atLeast" w:val="98"/>
        </w:trPr>
        <w:tc>
          <w:tcPr>
            <w:tcW w:type="dxa" w:w="4543"/>
            <w:tcMar>
              <w:left w:type="dxa" w:w="0"/>
              <w:right w:type="dxa" w:w="0"/>
            </w:tcMar>
          </w:tcPr>
          <w:p w14:paraId="C6000000">
            <w:pPr>
              <w:rPr>
                <w:b w:val="1"/>
                <w:sz w:val="22"/>
              </w:rPr>
            </w:pPr>
            <w:r>
              <w:rPr>
                <w:sz w:val="22"/>
              </w:rPr>
              <w:t xml:space="preserve">_____________  </w:t>
            </w:r>
            <w:r>
              <w:rPr>
                <w:b w:val="1"/>
                <w:sz w:val="22"/>
              </w:rPr>
              <w:t>/</w:t>
            </w:r>
            <w:r>
              <w:rPr>
                <w:sz w:val="22"/>
              </w:rPr>
              <w:t>Лоза О.А.</w:t>
            </w:r>
            <w:r>
              <w:rPr>
                <w:b w:val="1"/>
                <w:sz w:val="22"/>
              </w:rPr>
              <w:t>/</w:t>
            </w:r>
          </w:p>
          <w:p w14:paraId="C7000000">
            <w:pPr>
              <w:rPr>
                <w:color w:val="000000"/>
                <w:sz w:val="22"/>
              </w:rPr>
            </w:pPr>
            <w:r>
              <w:rPr>
                <w:i w:val="1"/>
                <w:sz w:val="22"/>
              </w:rPr>
              <w:t>ПОДПИСАНО ЭЦП</w:t>
            </w:r>
          </w:p>
        </w:tc>
        <w:tc>
          <w:tcPr>
            <w:tcW w:type="dxa" w:w="502"/>
            <w:tcMar>
              <w:left w:type="dxa" w:w="0"/>
              <w:right w:type="dxa" w:w="0"/>
            </w:tcMar>
          </w:tcPr>
          <w:p w14:paraId="C8000000">
            <w:pPr>
              <w:widowControl w:val="1"/>
              <w:tabs>
                <w:tab w:leader="none" w:pos="426" w:val="left"/>
                <w:tab w:leader="none" w:pos="927" w:val="left"/>
              </w:tabs>
              <w:ind/>
              <w:jc w:val="both"/>
              <w:rPr>
                <w:b w:val="1"/>
                <w:sz w:val="22"/>
              </w:rPr>
            </w:pPr>
          </w:p>
        </w:tc>
        <w:tc>
          <w:tcPr>
            <w:tcW w:type="dxa" w:w="4310"/>
            <w:tcMar>
              <w:left w:type="dxa" w:w="0"/>
              <w:right w:type="dxa" w:w="0"/>
            </w:tcMar>
          </w:tcPr>
          <w:p w14:paraId="C9000000">
            <w:pPr>
              <w:widowControl w:val="1"/>
              <w:tabs>
                <w:tab w:leader="none" w:pos="426" w:val="left"/>
                <w:tab w:leader="none" w:pos="927" w:val="left"/>
              </w:tabs>
              <w:ind/>
              <w:jc w:val="both"/>
              <w:rPr>
                <w:sz w:val="22"/>
              </w:rPr>
            </w:pPr>
            <w:r>
              <w:rPr>
                <w:sz w:val="22"/>
              </w:rPr>
              <w:t>______________/</w:t>
            </w:r>
            <w:r>
              <w:rPr>
                <w:sz w:val="22"/>
              </w:rPr>
              <w:t>_________</w:t>
            </w:r>
            <w:r>
              <w:rPr>
                <w:b w:val="1"/>
                <w:sz w:val="22"/>
              </w:rPr>
              <w:t xml:space="preserve"> </w:t>
            </w:r>
            <w:r>
              <w:rPr>
                <w:sz w:val="22"/>
              </w:rPr>
              <w:t>/</w:t>
            </w:r>
          </w:p>
          <w:p w14:paraId="CA000000">
            <w:pPr>
              <w:widowControl w:val="1"/>
              <w:tabs>
                <w:tab w:leader="none" w:pos="426" w:val="left"/>
                <w:tab w:leader="none" w:pos="927" w:val="left"/>
              </w:tabs>
              <w:ind/>
              <w:jc w:val="both"/>
              <w:rPr>
                <w:b w:val="1"/>
                <w:sz w:val="22"/>
              </w:rPr>
            </w:pPr>
            <w:r>
              <w:rPr>
                <w:i w:val="1"/>
                <w:sz w:val="22"/>
              </w:rPr>
              <w:t>ПОДПИСАНО ЭЦП</w:t>
            </w:r>
          </w:p>
        </w:tc>
      </w:tr>
    </w:tbl>
    <w:p w14:paraId="CB000000">
      <w:pPr>
        <w:widowControl w:val="1"/>
        <w:tabs>
          <w:tab w:leader="none" w:pos="5025" w:val="left"/>
          <w:tab w:leader="none" w:pos="5235" w:val="left"/>
        </w:tabs>
        <w:ind/>
        <w:rPr>
          <w:sz w:val="22"/>
        </w:rPr>
      </w:pPr>
    </w:p>
    <w:p w14:paraId="CC000000">
      <w:pPr>
        <w:sectPr>
          <w:headerReference r:id="rId1" w:type="default"/>
          <w:headerReference r:id="rId5" w:type="first"/>
          <w:pgSz w:h="11906" w:orient="landscape" w:w="16838"/>
          <w:pgMar w:bottom="851" w:footer="709" w:gutter="0" w:header="709" w:left="709" w:right="1134" w:top="1701"/>
          <w:titlePg/>
        </w:sectPr>
      </w:pPr>
    </w:p>
    <w:p w14:paraId="CD000000">
      <w:pPr>
        <w:widowControl w:val="1"/>
        <w:ind/>
        <w:jc w:val="right"/>
        <w:rPr>
          <w:sz w:val="22"/>
        </w:rPr>
      </w:pPr>
      <w:r>
        <w:rPr>
          <w:sz w:val="22"/>
        </w:rPr>
        <w:t>Приложение № 2 к контракту</w:t>
      </w:r>
    </w:p>
    <w:p w14:paraId="CE000000">
      <w:pPr>
        <w:widowControl w:val="1"/>
        <w:ind/>
        <w:jc w:val="right"/>
        <w:rPr>
          <w:color w:val="000000"/>
          <w:sz w:val="22"/>
        </w:rPr>
      </w:pPr>
      <w:r>
        <w:rPr>
          <w:sz w:val="22"/>
        </w:rPr>
        <w:t xml:space="preserve">№ </w:t>
      </w:r>
      <w:r>
        <w:rPr>
          <w:sz w:val="22"/>
        </w:rPr>
        <w:t>АКАР-</w:t>
      </w:r>
      <w:r>
        <w:rPr>
          <w:sz w:val="22"/>
        </w:rPr>
        <w:t>109</w:t>
      </w:r>
    </w:p>
    <w:p w14:paraId="CF000000">
      <w:pPr>
        <w:widowControl w:val="1"/>
        <w:ind/>
        <w:jc w:val="right"/>
        <w:rPr>
          <w:sz w:val="22"/>
        </w:rPr>
      </w:pPr>
      <w:r>
        <w:rPr>
          <w:sz w:val="22"/>
        </w:rPr>
        <w:t xml:space="preserve"> </w:t>
      </w:r>
      <w:r>
        <w:rPr>
          <w:sz w:val="22"/>
        </w:rPr>
        <w:t xml:space="preserve">от </w:t>
      </w:r>
      <w:r>
        <w:rPr>
          <w:sz w:val="22"/>
        </w:rPr>
        <w:t>___</w:t>
      </w:r>
      <w:r>
        <w:rPr>
          <w:sz w:val="22"/>
        </w:rPr>
        <w:t>.202</w:t>
      </w:r>
      <w:r>
        <w:rPr>
          <w:sz w:val="22"/>
        </w:rPr>
        <w:t>6</w:t>
      </w:r>
      <w:r>
        <w:rPr>
          <w:sz w:val="22"/>
        </w:rPr>
        <w:t xml:space="preserve"> </w:t>
      </w:r>
      <w:r>
        <w:rPr>
          <w:sz w:val="22"/>
        </w:rPr>
        <w:t>г.</w:t>
      </w:r>
    </w:p>
    <w:p w14:paraId="D0000000">
      <w:pPr>
        <w:pStyle w:val="Style_8"/>
        <w:keepNext w:val="0"/>
        <w:widowControl w:val="0"/>
        <w:ind/>
        <w:rPr>
          <w:sz w:val="22"/>
        </w:rPr>
      </w:pPr>
      <w:r>
        <w:rPr>
          <w:sz w:val="22"/>
        </w:rPr>
        <w:t>Техническое задание</w:t>
      </w:r>
      <w:r>
        <w:rPr>
          <w:sz w:val="22"/>
        </w:rPr>
        <w:t xml:space="preserve"> </w:t>
      </w:r>
      <w:r>
        <w:rPr>
          <w:sz w:val="22"/>
        </w:rPr>
        <w:t xml:space="preserve">на </w:t>
      </w:r>
      <w:r>
        <w:rPr>
          <w:sz w:val="22"/>
        </w:rPr>
        <w:t>оказание услуг</w:t>
      </w:r>
      <w:r>
        <w:rPr>
          <w:sz w:val="22"/>
        </w:rPr>
        <w:t xml:space="preserve"> </w:t>
      </w:r>
    </w:p>
    <w:p w14:paraId="D1000000">
      <w:pPr>
        <w:pStyle w:val="Style_8"/>
        <w:keepNext w:val="0"/>
        <w:widowControl w:val="0"/>
        <w:ind/>
        <w:rPr>
          <w:sz w:val="22"/>
        </w:rPr>
      </w:pPr>
      <w:r>
        <w:rPr>
          <w:sz w:val="22"/>
        </w:rPr>
        <w:t>по акарицидной обработке территории</w:t>
      </w:r>
    </w:p>
    <w:p w14:paraId="D2000000">
      <w:pPr>
        <w:widowControl w:val="1"/>
        <w:ind/>
        <w:jc w:val="center"/>
        <w:rPr>
          <w:b w:val="1"/>
          <w:sz w:val="22"/>
        </w:rPr>
      </w:pPr>
    </w:p>
    <w:p w14:paraId="D3000000">
      <w:pPr>
        <w:pStyle w:val="Style_9"/>
        <w:keepNext w:val="0"/>
        <w:widowControl w:val="0"/>
        <w:numPr>
          <w:ilvl w:val="0"/>
          <w:numId w:val="1"/>
        </w:numPr>
        <w:spacing w:line="276" w:lineRule="auto"/>
        <w:ind w:right="0"/>
        <w:rPr>
          <w:sz w:val="22"/>
        </w:rPr>
      </w:pPr>
      <w:r>
        <w:rPr>
          <w:sz w:val="22"/>
        </w:rPr>
        <w:t>Предмет закупки</w:t>
      </w:r>
    </w:p>
    <w:p w14:paraId="D4000000">
      <w:pPr>
        <w:pStyle w:val="Style_10"/>
        <w:widowControl w:val="0"/>
        <w:ind w:left="360"/>
        <w:jc w:val="both"/>
        <w:rPr>
          <w:sz w:val="22"/>
        </w:rPr>
      </w:pPr>
      <w:r>
        <w:rPr>
          <w:sz w:val="22"/>
        </w:rPr>
        <w:t>Оказание услуг по акарицидной обработке территорий (в т.ч. парков, скверов, учреждений социального значения и пр.), направленных на снижение численности иксодовых клещей и профилактику природно-очаговых инфекционных заболеваний.</w:t>
      </w:r>
    </w:p>
    <w:p w14:paraId="D5000000">
      <w:pPr>
        <w:pStyle w:val="Style_9"/>
        <w:keepNext w:val="0"/>
        <w:widowControl w:val="0"/>
        <w:numPr>
          <w:ilvl w:val="0"/>
          <w:numId w:val="1"/>
        </w:numPr>
        <w:spacing w:line="276" w:lineRule="auto"/>
        <w:ind w:right="0"/>
        <w:jc w:val="both"/>
        <w:rPr>
          <w:sz w:val="22"/>
        </w:rPr>
      </w:pPr>
      <w:r>
        <w:rPr>
          <w:sz w:val="22"/>
        </w:rPr>
        <w:t>Требования к участникам закупки</w:t>
      </w:r>
    </w:p>
    <w:p w14:paraId="D6000000">
      <w:pPr>
        <w:pStyle w:val="Style_11"/>
        <w:widowControl w:val="0"/>
        <w:numPr>
          <w:ilvl w:val="1"/>
          <w:numId w:val="1"/>
        </w:numPr>
        <w:tabs>
          <w:tab w:leader="none" w:pos="360" w:val="clear"/>
          <w:tab w:leader="none" w:pos="993" w:val="left"/>
        </w:tabs>
        <w:spacing w:after="0"/>
        <w:ind/>
        <w:jc w:val="both"/>
        <w:rPr>
          <w:sz w:val="22"/>
        </w:rPr>
      </w:pPr>
      <w:r>
        <w:rPr>
          <w:sz w:val="22"/>
        </w:rPr>
        <w:t>Наличие лицензии на осуществление дезинфекционной деятельности, выданной в соответствии с Постановлением Правительства РФ от 01.06.2021 N 852.</w:t>
      </w:r>
    </w:p>
    <w:p w14:paraId="D7000000">
      <w:pPr>
        <w:pStyle w:val="Style_11"/>
        <w:widowControl w:val="0"/>
        <w:numPr>
          <w:ilvl w:val="1"/>
          <w:numId w:val="1"/>
        </w:numPr>
        <w:tabs>
          <w:tab w:leader="none" w:pos="360" w:val="clear"/>
          <w:tab w:leader="none" w:pos="993" w:val="left"/>
        </w:tabs>
        <w:spacing w:after="0"/>
        <w:ind/>
        <w:rPr>
          <w:sz w:val="22"/>
        </w:rPr>
      </w:pPr>
      <w:r>
        <w:rPr>
          <w:sz w:val="22"/>
        </w:rPr>
        <w:t>Наличие испытательной лаборатории, аккредитованной в национальной системе аккредитации, внесённой в реестр Росаккредитации, с областью аккредитации, включающей:</w:t>
      </w:r>
    </w:p>
    <w:p w14:paraId="D8000000">
      <w:pPr>
        <w:pStyle w:val="Style_11"/>
        <w:widowControl w:val="0"/>
        <w:numPr>
          <w:ilvl w:val="0"/>
          <w:numId w:val="0"/>
        </w:numPr>
        <w:tabs>
          <w:tab w:leader="none" w:pos="360" w:val="clear"/>
          <w:tab w:leader="none" w:pos="993" w:val="left"/>
        </w:tabs>
        <w:spacing w:after="0"/>
        <w:ind w:left="792"/>
        <w:jc w:val="both"/>
        <w:rPr>
          <w:sz w:val="22"/>
        </w:rPr>
      </w:pPr>
      <w:r>
        <w:rPr>
          <w:sz w:val="22"/>
        </w:rPr>
        <w:t>- проведение работ с патогенными биологическими агентами 2,3,4 группы патогенности при идентификации видов клещей;</w:t>
      </w:r>
    </w:p>
    <w:p w14:paraId="D9000000">
      <w:pPr>
        <w:pStyle w:val="Style_11"/>
        <w:widowControl w:val="0"/>
        <w:numPr>
          <w:ilvl w:val="0"/>
          <w:numId w:val="0"/>
        </w:numPr>
        <w:tabs>
          <w:tab w:leader="none" w:pos="360" w:val="clear"/>
          <w:tab w:leader="none" w:pos="993" w:val="left"/>
        </w:tabs>
        <w:spacing w:after="0"/>
        <w:ind w:left="792"/>
        <w:jc w:val="both"/>
        <w:rPr>
          <w:sz w:val="22"/>
        </w:rPr>
      </w:pPr>
      <w:r>
        <w:rPr>
          <w:sz w:val="22"/>
        </w:rPr>
        <w:t>- идентификацию иксодовых клещей;</w:t>
      </w:r>
    </w:p>
    <w:p w14:paraId="DA000000">
      <w:pPr>
        <w:pStyle w:val="Style_11"/>
        <w:widowControl w:val="0"/>
        <w:numPr>
          <w:ilvl w:val="0"/>
          <w:numId w:val="0"/>
        </w:numPr>
        <w:tabs>
          <w:tab w:leader="none" w:pos="360" w:val="clear"/>
          <w:tab w:leader="none" w:pos="993" w:val="left"/>
        </w:tabs>
        <w:spacing w:after="0"/>
        <w:ind w:left="792"/>
        <w:jc w:val="both"/>
        <w:rPr>
          <w:sz w:val="22"/>
        </w:rPr>
      </w:pPr>
      <w:r>
        <w:rPr>
          <w:sz w:val="22"/>
        </w:rPr>
        <w:t>- количественную оценку численности популяций клещей на открытых территориях.</w:t>
      </w:r>
    </w:p>
    <w:p w14:paraId="DB000000">
      <w:pPr>
        <w:pStyle w:val="Style_11"/>
        <w:widowControl w:val="0"/>
        <w:numPr>
          <w:ilvl w:val="1"/>
          <w:numId w:val="1"/>
        </w:numPr>
        <w:tabs>
          <w:tab w:leader="none" w:pos="360" w:val="clear"/>
          <w:tab w:leader="none" w:pos="993" w:val="left"/>
        </w:tabs>
        <w:spacing w:after="0"/>
        <w:ind/>
        <w:jc w:val="both"/>
        <w:rPr>
          <w:sz w:val="22"/>
        </w:rPr>
      </w:pPr>
      <w:r>
        <w:rPr>
          <w:sz w:val="22"/>
        </w:rPr>
        <w:t xml:space="preserve">Наличие органа инспекции, аккредитованного в соответствии с ГОСТ </w:t>
      </w:r>
      <w:r>
        <w:rPr>
          <w:sz w:val="22"/>
        </w:rPr>
        <w:t>ISO</w:t>
      </w:r>
      <w:r>
        <w:rPr>
          <w:sz w:val="22"/>
        </w:rPr>
        <w:t>/</w:t>
      </w:r>
      <w:r>
        <w:rPr>
          <w:sz w:val="22"/>
        </w:rPr>
        <w:t>IEC</w:t>
      </w:r>
      <w:r>
        <w:rPr>
          <w:sz w:val="22"/>
        </w:rPr>
        <w:t xml:space="preserve"> 17020-2012 (тип </w:t>
      </w:r>
      <w:r>
        <w:rPr>
          <w:sz w:val="22"/>
        </w:rPr>
        <w:t>A</w:t>
      </w:r>
      <w:r>
        <w:rPr>
          <w:sz w:val="22"/>
        </w:rPr>
        <w:t xml:space="preserve">, </w:t>
      </w:r>
      <w:r>
        <w:rPr>
          <w:sz w:val="22"/>
        </w:rPr>
        <w:t>B</w:t>
      </w:r>
      <w:r>
        <w:rPr>
          <w:sz w:val="22"/>
        </w:rPr>
        <w:t xml:space="preserve"> или </w:t>
      </w:r>
      <w:r>
        <w:rPr>
          <w:sz w:val="22"/>
        </w:rPr>
        <w:t>C</w:t>
      </w:r>
      <w:r>
        <w:rPr>
          <w:sz w:val="22"/>
        </w:rPr>
        <w:t>), с областью аккредитации, включающей:</w:t>
      </w:r>
    </w:p>
    <w:p w14:paraId="DC000000">
      <w:pPr>
        <w:pStyle w:val="Style_11"/>
        <w:widowControl w:val="0"/>
        <w:numPr>
          <w:ilvl w:val="0"/>
          <w:numId w:val="0"/>
        </w:numPr>
        <w:tabs>
          <w:tab w:leader="none" w:pos="360" w:val="clear"/>
          <w:tab w:leader="none" w:pos="993" w:val="left"/>
        </w:tabs>
        <w:spacing w:after="0"/>
        <w:ind w:left="792"/>
        <w:jc w:val="both"/>
        <w:rPr>
          <w:sz w:val="22"/>
        </w:rPr>
      </w:pPr>
      <w:r>
        <w:rPr>
          <w:sz w:val="22"/>
        </w:rPr>
        <w:t>- санитарно-эпидемиологический контроль;</w:t>
      </w:r>
    </w:p>
    <w:p w14:paraId="DD000000">
      <w:pPr>
        <w:pStyle w:val="Style_11"/>
        <w:widowControl w:val="0"/>
        <w:numPr>
          <w:ilvl w:val="0"/>
          <w:numId w:val="0"/>
        </w:numPr>
        <w:tabs>
          <w:tab w:leader="none" w:pos="360" w:val="clear"/>
        </w:tabs>
        <w:spacing w:after="0"/>
        <w:ind w:left="792"/>
        <w:jc w:val="both"/>
        <w:rPr>
          <w:sz w:val="22"/>
        </w:rPr>
      </w:pPr>
      <w:r>
        <w:rPr>
          <w:sz w:val="22"/>
        </w:rPr>
        <w:t>- инспекцию дезинфекционных, дезинсекционных и дератизационных мероприятий.</w:t>
      </w:r>
    </w:p>
    <w:p w14:paraId="DE000000">
      <w:pPr>
        <w:pStyle w:val="Style_11"/>
        <w:widowControl w:val="0"/>
        <w:numPr>
          <w:ilvl w:val="1"/>
          <w:numId w:val="1"/>
        </w:numPr>
        <w:tabs>
          <w:tab w:leader="none" w:pos="360" w:val="clear"/>
          <w:tab w:leader="none" w:pos="993" w:val="left"/>
        </w:tabs>
        <w:spacing w:after="0"/>
        <w:ind/>
        <w:jc w:val="both"/>
        <w:rPr>
          <w:sz w:val="22"/>
        </w:rPr>
      </w:pPr>
      <w:r>
        <w:rPr>
          <w:sz w:val="22"/>
        </w:rPr>
        <w:t>Наличие в штате или по договору специалистов с профильным высшим образованием (эпидемиология, зоология, биология, энтомология) в соответс</w:t>
      </w:r>
      <w:r>
        <w:rPr>
          <w:sz w:val="22"/>
        </w:rPr>
        <w:t>т</w:t>
      </w:r>
      <w:r>
        <w:rPr>
          <w:sz w:val="22"/>
        </w:rPr>
        <w:t>вии с Приказом Минздравсоцразвития №541н.</w:t>
      </w:r>
    </w:p>
    <w:p w14:paraId="DF000000">
      <w:pPr>
        <w:pStyle w:val="Style_11"/>
        <w:widowControl w:val="0"/>
        <w:numPr>
          <w:ilvl w:val="1"/>
          <w:numId w:val="1"/>
        </w:numPr>
        <w:tabs>
          <w:tab w:leader="none" w:pos="360" w:val="clear"/>
          <w:tab w:leader="none" w:pos="993" w:val="left"/>
        </w:tabs>
        <w:spacing w:after="0"/>
        <w:ind/>
        <w:jc w:val="both"/>
        <w:rPr>
          <w:sz w:val="22"/>
        </w:rPr>
      </w:pPr>
      <w:r>
        <w:rPr>
          <w:sz w:val="22"/>
        </w:rPr>
        <w:t>Лица, занимающиеся проведением акарицидных работ, должны иметь документы, подтверждающие их профессиональную подготовку и аттестацию.</w:t>
      </w:r>
    </w:p>
    <w:p w14:paraId="E0000000">
      <w:pPr>
        <w:pStyle w:val="Style_11"/>
        <w:widowControl w:val="0"/>
        <w:numPr>
          <w:ilvl w:val="1"/>
          <w:numId w:val="1"/>
        </w:numPr>
        <w:tabs>
          <w:tab w:leader="none" w:pos="360" w:val="clear"/>
          <w:tab w:leader="none" w:pos="993" w:val="left"/>
        </w:tabs>
        <w:spacing w:after="0"/>
        <w:ind/>
        <w:jc w:val="both"/>
        <w:rPr>
          <w:sz w:val="22"/>
        </w:rPr>
      </w:pPr>
      <w:r>
        <w:rPr>
          <w:sz w:val="22"/>
        </w:rPr>
        <w:t xml:space="preserve">Применение инсектоакарицидных средств, зарегистрированных в Государственном реестре дезинфекционных средств Роспотребнадзора. </w:t>
      </w:r>
    </w:p>
    <w:p w14:paraId="E1000000">
      <w:pPr>
        <w:pStyle w:val="Style_11"/>
        <w:widowControl w:val="0"/>
        <w:numPr>
          <w:ilvl w:val="1"/>
          <w:numId w:val="1"/>
        </w:numPr>
        <w:tabs>
          <w:tab w:leader="none" w:pos="360" w:val="clear"/>
          <w:tab w:leader="none" w:pos="993" w:val="left"/>
        </w:tabs>
        <w:spacing w:after="0"/>
        <w:ind/>
        <w:jc w:val="both"/>
        <w:rPr>
          <w:sz w:val="22"/>
        </w:rPr>
      </w:pPr>
      <w:r>
        <w:rPr>
          <w:sz w:val="22"/>
        </w:rPr>
        <w:t>Предоставление сведений о планируемых к применению препаратов, в том числе свидетельство о государственной регистрации и сертификат соответствия</w:t>
      </w:r>
      <w:r>
        <w:rPr>
          <w:sz w:val="22"/>
        </w:rPr>
        <w:t>.</w:t>
      </w:r>
    </w:p>
    <w:p w14:paraId="E2000000">
      <w:pPr>
        <w:pStyle w:val="Style_9"/>
        <w:keepNext w:val="0"/>
        <w:widowControl w:val="0"/>
        <w:numPr>
          <w:ilvl w:val="0"/>
          <w:numId w:val="1"/>
        </w:numPr>
        <w:spacing w:line="276" w:lineRule="auto"/>
        <w:ind w:right="0"/>
        <w:jc w:val="both"/>
        <w:rPr>
          <w:sz w:val="22"/>
        </w:rPr>
      </w:pPr>
      <w:r>
        <w:rPr>
          <w:sz w:val="22"/>
        </w:rPr>
        <w:t>Порядок выполнения работ</w:t>
      </w:r>
    </w:p>
    <w:p w14:paraId="E3000000">
      <w:pPr>
        <w:pStyle w:val="Style_11"/>
        <w:widowControl w:val="0"/>
        <w:numPr>
          <w:ilvl w:val="1"/>
          <w:numId w:val="1"/>
        </w:numPr>
        <w:tabs>
          <w:tab w:leader="none" w:pos="360" w:val="clear"/>
        </w:tabs>
        <w:spacing w:after="0"/>
        <w:ind/>
        <w:jc w:val="both"/>
        <w:rPr>
          <w:sz w:val="22"/>
        </w:rPr>
      </w:pPr>
      <w:r>
        <w:rPr>
          <w:sz w:val="22"/>
        </w:rPr>
        <w:t>Проведение санитарно-эпидемиологического обследования с лабораторной идентификацией клещей до вида, с возможностью проведения исследования отловленных клещей на носительство клещевых инфекций и последующе передачи этой информации заказчику.</w:t>
      </w:r>
    </w:p>
    <w:p w14:paraId="E4000000">
      <w:pPr>
        <w:pStyle w:val="Style_11"/>
        <w:widowControl w:val="0"/>
        <w:numPr>
          <w:ilvl w:val="1"/>
          <w:numId w:val="1"/>
        </w:numPr>
        <w:tabs>
          <w:tab w:leader="none" w:pos="360" w:val="clear"/>
        </w:tabs>
        <w:spacing w:after="0"/>
        <w:ind/>
        <w:jc w:val="both"/>
        <w:rPr>
          <w:sz w:val="22"/>
        </w:rPr>
      </w:pPr>
      <w:r>
        <w:rPr>
          <w:sz w:val="22"/>
        </w:rPr>
        <w:t>Проведение санитарно-эпидемиологической экспертизы первичного обследования</w:t>
      </w:r>
      <w:r>
        <w:rPr>
          <w:sz w:val="22"/>
        </w:rPr>
        <w:t>.</w:t>
      </w:r>
    </w:p>
    <w:p w14:paraId="E5000000">
      <w:pPr>
        <w:pStyle w:val="Style_11"/>
        <w:widowControl w:val="0"/>
        <w:numPr>
          <w:ilvl w:val="1"/>
          <w:numId w:val="1"/>
        </w:numPr>
        <w:tabs>
          <w:tab w:leader="none" w:pos="360" w:val="clear"/>
        </w:tabs>
        <w:spacing w:after="0"/>
        <w:ind/>
        <w:jc w:val="both"/>
        <w:rPr>
          <w:sz w:val="22"/>
        </w:rPr>
      </w:pPr>
      <w:r>
        <w:rPr>
          <w:sz w:val="22"/>
        </w:rPr>
        <w:t>Предоставление:</w:t>
      </w:r>
    </w:p>
    <w:p w14:paraId="E6000000">
      <w:pPr>
        <w:pStyle w:val="Style_11"/>
        <w:widowControl w:val="0"/>
        <w:numPr>
          <w:ilvl w:val="0"/>
          <w:numId w:val="0"/>
        </w:numPr>
        <w:tabs>
          <w:tab w:leader="none" w:pos="360" w:val="clear"/>
        </w:tabs>
        <w:spacing w:after="0"/>
        <w:ind w:left="792"/>
        <w:jc w:val="both"/>
        <w:rPr>
          <w:sz w:val="22"/>
        </w:rPr>
      </w:pPr>
      <w:r>
        <w:rPr>
          <w:sz w:val="22"/>
        </w:rPr>
        <w:t>- заключения органа инспекции о соответствии оказанных услуг требованиям;</w:t>
      </w:r>
    </w:p>
    <w:p w14:paraId="E7000000">
      <w:pPr>
        <w:pStyle w:val="Style_11"/>
        <w:widowControl w:val="0"/>
        <w:numPr>
          <w:ilvl w:val="0"/>
          <w:numId w:val="0"/>
        </w:numPr>
        <w:tabs>
          <w:tab w:leader="none" w:pos="360" w:val="clear"/>
        </w:tabs>
        <w:spacing w:after="0"/>
        <w:ind w:left="792"/>
        <w:jc w:val="both"/>
        <w:rPr>
          <w:sz w:val="22"/>
        </w:rPr>
      </w:pPr>
      <w:r>
        <w:rPr>
          <w:sz w:val="22"/>
        </w:rPr>
        <w:t>- акта выполненных работ по проведенному обследованию</w:t>
      </w:r>
    </w:p>
    <w:p w14:paraId="E8000000">
      <w:pPr>
        <w:pStyle w:val="Style_11"/>
        <w:widowControl w:val="0"/>
        <w:numPr>
          <w:ilvl w:val="1"/>
          <w:numId w:val="1"/>
        </w:numPr>
        <w:tabs>
          <w:tab w:leader="none" w:pos="360" w:val="clear"/>
        </w:tabs>
        <w:spacing w:after="0"/>
        <w:ind/>
        <w:rPr>
          <w:sz w:val="22"/>
        </w:rPr>
      </w:pPr>
      <w:r>
        <w:rPr>
          <w:sz w:val="22"/>
        </w:rPr>
        <w:t>Проведение акарицидной обработки в соответствии с нормативными методиками.</w:t>
      </w:r>
    </w:p>
    <w:p w14:paraId="E9000000">
      <w:pPr>
        <w:pStyle w:val="Style_11"/>
        <w:widowControl w:val="0"/>
        <w:numPr>
          <w:ilvl w:val="1"/>
          <w:numId w:val="1"/>
        </w:numPr>
        <w:tabs>
          <w:tab w:leader="none" w:pos="360" w:val="clear"/>
        </w:tabs>
        <w:spacing w:after="0"/>
        <w:ind/>
        <w:jc w:val="both"/>
        <w:rPr>
          <w:sz w:val="22"/>
        </w:rPr>
      </w:pPr>
      <w:r>
        <w:rPr>
          <w:sz w:val="22"/>
        </w:rPr>
        <w:t>Проведение контрольного энтомологического обследования через 3-5 дней и 15 дней после обработки.</w:t>
      </w:r>
    </w:p>
    <w:p w14:paraId="EA000000">
      <w:pPr>
        <w:pStyle w:val="Style_11"/>
        <w:widowControl w:val="0"/>
        <w:numPr>
          <w:ilvl w:val="1"/>
          <w:numId w:val="1"/>
        </w:numPr>
        <w:tabs>
          <w:tab w:leader="none" w:pos="360" w:val="clear"/>
        </w:tabs>
        <w:spacing w:after="0"/>
        <w:ind/>
        <w:jc w:val="both"/>
        <w:rPr>
          <w:sz w:val="22"/>
        </w:rPr>
      </w:pPr>
      <w:r>
        <w:rPr>
          <w:sz w:val="22"/>
        </w:rPr>
        <w:t>Проведение санитарно-эпидемиологической экспертизы контрольного энтомологического обследования.</w:t>
      </w:r>
    </w:p>
    <w:p w14:paraId="EB000000">
      <w:pPr>
        <w:pStyle w:val="Style_11"/>
        <w:widowControl w:val="0"/>
        <w:numPr>
          <w:ilvl w:val="1"/>
          <w:numId w:val="1"/>
        </w:numPr>
        <w:tabs>
          <w:tab w:leader="none" w:pos="360" w:val="clear"/>
        </w:tabs>
        <w:spacing w:after="0"/>
        <w:ind/>
        <w:jc w:val="both"/>
        <w:rPr>
          <w:sz w:val="22"/>
        </w:rPr>
      </w:pPr>
      <w:r>
        <w:rPr>
          <w:sz w:val="22"/>
        </w:rPr>
        <w:t>Предоставление:</w:t>
      </w:r>
    </w:p>
    <w:p w14:paraId="EC000000">
      <w:pPr>
        <w:pStyle w:val="Style_11"/>
        <w:widowControl w:val="0"/>
        <w:numPr>
          <w:ilvl w:val="0"/>
          <w:numId w:val="0"/>
        </w:numPr>
        <w:tabs>
          <w:tab w:leader="none" w:pos="360" w:val="clear"/>
        </w:tabs>
        <w:spacing w:after="0"/>
        <w:ind w:left="792"/>
        <w:jc w:val="both"/>
        <w:rPr>
          <w:sz w:val="22"/>
        </w:rPr>
      </w:pPr>
      <w:r>
        <w:rPr>
          <w:sz w:val="22"/>
        </w:rPr>
        <w:t>- заключения органа инспекции о соответствии оказанных услуг требованиям;</w:t>
      </w:r>
    </w:p>
    <w:p w14:paraId="ED000000">
      <w:pPr>
        <w:pStyle w:val="Style_11"/>
        <w:widowControl w:val="0"/>
        <w:numPr>
          <w:ilvl w:val="0"/>
          <w:numId w:val="0"/>
        </w:numPr>
        <w:tabs>
          <w:tab w:leader="none" w:pos="360" w:val="clear"/>
        </w:tabs>
        <w:spacing w:after="0"/>
        <w:ind w:left="851"/>
        <w:jc w:val="both"/>
        <w:rPr>
          <w:sz w:val="22"/>
        </w:rPr>
      </w:pPr>
      <w:r>
        <w:rPr>
          <w:sz w:val="22"/>
        </w:rPr>
        <w:t>- акта выполненных работ контроля качества акарицидной обработки.</w:t>
      </w:r>
    </w:p>
    <w:p w14:paraId="EE000000">
      <w:pPr>
        <w:pStyle w:val="Style_11"/>
        <w:widowControl w:val="0"/>
        <w:numPr>
          <w:ilvl w:val="1"/>
          <w:numId w:val="1"/>
        </w:numPr>
        <w:tabs>
          <w:tab w:leader="none" w:pos="360" w:val="clear"/>
        </w:tabs>
        <w:spacing w:after="0"/>
        <w:ind/>
        <w:jc w:val="both"/>
        <w:rPr>
          <w:sz w:val="22"/>
        </w:rPr>
      </w:pPr>
      <w:r>
        <w:rPr>
          <w:sz w:val="22"/>
        </w:rPr>
        <w:t xml:space="preserve">Срок оказания услуг: </w:t>
      </w:r>
      <w:r>
        <w:rPr>
          <w:color w:val="000000"/>
          <w:sz w:val="22"/>
        </w:rPr>
        <w:t>система мероприятий против иксодовых клещей, контроль эффективности обработки на 3-5 и на 15 день с оформлением экспертного заключения по результатам контроля эффективности обработки; санитарно-эпидемиологическая экспертиза по результатам обследования территории учреждений на наличие иксодовых клещей; санитарно-эпидемиологическая экспертиза эффективности противоклещевых обработок (</w:t>
      </w:r>
      <w:r>
        <w:rPr>
          <w:sz w:val="22"/>
        </w:rPr>
        <w:t>не менее 45 суток с даты проведения первичного обследования).</w:t>
      </w:r>
    </w:p>
    <w:p w14:paraId="EF000000">
      <w:pPr>
        <w:pStyle w:val="Style_11"/>
        <w:widowControl w:val="0"/>
        <w:numPr>
          <w:ilvl w:val="0"/>
          <w:numId w:val="0"/>
        </w:numPr>
        <w:tabs>
          <w:tab w:leader="none" w:pos="360" w:val="clear"/>
        </w:tabs>
        <w:spacing w:after="0"/>
        <w:ind w:hanging="360" w:left="360"/>
        <w:jc w:val="both"/>
        <w:rPr>
          <w:sz w:val="22"/>
        </w:rPr>
      </w:pPr>
    </w:p>
    <w:p w14:paraId="F0000000">
      <w:pPr>
        <w:pStyle w:val="Style_9"/>
        <w:keepNext w:val="0"/>
        <w:widowControl w:val="0"/>
        <w:numPr>
          <w:ilvl w:val="0"/>
          <w:numId w:val="1"/>
        </w:numPr>
        <w:spacing w:line="276" w:lineRule="auto"/>
        <w:ind w:right="0"/>
        <w:jc w:val="both"/>
        <w:rPr>
          <w:sz w:val="22"/>
        </w:rPr>
      </w:pPr>
      <w:r>
        <w:rPr>
          <w:sz w:val="22"/>
        </w:rPr>
        <w:t>Перечень нормативных документов</w:t>
      </w:r>
    </w:p>
    <w:p w14:paraId="F1000000">
      <w:pPr>
        <w:pStyle w:val="Style_11"/>
        <w:widowControl w:val="0"/>
        <w:numPr>
          <w:ilvl w:val="1"/>
          <w:numId w:val="1"/>
        </w:numPr>
        <w:tabs>
          <w:tab w:leader="none" w:pos="360" w:val="clear"/>
        </w:tabs>
        <w:spacing w:after="0"/>
        <w:ind/>
        <w:jc w:val="both"/>
        <w:rPr>
          <w:sz w:val="22"/>
        </w:rPr>
      </w:pPr>
      <w:r>
        <w:rPr>
          <w:sz w:val="22"/>
        </w:rPr>
        <w:t>СанПиН 3.3686-21 «Санитарно-эпидемиологические требования по профилактике инфекционных болезней»</w:t>
      </w:r>
    </w:p>
    <w:p w14:paraId="F2000000">
      <w:pPr>
        <w:pStyle w:val="Style_11"/>
        <w:widowControl w:val="0"/>
        <w:numPr>
          <w:ilvl w:val="1"/>
          <w:numId w:val="1"/>
        </w:numPr>
        <w:tabs>
          <w:tab w:leader="none" w:pos="360" w:val="clear"/>
        </w:tabs>
        <w:spacing w:after="0"/>
        <w:ind/>
        <w:jc w:val="both"/>
        <w:rPr>
          <w:sz w:val="22"/>
        </w:rPr>
      </w:pPr>
      <w:r>
        <w:rPr>
          <w:sz w:val="22"/>
        </w:rPr>
        <w:t>МУ 3.5.3011-12 «Неспецифическая профилактика клещевого вирусного энцефалита и иксодовых клещевых боррелиозов»</w:t>
      </w:r>
    </w:p>
    <w:p w14:paraId="F3000000">
      <w:pPr>
        <w:pStyle w:val="Style_11"/>
        <w:widowControl w:val="0"/>
        <w:numPr>
          <w:ilvl w:val="1"/>
          <w:numId w:val="1"/>
        </w:numPr>
        <w:tabs>
          <w:tab w:leader="none" w:pos="360" w:val="clear"/>
        </w:tabs>
        <w:spacing w:after="0"/>
        <w:ind/>
        <w:jc w:val="both"/>
        <w:rPr>
          <w:sz w:val="22"/>
        </w:rPr>
      </w:pPr>
      <w:r>
        <w:rPr>
          <w:sz w:val="22"/>
        </w:rPr>
        <w:t>Р 3.5.2.2487-09 «Руководство по медицинской дезинсекции»</w:t>
      </w:r>
    </w:p>
    <w:p w14:paraId="F4000000">
      <w:pPr>
        <w:pStyle w:val="Style_11"/>
        <w:widowControl w:val="0"/>
        <w:numPr>
          <w:ilvl w:val="1"/>
          <w:numId w:val="1"/>
        </w:numPr>
        <w:tabs>
          <w:tab w:leader="none" w:pos="360" w:val="clear"/>
        </w:tabs>
        <w:spacing w:after="0"/>
        <w:ind/>
        <w:jc w:val="both"/>
        <w:rPr>
          <w:sz w:val="22"/>
        </w:rPr>
      </w:pPr>
      <w:r>
        <w:rPr>
          <w:sz w:val="22"/>
        </w:rPr>
        <w:t>МР 3.1.0322-23 «Сбор, учет и подготовка к лабораторному исследованию кровососущих членистоногих в природных очагах инфекционных болезней»</w:t>
      </w:r>
    </w:p>
    <w:p w14:paraId="F5000000">
      <w:pPr>
        <w:pStyle w:val="Style_11"/>
        <w:widowControl w:val="0"/>
        <w:numPr>
          <w:ilvl w:val="1"/>
          <w:numId w:val="1"/>
        </w:numPr>
        <w:tabs>
          <w:tab w:leader="none" w:pos="360" w:val="clear"/>
        </w:tabs>
        <w:spacing w:after="0"/>
        <w:ind/>
        <w:jc w:val="both"/>
        <w:rPr>
          <w:sz w:val="22"/>
        </w:rPr>
      </w:pPr>
      <w:r>
        <w:rPr>
          <w:sz w:val="22"/>
        </w:rPr>
        <w:t>СанПиН 1.2.3685-21 «Гигиенические нормативы и требования к обеспечению безопасности и (или) безвредности для человека факторов среды обитания»</w:t>
      </w:r>
    </w:p>
    <w:p w14:paraId="F6000000">
      <w:pPr>
        <w:pStyle w:val="Style_11"/>
        <w:widowControl w:val="0"/>
        <w:numPr>
          <w:ilvl w:val="1"/>
          <w:numId w:val="1"/>
        </w:numPr>
        <w:tabs>
          <w:tab w:leader="none" w:pos="360" w:val="clear"/>
        </w:tabs>
        <w:spacing w:after="0"/>
        <w:ind/>
        <w:jc w:val="both"/>
        <w:rPr>
          <w:sz w:val="22"/>
        </w:rPr>
      </w:pPr>
      <w:r>
        <w:rPr>
          <w:sz w:val="22"/>
        </w:rPr>
        <w:t>Федеральный закон от 30.03.1999 № 52-ФЗ «О санитарно-эпидемиологическом благополучии населения»</w:t>
      </w:r>
    </w:p>
    <w:p w14:paraId="F7000000">
      <w:pPr>
        <w:pStyle w:val="Style_11"/>
        <w:widowControl w:val="0"/>
        <w:numPr>
          <w:ilvl w:val="1"/>
          <w:numId w:val="1"/>
        </w:numPr>
        <w:tabs>
          <w:tab w:leader="none" w:pos="360" w:val="clear"/>
        </w:tabs>
        <w:spacing w:after="0"/>
        <w:ind/>
        <w:jc w:val="both"/>
        <w:rPr>
          <w:sz w:val="22"/>
        </w:rPr>
      </w:pPr>
      <w:r>
        <w:rPr>
          <w:sz w:val="22"/>
        </w:rPr>
        <w:t>СП 2.4.3648-20 «Требования к организациям воспитания и обучения, отдыха и оздоровления детей и молодежи»</w:t>
      </w:r>
    </w:p>
    <w:p w14:paraId="F8000000">
      <w:pPr>
        <w:pStyle w:val="Style_11"/>
        <w:widowControl w:val="0"/>
        <w:numPr>
          <w:ilvl w:val="1"/>
          <w:numId w:val="1"/>
        </w:numPr>
        <w:tabs>
          <w:tab w:leader="none" w:pos="360" w:val="clear"/>
        </w:tabs>
        <w:spacing w:after="0"/>
        <w:ind/>
        <w:jc w:val="both"/>
        <w:rPr>
          <w:sz w:val="22"/>
        </w:rPr>
      </w:pPr>
      <w:r>
        <w:rPr>
          <w:sz w:val="22"/>
        </w:rPr>
        <w:t xml:space="preserve">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w:t>
      </w:r>
      <w:r>
        <w:rPr>
          <w:sz w:val="22"/>
        </w:rPr>
        <w:t>оказание услуг</w:t>
      </w:r>
      <w:r>
        <w:rPr>
          <w:sz w:val="22"/>
        </w:rPr>
        <w:t xml:space="preserve"> или оказание услуг»</w:t>
      </w:r>
    </w:p>
    <w:p w14:paraId="F9000000">
      <w:pPr>
        <w:pStyle w:val="Style_11"/>
        <w:widowControl w:val="0"/>
        <w:numPr>
          <w:ilvl w:val="1"/>
          <w:numId w:val="1"/>
        </w:numPr>
        <w:tabs>
          <w:tab w:leader="none" w:pos="360" w:val="clear"/>
        </w:tabs>
        <w:spacing w:after="0"/>
        <w:ind/>
        <w:jc w:val="both"/>
        <w:rPr>
          <w:sz w:val="22"/>
        </w:rPr>
      </w:pPr>
      <w:r>
        <w:rPr>
          <w:sz w:val="22"/>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FA000000">
      <w:pPr>
        <w:pStyle w:val="Style_11"/>
        <w:widowControl w:val="0"/>
        <w:numPr>
          <w:ilvl w:val="1"/>
          <w:numId w:val="1"/>
        </w:numPr>
        <w:tabs>
          <w:tab w:leader="none" w:pos="360" w:val="clear"/>
        </w:tabs>
        <w:spacing w:after="0"/>
        <w:ind w:hanging="431"/>
        <w:jc w:val="both"/>
        <w:rPr>
          <w:sz w:val="22"/>
        </w:rPr>
      </w:pPr>
      <w:r>
        <w:rPr>
          <w:sz w:val="22"/>
        </w:rPr>
        <w:t xml:space="preserve">Приказ №224 </w:t>
      </w:r>
      <w:r>
        <w:rPr>
          <w:sz w:val="22"/>
        </w:rPr>
        <w:t>от 19 июля 2007 года 224</w:t>
      </w:r>
      <w:r>
        <w:rPr>
          <w:sz w:val="22"/>
        </w:rPr>
        <w:t xml:space="preserve"> «</w:t>
      </w:r>
      <w:r>
        <w:rPr>
          <w:sz w:val="22"/>
        </w:rPr>
        <w:t>О санитарно-эпидемиологических экспертизах, обследованиях, исследованиях, испытаниях и токсикологических, гигиенических и иных видах оценок</w:t>
      </w:r>
      <w:r>
        <w:rPr>
          <w:sz w:val="22"/>
        </w:rPr>
        <w:t>».</w:t>
      </w:r>
    </w:p>
    <w:p w14:paraId="FB000000">
      <w:pPr>
        <w:pStyle w:val="Style_11"/>
        <w:widowControl w:val="0"/>
        <w:numPr>
          <w:ilvl w:val="1"/>
          <w:numId w:val="1"/>
        </w:numPr>
        <w:tabs>
          <w:tab w:leader="none" w:pos="360" w:val="clear"/>
        </w:tabs>
        <w:spacing w:after="0"/>
        <w:ind w:hanging="431"/>
        <w:jc w:val="both"/>
        <w:rPr>
          <w:sz w:val="22"/>
        </w:rPr>
      </w:pPr>
      <w:r>
        <w:rPr>
          <w:sz w:val="22"/>
        </w:rPr>
        <w:t xml:space="preserve">ФЗ № 412 </w:t>
      </w:r>
      <w:r>
        <w:rPr>
          <w:sz w:val="22"/>
        </w:rPr>
        <w:t>«</w:t>
      </w:r>
      <w:r>
        <w:rPr>
          <w:sz w:val="22"/>
        </w:rPr>
        <w:t>Об аккредитации в национальной системе аккредитации</w:t>
      </w:r>
      <w:r>
        <w:rPr>
          <w:sz w:val="22"/>
        </w:rPr>
        <w:t>».</w:t>
      </w:r>
    </w:p>
    <w:p w14:paraId="FC000000">
      <w:pPr>
        <w:pStyle w:val="Style_11"/>
        <w:widowControl w:val="0"/>
        <w:numPr>
          <w:ilvl w:val="1"/>
          <w:numId w:val="1"/>
        </w:numPr>
        <w:spacing w:after="0"/>
        <w:ind/>
        <w:jc w:val="both"/>
        <w:rPr>
          <w:sz w:val="22"/>
        </w:rPr>
      </w:pPr>
      <w:r>
        <w:rPr>
          <w:sz w:val="22"/>
        </w:rPr>
        <w:t>ГОСТ Р ИСО/МЭК 17020-2012</w:t>
      </w:r>
      <w:r>
        <w:rPr>
          <w:sz w:val="22"/>
        </w:rPr>
        <w:t xml:space="preserve"> «</w:t>
      </w:r>
      <w:r>
        <w:rPr>
          <w:sz w:val="22"/>
        </w:rPr>
        <w:t>Оценка соответствия. Требования к работе различных типов органов инспекции</w:t>
      </w:r>
      <w:r>
        <w:rPr>
          <w:sz w:val="22"/>
        </w:rPr>
        <w:t>».</w:t>
      </w:r>
    </w:p>
    <w:p w14:paraId="FD000000">
      <w:pPr>
        <w:pStyle w:val="Style_9"/>
        <w:keepNext w:val="0"/>
        <w:widowControl w:val="0"/>
        <w:ind w:left="360"/>
        <w:jc w:val="both"/>
        <w:rPr>
          <w:sz w:val="22"/>
        </w:rPr>
      </w:pPr>
    </w:p>
    <w:p w14:paraId="FE000000">
      <w:pPr>
        <w:rPr>
          <w:sz w:val="22"/>
        </w:rPr>
      </w:pPr>
    </w:p>
    <w:p w14:paraId="FF000000">
      <w:pPr>
        <w:rPr>
          <w:sz w:val="22"/>
        </w:rPr>
      </w:pPr>
    </w:p>
    <w:p w14:paraId="00010000">
      <w:pPr>
        <w:rPr>
          <w:sz w:val="22"/>
        </w:rPr>
      </w:pPr>
    </w:p>
    <w:p w14:paraId="01010000">
      <w:pPr>
        <w:pStyle w:val="Style_9"/>
        <w:keepNext w:val="0"/>
        <w:widowControl w:val="0"/>
        <w:numPr>
          <w:ilvl w:val="0"/>
          <w:numId w:val="1"/>
        </w:numPr>
        <w:spacing w:line="276" w:lineRule="auto"/>
        <w:ind w:right="0"/>
        <w:jc w:val="both"/>
        <w:rPr>
          <w:sz w:val="22"/>
        </w:rPr>
      </w:pPr>
      <w:r>
        <w:rPr>
          <w:sz w:val="22"/>
        </w:rPr>
        <w:t>Юридическое обоснование требований</w:t>
      </w:r>
    </w:p>
    <w:p w14:paraId="02010000">
      <w:pPr>
        <w:widowControl w:val="1"/>
        <w:ind/>
        <w:jc w:val="both"/>
        <w:rPr>
          <w:sz w:val="22"/>
        </w:rPr>
      </w:pPr>
      <w:r>
        <w:rPr>
          <w:sz w:val="22"/>
        </w:rPr>
        <w:t xml:space="preserve">В целях обеспечения эпидемиологической безопасности, доказательной обоснованности необходимости проведения акарицидной обработки, а также достоверной оценки её эффективности, включение в техническое задание требований к наличию </w:t>
      </w:r>
      <w:r>
        <w:rPr>
          <w:rStyle w:val="Style_12_ch"/>
          <w:sz w:val="22"/>
        </w:rPr>
        <w:t>испытательной лаборатории, аккредитованной в системе Росаккредитации</w:t>
      </w:r>
      <w:r>
        <w:rPr>
          <w:sz w:val="22"/>
        </w:rPr>
        <w:t xml:space="preserve">, и </w:t>
      </w:r>
      <w:r>
        <w:rPr>
          <w:rStyle w:val="Style_12_ch"/>
          <w:sz w:val="22"/>
        </w:rPr>
        <w:t>органа инспекции, аккредитованного по ГОСТ ISO/IEC 17020-2012</w:t>
      </w:r>
      <w:r>
        <w:rPr>
          <w:sz w:val="22"/>
        </w:rPr>
        <w:t xml:space="preserve">, является </w:t>
      </w:r>
      <w:r>
        <w:rPr>
          <w:rStyle w:val="Style_12_ch"/>
          <w:sz w:val="22"/>
        </w:rPr>
        <w:t>не только целесообразным, но и обоснованным действующими санитарными и методическими нормами</w:t>
      </w:r>
      <w:r>
        <w:rPr>
          <w:sz w:val="22"/>
        </w:rPr>
        <w:t>.</w:t>
      </w:r>
    </w:p>
    <w:p w14:paraId="03010000">
      <w:pPr>
        <w:widowControl w:val="1"/>
        <w:ind/>
        <w:jc w:val="both"/>
        <w:rPr>
          <w:sz w:val="22"/>
        </w:rPr>
      </w:pPr>
      <w:r>
        <w:rPr>
          <w:sz w:val="22"/>
        </w:rPr>
        <mc:AlternateContent>
          <mc:Choice Requires="wps">
            <w:draw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inline>
                <wp:extent cx="2743200" cy="19050"/>
                <wp:docPr hidden="false" id="1" name="Picture 1"/>
                <a:graphic>
                  <a:graphicData uri="http://schemas.microsoft.com/office/word/2010/wordprocessingShape">
                    <wps:wsp>
                      <wps:cNvSpPr txBox="false"/>
                      <wps:spPr>
                        <a:xfrm flipH="false" flipV="false" rot="0">
                          <a:off x="0" y="0"/>
                          <a:ext cx="2743200" cy="19050"/>
                        </a:xfrm>
                        <a:prstGeom prst="rect">
                          <a:avLst/>
                        </a:prstGeom>
                        <a:solidFill>
                          <a:srgbClr val="A0A0A0"/>
                        </a:solidFill>
                        <a:ln>
                          <a:noFill/>
                        </a:ln>
                      </wps:spPr>
                      <wps:bodyPr anchor="t" bIns="45720" lIns="91440" rIns="91440" tIns="45720">
                        <a:noAutofit/>
                      </wps:bodyPr>
                    </wps:wsp>
                  </a:graphicData>
                </a:graphic>
              </wp:inline>
            </w:drawing>
          </mc:Choice>
          <mc:Fallback>
            <w:pic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p w14:paraId="04010000">
      <w:pPr>
        <w:pStyle w:val="Style_13"/>
        <w:widowControl w:val="1"/>
        <w:spacing w:before="0"/>
        <w:ind/>
        <w:jc w:val="both"/>
        <w:rPr>
          <w:rFonts w:ascii="Times New Roman" w:hAnsi="Times New Roman"/>
          <w:b w:val="0"/>
          <w:sz w:val="22"/>
        </w:rPr>
      </w:pPr>
      <w:r>
        <w:rPr>
          <w:rFonts w:ascii="Times New Roman" w:hAnsi="Times New Roman"/>
          <w:b w:val="0"/>
          <w:sz w:val="22"/>
        </w:rPr>
        <w:t xml:space="preserve">1. </w:t>
      </w:r>
      <w:r>
        <w:rPr>
          <w:rStyle w:val="Style_12_ch"/>
          <w:rFonts w:ascii="Times New Roman" w:hAnsi="Times New Roman"/>
          <w:sz w:val="22"/>
        </w:rPr>
        <w:t>Требования к сбору и исследованию клещей</w:t>
      </w:r>
    </w:p>
    <w:p w14:paraId="05010000">
      <w:pPr>
        <w:widowControl w:val="1"/>
        <w:ind/>
        <w:jc w:val="both"/>
        <w:rPr>
          <w:sz w:val="22"/>
        </w:rPr>
      </w:pPr>
      <w:r>
        <w:rPr>
          <w:sz w:val="22"/>
        </w:rPr>
        <w:t>Согласно:</w:t>
      </w:r>
    </w:p>
    <w:p w14:paraId="06010000">
      <w:pPr>
        <w:widowControl w:val="1"/>
        <w:numPr>
          <w:ilvl w:val="0"/>
          <w:numId w:val="2"/>
        </w:numPr>
        <w:spacing w:line="276" w:lineRule="auto"/>
        <w:ind/>
        <w:jc w:val="both"/>
        <w:rPr>
          <w:sz w:val="22"/>
        </w:rPr>
      </w:pPr>
      <w:r>
        <w:rPr>
          <w:rStyle w:val="Style_12_ch"/>
          <w:sz w:val="22"/>
        </w:rPr>
        <w:t>МР 3.1.0322-23</w:t>
      </w:r>
      <w:r>
        <w:rPr>
          <w:sz w:val="22"/>
        </w:rPr>
        <w:t xml:space="preserve"> </w:t>
      </w:r>
      <w:r>
        <w:rPr>
          <w:rStyle w:val="Style_14_ch"/>
          <w:sz w:val="22"/>
        </w:rPr>
        <w:t>«Сбор, учет и подготовка к лабораторному исследованию кровососущих членистоногих в природных очагах инфекционных болезней»</w:t>
      </w:r>
      <w:r>
        <w:rPr>
          <w:sz w:val="22"/>
        </w:rPr>
        <w:t>,</w:t>
      </w:r>
    </w:p>
    <w:p w14:paraId="07010000">
      <w:pPr>
        <w:widowControl w:val="1"/>
        <w:numPr>
          <w:ilvl w:val="0"/>
          <w:numId w:val="2"/>
        </w:numPr>
        <w:spacing w:line="276" w:lineRule="auto"/>
        <w:ind/>
        <w:jc w:val="both"/>
        <w:rPr>
          <w:sz w:val="22"/>
        </w:rPr>
      </w:pPr>
      <w:r>
        <w:rPr>
          <w:rStyle w:val="Style_12_ch"/>
          <w:sz w:val="22"/>
        </w:rPr>
        <w:t>МУ 3.5.3011-12</w:t>
      </w:r>
      <w:r>
        <w:rPr>
          <w:sz w:val="22"/>
        </w:rPr>
        <w:t xml:space="preserve"> </w:t>
      </w:r>
      <w:r>
        <w:rPr>
          <w:rStyle w:val="Style_14_ch"/>
          <w:sz w:val="22"/>
        </w:rPr>
        <w:t>«Неспецифическая профилактика клещевого вирусного энцефалита и иксодовых клещевых боррелиозов»</w:t>
      </w:r>
      <w:r>
        <w:rPr>
          <w:sz w:val="22"/>
        </w:rPr>
        <w:t>,</w:t>
      </w:r>
    </w:p>
    <w:p w14:paraId="08010000">
      <w:pPr>
        <w:widowControl w:val="1"/>
        <w:numPr>
          <w:ilvl w:val="0"/>
          <w:numId w:val="2"/>
        </w:numPr>
        <w:spacing w:line="276" w:lineRule="auto"/>
        <w:ind/>
        <w:jc w:val="both"/>
        <w:rPr>
          <w:sz w:val="22"/>
        </w:rPr>
      </w:pPr>
      <w:r>
        <w:rPr>
          <w:rStyle w:val="Style_12_ch"/>
          <w:sz w:val="22"/>
        </w:rPr>
        <w:t>Руководству по медицинской дезинсекции Р 3.5.2.2487-09</w:t>
      </w:r>
      <w:r>
        <w:rPr>
          <w:sz w:val="22"/>
        </w:rPr>
        <w:t>,</w:t>
      </w:r>
    </w:p>
    <w:p w14:paraId="09010000">
      <w:pPr>
        <w:widowControl w:val="1"/>
        <w:tabs>
          <w:tab w:leader="none" w:pos="360" w:val="left"/>
        </w:tabs>
        <w:ind/>
        <w:jc w:val="both"/>
        <w:rPr>
          <w:sz w:val="22"/>
        </w:rPr>
      </w:pPr>
      <w:r>
        <w:rPr>
          <w:sz w:val="22"/>
        </w:rPr>
        <w:t xml:space="preserve">достоверная оценка численности клещей и эффективности применяемых дезинсекционных средств возможна </w:t>
      </w:r>
      <w:r>
        <w:rPr>
          <w:rStyle w:val="Style_12_ch"/>
          <w:sz w:val="22"/>
        </w:rPr>
        <w:t>только при соблюдении утверждённого регламента сбора, идентификации и передачи биологического материала в аккредитованную лабораторию</w:t>
      </w:r>
      <w:r>
        <w:rPr>
          <w:sz w:val="22"/>
        </w:rPr>
        <w:t>, способную обеспечить:</w:t>
      </w:r>
    </w:p>
    <w:p w14:paraId="0A010000">
      <w:pPr>
        <w:widowControl w:val="1"/>
        <w:numPr>
          <w:ilvl w:val="0"/>
          <w:numId w:val="3"/>
        </w:numPr>
        <w:spacing w:line="276" w:lineRule="auto"/>
        <w:ind/>
        <w:jc w:val="both"/>
        <w:rPr>
          <w:sz w:val="22"/>
        </w:rPr>
      </w:pPr>
      <w:r>
        <w:rPr>
          <w:sz w:val="22"/>
        </w:rPr>
        <w:t>подтверждение видовой принадлежности иксодовых клещей;</w:t>
      </w:r>
    </w:p>
    <w:p w14:paraId="0B010000">
      <w:pPr>
        <w:widowControl w:val="1"/>
        <w:numPr>
          <w:ilvl w:val="0"/>
          <w:numId w:val="3"/>
        </w:numPr>
        <w:spacing w:line="276" w:lineRule="auto"/>
        <w:ind/>
        <w:jc w:val="both"/>
        <w:rPr>
          <w:sz w:val="22"/>
        </w:rPr>
      </w:pPr>
      <w:r>
        <w:rPr>
          <w:sz w:val="22"/>
        </w:rPr>
        <w:t>количественную и качественную оценку популяции до и после обработки;</w:t>
      </w:r>
    </w:p>
    <w:p w14:paraId="0C010000">
      <w:pPr>
        <w:widowControl w:val="1"/>
        <w:numPr>
          <w:ilvl w:val="0"/>
          <w:numId w:val="3"/>
        </w:numPr>
        <w:spacing w:line="276" w:lineRule="auto"/>
        <w:ind/>
        <w:jc w:val="both"/>
        <w:rPr>
          <w:sz w:val="22"/>
        </w:rPr>
      </w:pPr>
      <w:r>
        <w:rPr>
          <w:sz w:val="22"/>
        </w:rPr>
        <w:t>оформление протоколов исследований в соответствии с требованиями законодательства и методических указаний.</w:t>
      </w:r>
    </w:p>
    <w:p w14:paraId="0D010000">
      <w:pPr>
        <w:widowControl w:val="1"/>
        <w:tabs>
          <w:tab w:leader="none" w:pos="720" w:val="left"/>
        </w:tabs>
        <w:ind/>
        <w:jc w:val="both"/>
        <w:rPr>
          <w:sz w:val="22"/>
        </w:rPr>
      </w:pPr>
      <w:r>
        <w:rPr>
          <w:sz w:val="22"/>
        </w:rPr>
        <mc:AlternateContent>
          <mc:Choice Requires="wps">
            <w:draw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inline>
                <wp:extent cx="2743200" cy="19050"/>
                <wp:docPr hidden="false" id="2" name="Picture 2"/>
                <a:graphic>
                  <a:graphicData uri="http://schemas.microsoft.com/office/word/2010/wordprocessingShape">
                    <wps:wsp>
                      <wps:cNvSpPr txBox="false"/>
                      <wps:spPr>
                        <a:xfrm flipH="false" flipV="false" rot="0">
                          <a:off x="0" y="0"/>
                          <a:ext cx="2743200" cy="19050"/>
                        </a:xfrm>
                        <a:prstGeom prst="rect">
                          <a:avLst/>
                        </a:prstGeom>
                        <a:solidFill>
                          <a:srgbClr val="A0A0A0"/>
                        </a:solidFill>
                        <a:ln>
                          <a:noFill/>
                        </a:ln>
                      </wps:spPr>
                      <wps:bodyPr anchor="t" bIns="45720" lIns="91440" rIns="91440" tIns="45720">
                        <a:noAutofit/>
                      </wps:bodyPr>
                    </wps:wsp>
                  </a:graphicData>
                </a:graphic>
              </wp:inline>
            </w:drawing>
          </mc:Choice>
          <mc:Fallback>
            <w:pic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p w14:paraId="0E010000">
      <w:pPr>
        <w:pStyle w:val="Style_13"/>
        <w:widowControl w:val="1"/>
        <w:spacing w:before="0"/>
        <w:ind/>
        <w:jc w:val="both"/>
        <w:rPr>
          <w:rFonts w:ascii="Times New Roman" w:hAnsi="Times New Roman"/>
          <w:b w:val="0"/>
          <w:sz w:val="22"/>
        </w:rPr>
      </w:pPr>
      <w:r>
        <w:rPr>
          <w:rFonts w:ascii="Times New Roman" w:hAnsi="Times New Roman"/>
          <w:b w:val="0"/>
          <w:sz w:val="22"/>
        </w:rPr>
        <w:t xml:space="preserve">2. </w:t>
      </w:r>
      <w:r>
        <w:rPr>
          <w:rStyle w:val="Style_12_ch"/>
          <w:rFonts w:ascii="Times New Roman" w:hAnsi="Times New Roman"/>
          <w:sz w:val="22"/>
        </w:rPr>
        <w:t>Регламентирующее значение Приказа Роспотребнадзора от 19.07.2007 № 224</w:t>
      </w:r>
    </w:p>
    <w:p w14:paraId="0F010000">
      <w:pPr>
        <w:widowControl w:val="1"/>
        <w:ind/>
        <w:jc w:val="both"/>
        <w:rPr>
          <w:sz w:val="22"/>
        </w:rPr>
      </w:pPr>
      <w:r>
        <w:rPr>
          <w:sz w:val="22"/>
        </w:rPr>
        <w:t>Данный приказ определяет основания и порядок проведения санитарно-эпидемиологических экспертиз, обследований и исследований.</w:t>
      </w:r>
    </w:p>
    <w:p w14:paraId="10010000">
      <w:pPr>
        <w:widowControl w:val="1"/>
        <w:ind/>
        <w:jc w:val="both"/>
        <w:rPr>
          <w:sz w:val="22"/>
        </w:rPr>
      </w:pPr>
      <w:r>
        <w:rPr>
          <w:sz w:val="22"/>
        </w:rPr>
        <w:t xml:space="preserve">В </w:t>
      </w:r>
      <w:r>
        <w:rPr>
          <w:rStyle w:val="Style_12_ch"/>
          <w:sz w:val="22"/>
        </w:rPr>
        <w:t>пункте 1</w:t>
      </w:r>
      <w:r>
        <w:rPr>
          <w:sz w:val="22"/>
        </w:rPr>
        <w:t xml:space="preserve"> приказа сказано:</w:t>
      </w:r>
    </w:p>
    <w:p w14:paraId="11010000">
      <w:pPr>
        <w:widowControl w:val="1"/>
        <w:ind/>
        <w:jc w:val="both"/>
        <w:rPr>
          <w:sz w:val="22"/>
        </w:rPr>
      </w:pPr>
      <w:r>
        <w:rPr>
          <w:sz w:val="22"/>
        </w:rPr>
        <w:t>«Санитарно-эпидемиологические экспертизы, обследования, исследования, испытания и токсикологические, гигиенические и иные виды оценок проводятся в целях оценки соответствия факторов среды обитания, продукции, работ и услуг санитарным правилам и гигиеническим нормативам».</w:t>
      </w:r>
    </w:p>
    <w:p w14:paraId="12010000">
      <w:pPr>
        <w:widowControl w:val="1"/>
        <w:ind/>
        <w:jc w:val="both"/>
        <w:rPr>
          <w:sz w:val="22"/>
        </w:rPr>
      </w:pPr>
      <w:r>
        <w:rPr>
          <w:sz w:val="22"/>
        </w:rPr>
        <w:t xml:space="preserve">Таким образом, </w:t>
      </w:r>
      <w:r>
        <w:rPr>
          <w:rStyle w:val="Style_12_ch"/>
          <w:sz w:val="22"/>
        </w:rPr>
        <w:t>любая экспертная деятельность, включая энтомологический мониторинг, должна проводиться только лицами, обладающими правом на проведение исследований с выдачей юридически значимых результатов</w:t>
      </w:r>
      <w:r>
        <w:rPr>
          <w:sz w:val="22"/>
        </w:rPr>
        <w:t xml:space="preserve">, то есть — </w:t>
      </w:r>
      <w:r>
        <w:rPr>
          <w:rStyle w:val="Style_12_ch"/>
          <w:sz w:val="22"/>
        </w:rPr>
        <w:t>в аккредитованных лабораториях</w:t>
      </w:r>
      <w:r>
        <w:rPr>
          <w:sz w:val="22"/>
        </w:rPr>
        <w:t>, внесённых в реестр Росаккредитации.</w:t>
      </w:r>
    </w:p>
    <w:p w14:paraId="13010000">
      <w:pPr>
        <w:widowControl w:val="1"/>
        <w:ind/>
        <w:jc w:val="both"/>
        <w:rPr>
          <w:sz w:val="22"/>
        </w:rPr>
      </w:pPr>
      <w:r>
        <w:rPr>
          <w:sz w:val="22"/>
        </w:rPr>
        <mc:AlternateContent>
          <mc:Choice Requires="wps">
            <w:draw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inline>
                <wp:extent cx="2743200" cy="19050"/>
                <wp:docPr hidden="false" id="3" name="Picture 3"/>
                <a:graphic>
                  <a:graphicData uri="http://schemas.microsoft.com/office/word/2010/wordprocessingShape">
                    <wps:wsp>
                      <wps:cNvSpPr txBox="false"/>
                      <wps:spPr>
                        <a:xfrm flipH="false" flipV="false" rot="0">
                          <a:off x="0" y="0"/>
                          <a:ext cx="2743200" cy="19050"/>
                        </a:xfrm>
                        <a:prstGeom prst="rect">
                          <a:avLst/>
                        </a:prstGeom>
                        <a:solidFill>
                          <a:srgbClr val="A0A0A0"/>
                        </a:solidFill>
                        <a:ln>
                          <a:noFill/>
                        </a:ln>
                      </wps:spPr>
                      <wps:bodyPr anchor="t" bIns="45720" lIns="91440" rIns="91440" tIns="45720">
                        <a:noAutofit/>
                      </wps:bodyPr>
                    </wps:wsp>
                  </a:graphicData>
                </a:graphic>
              </wp:inline>
            </w:drawing>
          </mc:Choice>
          <mc:Fallback>
            <w:pic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p w14:paraId="14010000">
      <w:pPr>
        <w:pStyle w:val="Style_13"/>
        <w:widowControl w:val="1"/>
        <w:spacing w:before="0"/>
        <w:ind/>
        <w:jc w:val="both"/>
        <w:rPr>
          <w:rFonts w:ascii="Times New Roman" w:hAnsi="Times New Roman"/>
          <w:b w:val="0"/>
          <w:sz w:val="22"/>
        </w:rPr>
      </w:pPr>
      <w:r>
        <w:rPr>
          <w:rFonts w:ascii="Times New Roman" w:hAnsi="Times New Roman"/>
          <w:b w:val="0"/>
          <w:sz w:val="22"/>
        </w:rPr>
        <w:t xml:space="preserve">3. </w:t>
      </w:r>
      <w:r>
        <w:rPr>
          <w:rStyle w:val="Style_12_ch"/>
          <w:rFonts w:ascii="Times New Roman" w:hAnsi="Times New Roman"/>
          <w:sz w:val="22"/>
        </w:rPr>
        <w:t>Роль органа инспекции (ГОСТ ISO/IEC 17020-2012)</w:t>
      </w:r>
    </w:p>
    <w:p w14:paraId="15010000">
      <w:pPr>
        <w:widowControl w:val="1"/>
        <w:ind/>
        <w:jc w:val="both"/>
        <w:rPr>
          <w:sz w:val="22"/>
        </w:rPr>
      </w:pPr>
      <w:r>
        <w:rPr>
          <w:sz w:val="22"/>
        </w:rPr>
        <w:t xml:space="preserve">Наличие </w:t>
      </w:r>
      <w:r>
        <w:rPr>
          <w:rStyle w:val="Style_12_ch"/>
          <w:sz w:val="22"/>
        </w:rPr>
        <w:t>аккредитованного органа инспекции</w:t>
      </w:r>
      <w:r>
        <w:rPr>
          <w:sz w:val="22"/>
        </w:rPr>
        <w:t xml:space="preserve"> обеспечивает:</w:t>
      </w:r>
    </w:p>
    <w:p w14:paraId="16010000">
      <w:pPr>
        <w:widowControl w:val="1"/>
        <w:numPr>
          <w:ilvl w:val="0"/>
          <w:numId w:val="4"/>
        </w:numPr>
        <w:spacing w:line="276" w:lineRule="auto"/>
        <w:ind/>
        <w:jc w:val="both"/>
        <w:rPr>
          <w:sz w:val="22"/>
        </w:rPr>
      </w:pPr>
      <w:r>
        <w:rPr>
          <w:sz w:val="22"/>
        </w:rPr>
        <w:t>независимую проверку результатов акарицидных мероприятий;</w:t>
      </w:r>
    </w:p>
    <w:p w14:paraId="17010000">
      <w:pPr>
        <w:widowControl w:val="1"/>
        <w:numPr>
          <w:ilvl w:val="0"/>
          <w:numId w:val="4"/>
        </w:numPr>
        <w:spacing w:line="276" w:lineRule="auto"/>
        <w:ind/>
        <w:jc w:val="both"/>
        <w:rPr>
          <w:sz w:val="22"/>
        </w:rPr>
      </w:pPr>
      <w:r>
        <w:rPr>
          <w:sz w:val="22"/>
        </w:rPr>
        <w:t>достоверную инспекцию соблюдения технологии и методик обработки;</w:t>
      </w:r>
    </w:p>
    <w:p w14:paraId="18010000">
      <w:pPr>
        <w:widowControl w:val="1"/>
        <w:numPr>
          <w:ilvl w:val="0"/>
          <w:numId w:val="4"/>
        </w:numPr>
        <w:spacing w:line="276" w:lineRule="auto"/>
        <w:ind/>
        <w:jc w:val="both"/>
        <w:rPr>
          <w:sz w:val="22"/>
        </w:rPr>
      </w:pPr>
      <w:r>
        <w:rPr>
          <w:sz w:val="22"/>
        </w:rPr>
        <w:t>оформление актов и заключений, соответствующих требованиям контролирующих органов.</w:t>
      </w:r>
    </w:p>
    <w:p w14:paraId="19010000">
      <w:pPr>
        <w:widowControl w:val="1"/>
        <w:tabs>
          <w:tab w:leader="none" w:pos="1080" w:val="left"/>
        </w:tabs>
        <w:ind/>
        <w:jc w:val="both"/>
        <w:rPr>
          <w:sz w:val="22"/>
        </w:rPr>
      </w:pPr>
      <w:r>
        <w:rPr>
          <w:sz w:val="22"/>
        </w:rPr>
        <w:t xml:space="preserve">ГОСТ ISO/IEC 17020-2012 определяет, что органы инспекции </w:t>
      </w:r>
      <w:r>
        <w:rPr>
          <w:rStyle w:val="Style_12_ch"/>
          <w:sz w:val="22"/>
        </w:rPr>
        <w:t>должны обеспечивать компетентную, объективную и беспристрастную оценку</w:t>
      </w:r>
      <w:r>
        <w:rPr>
          <w:sz w:val="22"/>
        </w:rPr>
        <w:t xml:space="preserve">, а их деятельность должна быть </w:t>
      </w:r>
      <w:r>
        <w:rPr>
          <w:rStyle w:val="Style_12_ch"/>
          <w:sz w:val="22"/>
        </w:rPr>
        <w:t>прозрачной и воспроизводимой</w:t>
      </w:r>
      <w:r>
        <w:rPr>
          <w:sz w:val="22"/>
        </w:rPr>
        <w:t>. Аккредитация по типу B (внутренний орган инспекции, действующий в рамках организации, но с процедурной независимостью) соответствует этим требованиям и обеспечивает правовую устойчивость заключений в случае проверки надзорными органами.</w:t>
      </w:r>
    </w:p>
    <w:p w14:paraId="1A010000">
      <w:pPr>
        <w:widowControl w:val="1"/>
        <w:ind/>
        <w:jc w:val="both"/>
        <w:rPr>
          <w:sz w:val="22"/>
        </w:rPr>
      </w:pPr>
      <w:r>
        <w:rPr>
          <w:sz w:val="22"/>
        </w:rPr>
        <mc:AlternateContent>
          <mc:Choice Requires="wps">
            <w:draw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inline>
                <wp:extent cx="2743200" cy="19050"/>
                <wp:docPr hidden="false" id="4" name="Picture 4"/>
                <a:graphic>
                  <a:graphicData uri="http://schemas.microsoft.com/office/word/2010/wordprocessingShape">
                    <wps:wsp>
                      <wps:cNvSpPr txBox="false"/>
                      <wps:spPr>
                        <a:xfrm flipH="false" flipV="false" rot="0">
                          <a:off x="0" y="0"/>
                          <a:ext cx="2743200" cy="19050"/>
                        </a:xfrm>
                        <a:prstGeom prst="rect">
                          <a:avLst/>
                        </a:prstGeom>
                        <a:solidFill>
                          <a:srgbClr val="A0A0A0"/>
                        </a:solidFill>
                        <a:ln>
                          <a:noFill/>
                        </a:ln>
                      </wps:spPr>
                      <wps:bodyPr anchor="t" bIns="45720" lIns="91440" rIns="91440" tIns="45720">
                        <a:noAutofit/>
                      </wps:bodyPr>
                    </wps:wsp>
                  </a:graphicData>
                </a:graphic>
              </wp:inline>
            </w:drawing>
          </mc:Choice>
          <mc:Fallback>
            <w:pic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p w14:paraId="1B010000">
      <w:pPr>
        <w:pStyle w:val="Style_13"/>
        <w:widowControl w:val="1"/>
        <w:spacing w:before="0"/>
        <w:ind/>
        <w:jc w:val="both"/>
        <w:rPr>
          <w:rFonts w:ascii="Times New Roman" w:hAnsi="Times New Roman"/>
          <w:b w:val="0"/>
          <w:sz w:val="22"/>
        </w:rPr>
      </w:pPr>
      <w:r>
        <w:rPr>
          <w:rFonts w:ascii="Times New Roman" w:hAnsi="Times New Roman"/>
          <w:b w:val="0"/>
          <w:sz w:val="22"/>
        </w:rPr>
        <w:t xml:space="preserve">4. </w:t>
      </w:r>
      <w:r>
        <w:rPr>
          <w:rStyle w:val="Style_12_ch"/>
          <w:rFonts w:ascii="Times New Roman" w:hAnsi="Times New Roman"/>
          <w:sz w:val="22"/>
        </w:rPr>
        <w:t>Требования санитарных норм</w:t>
      </w:r>
    </w:p>
    <w:p w14:paraId="1C010000">
      <w:pPr>
        <w:widowControl w:val="1"/>
        <w:ind/>
        <w:jc w:val="both"/>
        <w:rPr>
          <w:sz w:val="22"/>
        </w:rPr>
      </w:pPr>
      <w:r>
        <w:rPr>
          <w:sz w:val="22"/>
        </w:rPr>
        <w:t>Согласно:</w:t>
      </w:r>
    </w:p>
    <w:p w14:paraId="1D010000">
      <w:pPr>
        <w:widowControl w:val="1"/>
        <w:numPr>
          <w:ilvl w:val="0"/>
          <w:numId w:val="5"/>
        </w:numPr>
        <w:spacing w:line="276" w:lineRule="auto"/>
        <w:ind/>
        <w:jc w:val="both"/>
        <w:rPr>
          <w:sz w:val="22"/>
        </w:rPr>
      </w:pPr>
      <w:r>
        <w:rPr>
          <w:rStyle w:val="Style_12_ch"/>
          <w:sz w:val="22"/>
        </w:rPr>
        <w:t>СанПиН 3.3686-21</w:t>
      </w:r>
      <w:r>
        <w:rPr>
          <w:sz w:val="22"/>
        </w:rPr>
        <w:t xml:space="preserve"> </w:t>
      </w:r>
    </w:p>
    <w:p w14:paraId="1E010000">
      <w:pPr>
        <w:widowControl w:val="1"/>
        <w:numPr>
          <w:ilvl w:val="0"/>
          <w:numId w:val="5"/>
        </w:numPr>
        <w:spacing w:line="276" w:lineRule="auto"/>
        <w:ind/>
        <w:jc w:val="both"/>
        <w:rPr>
          <w:sz w:val="22"/>
        </w:rPr>
      </w:pPr>
      <w:r>
        <w:rPr>
          <w:sz w:val="22"/>
        </w:rPr>
        <w:t>п. 995</w:t>
      </w:r>
      <w:r>
        <w:rPr>
          <w:sz w:val="22"/>
        </w:rPr>
        <w:t xml:space="preserve"> </w:t>
      </w:r>
      <w:r>
        <w:rPr>
          <w:sz w:val="22"/>
        </w:rPr>
        <w:t>«Акарицидной обработке предшествует энтомологическое (акарологическое) обследование территории с целью определения видового состава и численности иксодовых клещей».</w:t>
      </w:r>
    </w:p>
    <w:p w14:paraId="1F010000">
      <w:pPr>
        <w:widowControl w:val="1"/>
        <w:numPr>
          <w:ilvl w:val="0"/>
          <w:numId w:val="5"/>
        </w:numPr>
        <w:spacing w:line="276" w:lineRule="auto"/>
        <w:ind/>
        <w:jc w:val="both"/>
        <w:rPr>
          <w:sz w:val="22"/>
        </w:rPr>
      </w:pPr>
      <w:r>
        <w:rPr>
          <w:sz w:val="22"/>
        </w:rPr>
        <w:t>п. 996 «</w:t>
      </w:r>
      <w:r>
        <w:rPr>
          <w:sz w:val="22"/>
        </w:rPr>
        <w:t>Мероприятия по борьбе с иксодовыми клещами проводятся в соответствии с общими требованиями к проведению дезинсекционных мероприятий в природных очагах инфекционных заболеваний</w:t>
      </w:r>
      <w:r>
        <w:rPr>
          <w:sz w:val="22"/>
        </w:rPr>
        <w:t>»</w:t>
      </w:r>
    </w:p>
    <w:p w14:paraId="20010000">
      <w:pPr>
        <w:widowControl w:val="1"/>
        <w:numPr>
          <w:ilvl w:val="0"/>
          <w:numId w:val="5"/>
        </w:numPr>
        <w:spacing w:line="276" w:lineRule="auto"/>
        <w:ind/>
        <w:jc w:val="both"/>
        <w:rPr>
          <w:sz w:val="22"/>
        </w:rPr>
      </w:pPr>
      <w:r>
        <w:rPr>
          <w:sz w:val="22"/>
        </w:rPr>
        <w:t>п. 99 «</w:t>
      </w:r>
      <w:r>
        <w:rPr>
          <w:sz w:val="22"/>
        </w:rPr>
        <w:t>Дезинсекционные мероприятия включают организацию и проведение</w:t>
      </w:r>
      <w:r>
        <w:rPr>
          <w:sz w:val="22"/>
        </w:rPr>
        <w:t xml:space="preserve"> </w:t>
      </w:r>
      <w:r>
        <w:rPr>
          <w:sz w:val="22"/>
        </w:rPr>
        <w:t>определения видовой принадлежности членистоногих; учета численности, определения заселенности членистоногими объектов и территории</w:t>
      </w:r>
      <w:r>
        <w:rPr>
          <w:sz w:val="22"/>
        </w:rPr>
        <w:t>».</w:t>
      </w:r>
    </w:p>
    <w:p w14:paraId="21010000">
      <w:pPr>
        <w:widowControl w:val="1"/>
        <w:tabs>
          <w:tab w:leader="none" w:pos="360" w:val="left"/>
        </w:tabs>
        <w:ind w:firstLine="709"/>
        <w:jc w:val="both"/>
        <w:rPr>
          <w:sz w:val="22"/>
        </w:rPr>
      </w:pPr>
      <w:r>
        <w:rPr>
          <w:sz w:val="22"/>
        </w:rPr>
        <w:t xml:space="preserve">Учитывая, что </w:t>
      </w:r>
      <w:r>
        <w:rPr>
          <w:rStyle w:val="Style_12_ch"/>
          <w:sz w:val="22"/>
        </w:rPr>
        <w:t>результаты мониторинга напрямую влияют на принятие решений о проведении акарицидной обработки</w:t>
      </w:r>
      <w:r>
        <w:rPr>
          <w:sz w:val="22"/>
        </w:rPr>
        <w:t>, отсутствие протоколированных и документально подтверждённых исследований может привести к:</w:t>
      </w:r>
    </w:p>
    <w:p w14:paraId="22010000">
      <w:pPr>
        <w:widowControl w:val="1"/>
        <w:numPr>
          <w:ilvl w:val="0"/>
          <w:numId w:val="6"/>
        </w:numPr>
        <w:spacing w:line="276" w:lineRule="auto"/>
        <w:ind/>
        <w:jc w:val="both"/>
        <w:rPr>
          <w:sz w:val="22"/>
        </w:rPr>
      </w:pPr>
      <w:r>
        <w:rPr>
          <w:sz w:val="22"/>
        </w:rPr>
        <w:t>необоснованному применению химических средств,</w:t>
      </w:r>
    </w:p>
    <w:p w14:paraId="23010000">
      <w:pPr>
        <w:widowControl w:val="1"/>
        <w:numPr>
          <w:ilvl w:val="0"/>
          <w:numId w:val="6"/>
        </w:numPr>
        <w:spacing w:line="276" w:lineRule="auto"/>
        <w:ind/>
        <w:jc w:val="both"/>
        <w:rPr>
          <w:sz w:val="22"/>
        </w:rPr>
      </w:pPr>
      <w:r>
        <w:rPr>
          <w:sz w:val="22"/>
        </w:rPr>
        <w:t>рискам экологического и эпидемиологического характера,</w:t>
      </w:r>
    </w:p>
    <w:p w14:paraId="24010000">
      <w:pPr>
        <w:widowControl w:val="1"/>
        <w:numPr>
          <w:ilvl w:val="0"/>
          <w:numId w:val="6"/>
        </w:numPr>
        <w:spacing w:line="276" w:lineRule="auto"/>
        <w:ind/>
        <w:jc w:val="both"/>
        <w:rPr>
          <w:sz w:val="22"/>
        </w:rPr>
      </w:pPr>
      <w:r>
        <w:rPr>
          <w:sz w:val="22"/>
        </w:rPr>
        <w:t>признанию закупки или обработки неправомерной при проверке.</w:t>
      </w:r>
    </w:p>
    <w:p w14:paraId="25010000">
      <w:pPr>
        <w:widowControl w:val="1"/>
        <w:tabs>
          <w:tab w:leader="none" w:pos="1080" w:val="left"/>
        </w:tabs>
        <w:ind/>
        <w:jc w:val="both"/>
        <w:rPr>
          <w:sz w:val="22"/>
        </w:rPr>
      </w:pPr>
      <w:r>
        <w:rPr>
          <w:sz w:val="22"/>
        </w:rPr>
        <mc:AlternateContent>
          <mc:Choice Requires="wps">
            <w:draw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inline>
                <wp:extent cx="2743200" cy="19050"/>
                <wp:docPr hidden="false" id="5" name="Picture 5"/>
                <a:graphic>
                  <a:graphicData uri="http://schemas.microsoft.com/office/word/2010/wordprocessingShape">
                    <wps:wsp>
                      <wps:cNvSpPr txBox="false"/>
                      <wps:spPr>
                        <a:xfrm flipH="false" flipV="false" rot="0">
                          <a:off x="0" y="0"/>
                          <a:ext cx="2743200" cy="19050"/>
                        </a:xfrm>
                        <a:prstGeom prst="rect">
                          <a:avLst/>
                        </a:prstGeom>
                        <a:solidFill>
                          <a:srgbClr val="A0A0A0"/>
                        </a:solidFill>
                        <a:ln>
                          <a:noFill/>
                        </a:ln>
                      </wps:spPr>
                      <wps:bodyPr anchor="t" bIns="45720" lIns="91440" rIns="91440" tIns="45720">
                        <a:noAutofit/>
                      </wps:bodyPr>
                    </wps:wsp>
                  </a:graphicData>
                </a:graphic>
              </wp:inline>
            </w:drawing>
          </mc:Choice>
          <mc:Fallback>
            <w:pic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p>
    <w:p w14:paraId="26010000">
      <w:pPr>
        <w:pStyle w:val="Style_13"/>
        <w:widowControl w:val="1"/>
        <w:spacing w:before="0"/>
        <w:ind/>
        <w:jc w:val="both"/>
        <w:rPr>
          <w:rFonts w:ascii="Times New Roman" w:hAnsi="Times New Roman"/>
          <w:b w:val="0"/>
          <w:sz w:val="22"/>
        </w:rPr>
      </w:pPr>
      <w:r>
        <w:rPr>
          <w:rStyle w:val="Style_12_ch"/>
          <w:rFonts w:ascii="Times New Roman" w:hAnsi="Times New Roman"/>
          <w:sz w:val="22"/>
        </w:rPr>
        <w:t>Вывод</w:t>
      </w:r>
    </w:p>
    <w:p w14:paraId="27010000">
      <w:pPr>
        <w:widowControl w:val="1"/>
        <w:ind/>
        <w:jc w:val="both"/>
        <w:rPr>
          <w:sz w:val="22"/>
        </w:rPr>
      </w:pPr>
      <w:r>
        <w:rPr>
          <w:sz w:val="22"/>
        </w:rPr>
        <w:t>Включение в ТЗ требований к участнику о наличии:</w:t>
      </w:r>
    </w:p>
    <w:p w14:paraId="28010000">
      <w:pPr>
        <w:widowControl w:val="1"/>
        <w:numPr>
          <w:ilvl w:val="0"/>
          <w:numId w:val="7"/>
        </w:numPr>
        <w:spacing w:line="276" w:lineRule="auto"/>
        <w:ind/>
        <w:jc w:val="both"/>
        <w:rPr>
          <w:sz w:val="22"/>
        </w:rPr>
      </w:pPr>
      <w:r>
        <w:rPr>
          <w:rStyle w:val="Style_12_ch"/>
          <w:sz w:val="22"/>
        </w:rPr>
        <w:t>испытательной лаборатории</w:t>
      </w:r>
      <w:r>
        <w:rPr>
          <w:sz w:val="22"/>
        </w:rPr>
        <w:t>, аккредитованной в соответствии с Федеральным законом № 412-ФЗ и внесённой в реестр Росаккредитации (но ссылку на 412-ФЗ не нужно указывать явно),</w:t>
      </w:r>
    </w:p>
    <w:p w14:paraId="29010000">
      <w:pPr>
        <w:widowControl w:val="1"/>
        <w:numPr>
          <w:ilvl w:val="0"/>
          <w:numId w:val="7"/>
        </w:numPr>
        <w:spacing w:line="276" w:lineRule="auto"/>
        <w:ind/>
        <w:jc w:val="both"/>
        <w:rPr>
          <w:sz w:val="22"/>
        </w:rPr>
      </w:pPr>
      <w:r>
        <w:rPr>
          <w:rStyle w:val="Style_12_ch"/>
          <w:sz w:val="22"/>
        </w:rPr>
        <w:t>органа инспекции</w:t>
      </w:r>
      <w:r>
        <w:rPr>
          <w:sz w:val="22"/>
        </w:rPr>
        <w:t>, аккредитованного по ГОСТ ISO/IEC 17020-2012 (тип B или A),</w:t>
      </w:r>
    </w:p>
    <w:p w14:paraId="2A010000">
      <w:pPr>
        <w:widowControl w:val="1"/>
        <w:numPr>
          <w:ilvl w:val="0"/>
          <w:numId w:val="7"/>
        </w:numPr>
        <w:spacing w:line="276" w:lineRule="auto"/>
        <w:ind/>
        <w:jc w:val="both"/>
        <w:rPr>
          <w:sz w:val="22"/>
        </w:rPr>
      </w:pPr>
      <w:r>
        <w:rPr>
          <w:sz w:val="22"/>
        </w:rPr>
        <w:t xml:space="preserve">и опыта проведения </w:t>
      </w:r>
      <w:r>
        <w:rPr>
          <w:rStyle w:val="Style_12_ch"/>
          <w:sz w:val="22"/>
        </w:rPr>
        <w:t>санитарно-эпидемиологических экспертиз в области дезинфекционных мероприятий</w:t>
      </w:r>
      <w:r>
        <w:rPr>
          <w:sz w:val="22"/>
        </w:rPr>
        <w:t>,</w:t>
      </w:r>
    </w:p>
    <w:p w14:paraId="2B010000">
      <w:pPr>
        <w:widowControl w:val="1"/>
        <w:tabs>
          <w:tab w:leader="none" w:pos="1440" w:val="left"/>
        </w:tabs>
        <w:ind/>
        <w:jc w:val="both"/>
        <w:rPr>
          <w:sz w:val="22"/>
        </w:rPr>
      </w:pPr>
      <w:r>
        <w:rPr>
          <w:sz w:val="22"/>
        </w:rPr>
        <w:t xml:space="preserve">является юридически обоснованным, соответствует действующим санитарным правилам, методическим указаниям и приказам Роспотребнадзора, и направлено на </w:t>
      </w:r>
      <w:r>
        <w:rPr>
          <w:rStyle w:val="Style_12_ch"/>
          <w:sz w:val="22"/>
        </w:rPr>
        <w:t>обеспечение санитарно-эпидемиологической безопасности</w:t>
      </w:r>
      <w:r>
        <w:rPr>
          <w:sz w:val="22"/>
        </w:rPr>
        <w:t>, а также правомерность расходов бюджетных средств.</w:t>
      </w:r>
    </w:p>
    <w:p w14:paraId="2C010000">
      <w:pPr>
        <w:widowControl w:val="1"/>
        <w:ind/>
        <w:jc w:val="center"/>
        <w:rPr>
          <w:sz w:val="22"/>
        </w:rPr>
      </w:pPr>
    </w:p>
    <w:tbl>
      <w:tblPr>
        <w:tblStyle w:val="Style_7"/>
        <w:tblW w:type="auto" w:w="0"/>
        <w:jc w:val="center"/>
        <w:tblLayout w:type="fixed"/>
        <w:tblCellMar>
          <w:left w:type="dxa" w:w="0"/>
          <w:right w:type="dxa" w:w="0"/>
        </w:tblCellMar>
      </w:tblPr>
      <w:tblGrid>
        <w:gridCol w:w="4543"/>
        <w:gridCol w:w="502"/>
        <w:gridCol w:w="4310"/>
      </w:tblGrid>
      <w:tr>
        <w:tc>
          <w:tcPr>
            <w:tcW w:type="dxa" w:w="4543"/>
            <w:tcMar>
              <w:left w:type="dxa" w:w="0"/>
              <w:right w:type="dxa" w:w="0"/>
            </w:tcMar>
          </w:tcPr>
          <w:p w14:paraId="2D010000">
            <w:pPr>
              <w:rPr>
                <w:b w:val="1"/>
                <w:sz w:val="22"/>
              </w:rPr>
            </w:pPr>
            <w:r>
              <w:rPr>
                <w:b w:val="1"/>
                <w:sz w:val="22"/>
              </w:rPr>
              <w:t>Заказчик:</w:t>
            </w:r>
          </w:p>
        </w:tc>
        <w:tc>
          <w:tcPr>
            <w:tcW w:type="dxa" w:w="502"/>
            <w:tcMar>
              <w:left w:type="dxa" w:w="0"/>
              <w:right w:type="dxa" w:w="0"/>
            </w:tcMar>
          </w:tcPr>
          <w:p w14:paraId="2E010000">
            <w:pPr>
              <w:rPr>
                <w:b w:val="1"/>
                <w:i w:val="1"/>
                <w:sz w:val="22"/>
              </w:rPr>
            </w:pPr>
          </w:p>
        </w:tc>
        <w:tc>
          <w:tcPr>
            <w:tcW w:type="dxa" w:w="4310"/>
            <w:tcMar>
              <w:left w:type="dxa" w:w="0"/>
              <w:right w:type="dxa" w:w="0"/>
            </w:tcMar>
          </w:tcPr>
          <w:p w14:paraId="2F010000">
            <w:pPr>
              <w:rPr>
                <w:b w:val="1"/>
                <w:sz w:val="22"/>
              </w:rPr>
            </w:pPr>
            <w:r>
              <w:rPr>
                <w:b w:val="1"/>
                <w:sz w:val="22"/>
              </w:rPr>
              <w:t>Исполнитель:</w:t>
            </w:r>
          </w:p>
        </w:tc>
      </w:tr>
      <w:tr>
        <w:tc>
          <w:tcPr>
            <w:tcW w:type="dxa" w:w="4543"/>
            <w:tcMar>
              <w:left w:type="dxa" w:w="0"/>
              <w:right w:type="dxa" w:w="0"/>
            </w:tcMar>
          </w:tcPr>
          <w:p w14:paraId="30010000">
            <w:pPr>
              <w:rPr>
                <w:color w:val="000000"/>
                <w:sz w:val="22"/>
              </w:rPr>
            </w:pPr>
            <w:r>
              <w:rPr>
                <w:sz w:val="22"/>
              </w:rPr>
              <w:t>Заведующий</w:t>
            </w:r>
          </w:p>
        </w:tc>
        <w:tc>
          <w:tcPr>
            <w:tcW w:type="dxa" w:w="502"/>
            <w:tcMar>
              <w:left w:type="dxa" w:w="0"/>
              <w:right w:type="dxa" w:w="0"/>
            </w:tcMar>
          </w:tcPr>
          <w:p w14:paraId="31010000">
            <w:pPr>
              <w:widowControl w:val="1"/>
              <w:tabs>
                <w:tab w:leader="none" w:pos="426" w:val="left"/>
                <w:tab w:leader="none" w:pos="927" w:val="left"/>
              </w:tabs>
              <w:ind/>
              <w:jc w:val="both"/>
              <w:rPr>
                <w:b w:val="1"/>
                <w:sz w:val="22"/>
              </w:rPr>
            </w:pPr>
          </w:p>
        </w:tc>
        <w:tc>
          <w:tcPr>
            <w:tcW w:type="dxa" w:w="4310"/>
            <w:tcMar>
              <w:left w:type="dxa" w:w="0"/>
              <w:right w:type="dxa" w:w="0"/>
            </w:tcMar>
          </w:tcPr>
          <w:p w14:paraId="32010000">
            <w:pPr>
              <w:widowControl w:val="1"/>
              <w:tabs>
                <w:tab w:leader="none" w:pos="426" w:val="left"/>
                <w:tab w:leader="none" w:pos="927" w:val="left"/>
              </w:tabs>
              <w:ind/>
              <w:jc w:val="both"/>
              <w:rPr>
                <w:b w:val="1"/>
                <w:sz w:val="22"/>
              </w:rPr>
            </w:pPr>
          </w:p>
        </w:tc>
      </w:tr>
      <w:tr>
        <w:trPr>
          <w:trHeight w:hRule="atLeast" w:val="98"/>
        </w:trPr>
        <w:tc>
          <w:tcPr>
            <w:tcW w:type="dxa" w:w="4543"/>
            <w:tcMar>
              <w:left w:type="dxa" w:w="0"/>
              <w:right w:type="dxa" w:w="0"/>
            </w:tcMar>
          </w:tcPr>
          <w:p w14:paraId="33010000">
            <w:pPr>
              <w:rPr>
                <w:color w:val="000000"/>
                <w:sz w:val="22"/>
              </w:rPr>
            </w:pPr>
            <w:r>
              <w:rPr>
                <w:sz w:val="22"/>
              </w:rPr>
              <w:t xml:space="preserve">_______________  </w:t>
            </w:r>
            <w:r>
              <w:rPr>
                <w:b w:val="1"/>
                <w:sz w:val="22"/>
              </w:rPr>
              <w:t>/</w:t>
            </w:r>
            <w:r>
              <w:rPr>
                <w:sz w:val="22"/>
              </w:rPr>
              <w:t>Лоза О.А.</w:t>
            </w:r>
            <w:r>
              <w:rPr>
                <w:b w:val="1"/>
                <w:sz w:val="22"/>
              </w:rPr>
              <w:t>/</w:t>
            </w:r>
          </w:p>
        </w:tc>
        <w:tc>
          <w:tcPr>
            <w:tcW w:type="dxa" w:w="502"/>
            <w:tcMar>
              <w:left w:type="dxa" w:w="0"/>
              <w:right w:type="dxa" w:w="0"/>
            </w:tcMar>
          </w:tcPr>
          <w:p w14:paraId="34010000">
            <w:pPr>
              <w:widowControl w:val="1"/>
              <w:tabs>
                <w:tab w:leader="none" w:pos="426" w:val="left"/>
                <w:tab w:leader="none" w:pos="927" w:val="left"/>
              </w:tabs>
              <w:ind/>
              <w:jc w:val="both"/>
              <w:rPr>
                <w:b w:val="1"/>
                <w:sz w:val="22"/>
              </w:rPr>
            </w:pPr>
          </w:p>
        </w:tc>
        <w:tc>
          <w:tcPr>
            <w:tcW w:type="dxa" w:w="4310"/>
            <w:tcMar>
              <w:left w:type="dxa" w:w="0"/>
              <w:right w:type="dxa" w:w="0"/>
            </w:tcMar>
          </w:tcPr>
          <w:p w14:paraId="35010000">
            <w:pPr>
              <w:widowControl w:val="1"/>
              <w:tabs>
                <w:tab w:leader="none" w:pos="426" w:val="left"/>
                <w:tab w:leader="none" w:pos="927" w:val="left"/>
              </w:tabs>
              <w:ind/>
              <w:jc w:val="both"/>
              <w:rPr>
                <w:b w:val="1"/>
                <w:sz w:val="22"/>
              </w:rPr>
            </w:pPr>
            <w:r>
              <w:rPr>
                <w:sz w:val="22"/>
              </w:rPr>
              <w:t xml:space="preserve">______________/ </w:t>
            </w:r>
            <w:r>
              <w:rPr>
                <w:b w:val="1"/>
                <w:sz w:val="22"/>
              </w:rPr>
              <w:t xml:space="preserve"> </w:t>
            </w:r>
            <w:r>
              <w:rPr>
                <w:b w:val="1"/>
                <w:sz w:val="22"/>
              </w:rPr>
              <w:t xml:space="preserve">_________ </w:t>
            </w:r>
            <w:r>
              <w:rPr>
                <w:sz w:val="22"/>
              </w:rPr>
              <w:t>/</w:t>
            </w:r>
          </w:p>
        </w:tc>
      </w:tr>
    </w:tbl>
    <w:p w14:paraId="36010000">
      <w:pPr>
        <w:widowControl w:val="1"/>
        <w:tabs>
          <w:tab w:leader="none" w:pos="5025" w:val="left"/>
          <w:tab w:leader="none" w:pos="5235" w:val="left"/>
        </w:tabs>
        <w:ind/>
        <w:rPr>
          <w:sz w:val="28"/>
        </w:rPr>
      </w:pPr>
      <w:r>
        <w:rPr>
          <w:i w:val="1"/>
          <w:sz w:val="22"/>
        </w:rPr>
        <w:t>ПОДПИСАНО ЭЦП</w:t>
      </w:r>
      <w:r>
        <w:rPr>
          <w:i w:val="1"/>
          <w:sz w:val="22"/>
        </w:rPr>
        <w:tab/>
      </w:r>
      <w:r>
        <w:rPr>
          <w:i w:val="1"/>
          <w:sz w:val="22"/>
        </w:rPr>
        <w:t>ПОД</w:t>
      </w:r>
      <w:r>
        <w:rPr>
          <w:i w:val="1"/>
          <w:sz w:val="22"/>
        </w:rPr>
        <w:t>П</w:t>
      </w:r>
      <w:r>
        <w:rPr>
          <w:i w:val="1"/>
          <w:sz w:val="22"/>
        </w:rPr>
        <w:t>ИСАНО ЭЦП</w:t>
      </w:r>
      <w:r>
        <w:rPr>
          <w:i w:val="1"/>
          <w:sz w:val="16"/>
        </w:rPr>
        <w:tab/>
      </w:r>
    </w:p>
    <w:sectPr>
      <w:headerReference r:id="rId3" w:type="default"/>
      <w:headerReference r:id="rId6" w:type="first"/>
      <w:pgSz w:h="16838" w:orient="portrait" w:w="11906"/>
      <w:pgMar w:bottom="709" w:footer="709" w:gutter="0" w:header="709" w:left="1701" w:right="850" w:top="1134"/>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header1.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p w14:paraId="02000000">
    <w:pPr>
      <w:pStyle w:val="Style_1"/>
    </w:pPr>
  </w:p>
</w:hdr>
</file>

<file path=word/header2.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widowControl w:val="1"/>
      <w:ind/>
      <w:jc w:val="center"/>
    </w:pPr>
    <w:r>
      <w:fldChar w:fldCharType="begin"/>
    </w:r>
    <w:r>
      <w:instrText xml:space="preserve">PAGE </w:instrText>
    </w:r>
    <w:r>
      <w:fldChar w:fldCharType="separate"/>
    </w:r>
    <w:r>
      <w:t xml:space="preserve"> </w:t>
    </w:r>
    <w:r>
      <w:fldChar w:fldCharType="end"/>
    </w:r>
  </w:p>
  <w:p w14:paraId="04000000">
    <w:pPr>
      <w:pStyle w:val="Style_1"/>
    </w:pPr>
  </w:p>
</w:hdr>
</file>

<file path=word/header3.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5000000">
    <w:pPr>
      <w:pStyle w:val="Style_1"/>
      <w:widowControl w:val="1"/>
      <w:ind/>
      <w:jc w:val="center"/>
    </w:pPr>
    <w:r>
      <w:fldChar w:fldCharType="begin"/>
    </w:r>
    <w:r>
      <w:instrText xml:space="preserve">PAGE </w:instrText>
    </w:r>
    <w:r>
      <w:fldChar w:fldCharType="separate"/>
    </w:r>
    <w:r>
      <w:t xml:space="preserve"> </w:t>
    </w:r>
    <w:r>
      <w:fldChar w:fldCharType="end"/>
    </w:r>
  </w:p>
  <w:p w14:paraId="06000000">
    <w:pPr>
      <w:pStyle w:val="Style_1"/>
    </w:pPr>
  </w:p>
</w:hdr>
</file>

<file path=word/header4.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7000000">
    <w:pPr>
      <w:pStyle w:val="Style_1"/>
      <w:widowControl w:val="1"/>
      <w:ind/>
      <w:jc w:val="right"/>
      <w:rPr>
        <w:color w:val="FF0000"/>
      </w:rPr>
    </w:pPr>
    <w:r>
      <w:tab/>
    </w:r>
  </w:p>
  <w:p w14:paraId="08000000">
    <w:pPr>
      <w:pStyle w:val="Style_1"/>
      <w:widowControl w:val="1"/>
      <w:tabs>
        <w:tab w:leader="none" w:pos="4677" w:val="clear"/>
        <w:tab w:leader="none" w:pos="6672" w:val="left"/>
        <w:tab w:leader="none" w:pos="9355" w:val="clear"/>
      </w:tabs>
      <w:ind/>
    </w:pPr>
  </w:p>
  <w:p w14:paraId="09000000">
    <w:pPr>
      <w:pStyle w:val="Style_1"/>
    </w:pPr>
  </w:p>
</w:hdr>
</file>

<file path=word/header5.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A000000">
    <w:pPr>
      <w:pStyle w:val="Style_1"/>
      <w:widowControl w:val="1"/>
      <w:ind/>
      <w:jc w:val="right"/>
      <w:rPr>
        <w:color w:val="FF0000"/>
      </w:rPr>
    </w:pPr>
    <w:r>
      <w:tab/>
    </w:r>
  </w:p>
  <w:p w14:paraId="0B000000">
    <w:pPr>
      <w:pStyle w:val="Style_1"/>
      <w:widowControl w:val="1"/>
      <w:tabs>
        <w:tab w:leader="none" w:pos="4677" w:val="clear"/>
        <w:tab w:leader="none" w:pos="6672" w:val="left"/>
        <w:tab w:leader="none" w:pos="9355" w:val="clear"/>
      </w:tabs>
      <w:ind/>
    </w:pPr>
  </w:p>
  <w:p w14:paraId="0C000000">
    <w:pPr>
      <w:pStyle w:val="Style_1"/>
    </w:pPr>
  </w:p>
</w:hdr>
</file>

<file path=word/header6.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D000000">
    <w:pPr>
      <w:pStyle w:val="Style_1"/>
      <w:widowControl w:val="1"/>
      <w:ind/>
      <w:jc w:val="right"/>
      <w:rPr>
        <w:color w:val="FF0000"/>
      </w:rPr>
    </w:pPr>
    <w:r>
      <w:tab/>
    </w:r>
  </w:p>
  <w:p w14:paraId="0E000000">
    <w:pPr>
      <w:pStyle w:val="Style_1"/>
      <w:widowControl w:val="1"/>
      <w:tabs>
        <w:tab w:leader="none" w:pos="4677" w:val="clear"/>
        <w:tab w:leader="none" w:pos="6672" w:val="left"/>
        <w:tab w:leader="none" w:pos="9355" w:val="clear"/>
      </w:tabs>
      <w:ind/>
    </w:pPr>
  </w:p>
  <w:p w14:paraId="0F000000">
    <w:pPr>
      <w:pStyle w:val="Style_1"/>
    </w:pPr>
  </w:p>
</w:hdr>
</file>

<file path=word/numbering.xml><?xml version="1.0" encoding="utf-8"?>
<w:number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ind w:hanging="360" w:left="360"/>
      </w:pPr>
    </w:lvl>
    <w:lvl w:ilvl="1">
      <w:start w:val="1"/>
      <w:numFmt w:val="decimal"/>
      <w:suff w:val="space"/>
      <w:lvlText w:val="%1.%2."/>
      <w:lvlJc w:val="left"/>
      <w:pPr>
        <w:widowControl w:val="1"/>
        <w:ind w:hanging="432" w:left="792"/>
      </w:pPr>
    </w:lvl>
    <w:lvl w:ilvl="2">
      <w:start w:val="1"/>
      <w:numFmt w:val="decimal"/>
      <w:lvlText w:val="%1.%2.%3."/>
      <w:lvlJc w:val="left"/>
      <w:pPr>
        <w:widowControl w:val="1"/>
        <w:ind w:hanging="504" w:left="1224"/>
      </w:pPr>
    </w:lvl>
    <w:lvl w:ilvl="3">
      <w:start w:val="1"/>
      <w:numFmt w:val="decimal"/>
      <w:lvlText w:val="%1.%2.%3.%4."/>
      <w:lvlJc w:val="left"/>
      <w:pPr>
        <w:widowControl w:val="1"/>
        <w:ind w:hanging="648" w:left="1728"/>
      </w:pPr>
    </w:lvl>
    <w:lvl w:ilvl="4">
      <w:start w:val="1"/>
      <w:numFmt w:val="decimal"/>
      <w:lvlText w:val="%1.%2.%3.%4.%5."/>
      <w:lvlJc w:val="left"/>
      <w:pPr>
        <w:widowControl w:val="1"/>
        <w:ind w:hanging="792" w:left="2232"/>
      </w:pPr>
    </w:lvl>
    <w:lvl w:ilvl="5">
      <w:start w:val="1"/>
      <w:numFmt w:val="decimal"/>
      <w:lvlText w:val="%1.%2.%3.%4.%5.%6."/>
      <w:lvlJc w:val="left"/>
      <w:pPr>
        <w:widowControl w:val="1"/>
        <w:ind w:hanging="936" w:left="2736"/>
      </w:pPr>
    </w:lvl>
    <w:lvl w:ilvl="6">
      <w:start w:val="1"/>
      <w:numFmt w:val="decimal"/>
      <w:lvlText w:val="%1.%2.%3.%4.%5.%6.%7."/>
      <w:lvlJc w:val="left"/>
      <w:pPr>
        <w:widowControl w:val="1"/>
        <w:ind w:hanging="1080" w:left="3240"/>
      </w:pPr>
    </w:lvl>
    <w:lvl w:ilvl="7">
      <w:start w:val="1"/>
      <w:numFmt w:val="decimal"/>
      <w:lvlText w:val="%1.%2.%3.%4.%5.%6.%7.%8."/>
      <w:lvlJc w:val="left"/>
      <w:pPr>
        <w:widowControl w:val="1"/>
        <w:ind w:hanging="1224" w:left="3744"/>
      </w:pPr>
    </w:lvl>
    <w:lvl w:ilvl="8">
      <w:start w:val="1"/>
      <w:numFmt w:val="decimal"/>
      <w:lvlText w:val="%1.%2.%3.%4.%5.%6.%7.%8.%9."/>
      <w:lvlJc w:val="left"/>
      <w:pPr>
        <w:widowControl w:val="1"/>
        <w:ind w:hanging="1440" w:left="4320"/>
      </w:pPr>
    </w:lvl>
  </w:abstractNum>
  <w:abstractNum w:abstractNumId="1">
    <w:lvl w:ilvl="0">
      <w:start w:val="1"/>
      <w:numFmt w:val="bullet"/>
      <w:lvlText w:val=""/>
      <w:lvlJc w:val="left"/>
      <w:pPr>
        <w:widowControl w:val="1"/>
        <w:tabs>
          <w:tab w:leader="none" w:pos="720" w:val="left"/>
        </w:tabs>
        <w:ind w:hanging="360" w:left="720"/>
      </w:pPr>
      <w:rPr>
        <w:rFonts w:ascii="Symbol" w:hAnsi="Symbol"/>
        <w:sz w:val="20"/>
      </w:rPr>
    </w:lvl>
    <w:lvl w:ilvl="1">
      <w:start w:val="1"/>
      <w:numFmt w:val="bullet"/>
      <w:lvlText w:val="o"/>
      <w:lvlJc w:val="left"/>
      <w:pPr>
        <w:widowControl w:val="1"/>
        <w:tabs>
          <w:tab w:leader="none" w:pos="1440" w:val="left"/>
        </w:tabs>
        <w:ind w:hanging="360" w:left="1440"/>
      </w:pPr>
      <w:rPr>
        <w:rFonts w:ascii="Courier New" w:hAnsi="Courier New"/>
        <w:sz w:val="20"/>
      </w:rPr>
    </w:lvl>
    <w:lvl w:ilvl="2">
      <w:start w:val="1"/>
      <w:numFmt w:val="bullet"/>
      <w:lvlText w:val=""/>
      <w:lvlJc w:val="left"/>
      <w:pPr>
        <w:widowControl w:val="1"/>
        <w:tabs>
          <w:tab w:leader="none" w:pos="2160" w:val="left"/>
        </w:tabs>
        <w:ind w:hanging="360" w:left="2160"/>
      </w:pPr>
      <w:rPr>
        <w:rFonts w:ascii="Wingdings" w:hAnsi="Wingdings"/>
        <w:sz w:val="20"/>
      </w:rPr>
    </w:lvl>
    <w:lvl w:ilvl="3">
      <w:start w:val="1"/>
      <w:numFmt w:val="bullet"/>
      <w:lvlText w:val=""/>
      <w:lvlJc w:val="left"/>
      <w:pPr>
        <w:widowControl w:val="1"/>
        <w:tabs>
          <w:tab w:leader="none" w:pos="2880" w:val="left"/>
        </w:tabs>
        <w:ind w:hanging="360" w:left="2880"/>
      </w:pPr>
      <w:rPr>
        <w:rFonts w:ascii="Wingdings" w:hAnsi="Wingdings"/>
        <w:sz w:val="20"/>
      </w:rPr>
    </w:lvl>
    <w:lvl w:ilvl="4">
      <w:start w:val="1"/>
      <w:numFmt w:val="bullet"/>
      <w:lvlText w:val=""/>
      <w:lvlJc w:val="left"/>
      <w:pPr>
        <w:widowControl w:val="1"/>
        <w:tabs>
          <w:tab w:leader="none" w:pos="3600" w:val="left"/>
        </w:tabs>
        <w:ind w:hanging="360" w:left="3600"/>
      </w:pPr>
      <w:rPr>
        <w:rFonts w:ascii="Wingdings" w:hAnsi="Wingdings"/>
        <w:sz w:val="20"/>
      </w:rPr>
    </w:lvl>
    <w:lvl w:ilvl="5">
      <w:start w:val="1"/>
      <w:numFmt w:val="bullet"/>
      <w:lvlText w:val=""/>
      <w:lvlJc w:val="left"/>
      <w:pPr>
        <w:widowControl w:val="1"/>
        <w:tabs>
          <w:tab w:leader="none" w:pos="4320" w:val="left"/>
        </w:tabs>
        <w:ind w:hanging="360" w:left="4320"/>
      </w:pPr>
      <w:rPr>
        <w:rFonts w:ascii="Wingdings" w:hAnsi="Wingdings"/>
        <w:sz w:val="20"/>
      </w:rPr>
    </w:lvl>
    <w:lvl w:ilvl="6">
      <w:start w:val="1"/>
      <w:numFmt w:val="bullet"/>
      <w:lvlText w:val=""/>
      <w:lvlJc w:val="left"/>
      <w:pPr>
        <w:widowControl w:val="1"/>
        <w:tabs>
          <w:tab w:leader="none" w:pos="5040" w:val="left"/>
        </w:tabs>
        <w:ind w:hanging="360" w:left="5040"/>
      </w:pPr>
      <w:rPr>
        <w:rFonts w:ascii="Wingdings" w:hAnsi="Wingdings"/>
        <w:sz w:val="20"/>
      </w:rPr>
    </w:lvl>
    <w:lvl w:ilvl="7">
      <w:start w:val="1"/>
      <w:numFmt w:val="bullet"/>
      <w:lvlText w:val=""/>
      <w:lvlJc w:val="left"/>
      <w:pPr>
        <w:widowControl w:val="1"/>
        <w:tabs>
          <w:tab w:leader="none" w:pos="5760" w:val="left"/>
        </w:tabs>
        <w:ind w:hanging="360" w:left="5760"/>
      </w:pPr>
      <w:rPr>
        <w:rFonts w:ascii="Wingdings" w:hAnsi="Wingdings"/>
        <w:sz w:val="20"/>
      </w:rPr>
    </w:lvl>
    <w:lvl w:ilvl="8">
      <w:start w:val="1"/>
      <w:numFmt w:val="bullet"/>
      <w:lvlText w:val=""/>
      <w:lvlJc w:val="left"/>
      <w:pPr>
        <w:widowControl w:val="1"/>
        <w:tabs>
          <w:tab w:leader="none" w:pos="6480" w:val="left"/>
        </w:tabs>
        <w:ind w:hanging="360" w:left="6480"/>
      </w:pPr>
      <w:rPr>
        <w:rFonts w:ascii="Wingdings" w:hAnsi="Wingdings"/>
        <w:sz w:val="20"/>
      </w:rPr>
    </w:lvl>
  </w:abstractNum>
  <w:abstractNum w:abstractNumId="2">
    <w:lvl w:ilvl="0">
      <w:start w:val="1"/>
      <w:numFmt w:val="bullet"/>
      <w:lvlText w:val=""/>
      <w:lvlJc w:val="left"/>
      <w:pPr>
        <w:widowControl w:val="1"/>
        <w:tabs>
          <w:tab w:leader="none" w:pos="720" w:val="left"/>
        </w:tabs>
        <w:ind w:hanging="360" w:left="720"/>
      </w:pPr>
      <w:rPr>
        <w:rFonts w:ascii="Symbol" w:hAnsi="Symbol"/>
        <w:sz w:val="20"/>
      </w:rPr>
    </w:lvl>
    <w:lvl w:ilvl="1">
      <w:start w:val="1"/>
      <w:numFmt w:val="bullet"/>
      <w:lvlText w:val="o"/>
      <w:lvlJc w:val="left"/>
      <w:pPr>
        <w:widowControl w:val="1"/>
        <w:tabs>
          <w:tab w:leader="none" w:pos="1440" w:val="left"/>
        </w:tabs>
        <w:ind w:hanging="360" w:left="1440"/>
      </w:pPr>
      <w:rPr>
        <w:rFonts w:ascii="Courier New" w:hAnsi="Courier New"/>
        <w:sz w:val="20"/>
      </w:rPr>
    </w:lvl>
    <w:lvl w:ilvl="2">
      <w:start w:val="1"/>
      <w:numFmt w:val="bullet"/>
      <w:lvlText w:val=""/>
      <w:lvlJc w:val="left"/>
      <w:pPr>
        <w:widowControl w:val="1"/>
        <w:tabs>
          <w:tab w:leader="none" w:pos="2160" w:val="left"/>
        </w:tabs>
        <w:ind w:hanging="360" w:left="2160"/>
      </w:pPr>
      <w:rPr>
        <w:rFonts w:ascii="Wingdings" w:hAnsi="Wingdings"/>
        <w:sz w:val="20"/>
      </w:rPr>
    </w:lvl>
    <w:lvl w:ilvl="3">
      <w:start w:val="1"/>
      <w:numFmt w:val="bullet"/>
      <w:lvlText w:val=""/>
      <w:lvlJc w:val="left"/>
      <w:pPr>
        <w:widowControl w:val="1"/>
        <w:tabs>
          <w:tab w:leader="none" w:pos="2880" w:val="left"/>
        </w:tabs>
        <w:ind w:hanging="360" w:left="2880"/>
      </w:pPr>
      <w:rPr>
        <w:rFonts w:ascii="Wingdings" w:hAnsi="Wingdings"/>
        <w:sz w:val="20"/>
      </w:rPr>
    </w:lvl>
    <w:lvl w:ilvl="4">
      <w:start w:val="1"/>
      <w:numFmt w:val="bullet"/>
      <w:lvlText w:val=""/>
      <w:lvlJc w:val="left"/>
      <w:pPr>
        <w:widowControl w:val="1"/>
        <w:tabs>
          <w:tab w:leader="none" w:pos="3600" w:val="left"/>
        </w:tabs>
        <w:ind w:hanging="360" w:left="3600"/>
      </w:pPr>
      <w:rPr>
        <w:rFonts w:ascii="Wingdings" w:hAnsi="Wingdings"/>
        <w:sz w:val="20"/>
      </w:rPr>
    </w:lvl>
    <w:lvl w:ilvl="5">
      <w:start w:val="1"/>
      <w:numFmt w:val="bullet"/>
      <w:lvlText w:val=""/>
      <w:lvlJc w:val="left"/>
      <w:pPr>
        <w:widowControl w:val="1"/>
        <w:tabs>
          <w:tab w:leader="none" w:pos="4320" w:val="left"/>
        </w:tabs>
        <w:ind w:hanging="360" w:left="4320"/>
      </w:pPr>
      <w:rPr>
        <w:rFonts w:ascii="Wingdings" w:hAnsi="Wingdings"/>
        <w:sz w:val="20"/>
      </w:rPr>
    </w:lvl>
    <w:lvl w:ilvl="6">
      <w:start w:val="1"/>
      <w:numFmt w:val="bullet"/>
      <w:lvlText w:val=""/>
      <w:lvlJc w:val="left"/>
      <w:pPr>
        <w:widowControl w:val="1"/>
        <w:tabs>
          <w:tab w:leader="none" w:pos="5040" w:val="left"/>
        </w:tabs>
        <w:ind w:hanging="360" w:left="5040"/>
      </w:pPr>
      <w:rPr>
        <w:rFonts w:ascii="Wingdings" w:hAnsi="Wingdings"/>
        <w:sz w:val="20"/>
      </w:rPr>
    </w:lvl>
    <w:lvl w:ilvl="7">
      <w:start w:val="1"/>
      <w:numFmt w:val="bullet"/>
      <w:lvlText w:val=""/>
      <w:lvlJc w:val="left"/>
      <w:pPr>
        <w:widowControl w:val="1"/>
        <w:tabs>
          <w:tab w:leader="none" w:pos="5760" w:val="left"/>
        </w:tabs>
        <w:ind w:hanging="360" w:left="5760"/>
      </w:pPr>
      <w:rPr>
        <w:rFonts w:ascii="Wingdings" w:hAnsi="Wingdings"/>
        <w:sz w:val="20"/>
      </w:rPr>
    </w:lvl>
    <w:lvl w:ilvl="8">
      <w:start w:val="1"/>
      <w:numFmt w:val="bullet"/>
      <w:lvlText w:val=""/>
      <w:lvlJc w:val="left"/>
      <w:pPr>
        <w:widowControl w:val="1"/>
        <w:tabs>
          <w:tab w:leader="none" w:pos="6480" w:val="left"/>
        </w:tabs>
        <w:ind w:hanging="360" w:left="6480"/>
      </w:pPr>
      <w:rPr>
        <w:rFonts w:ascii="Wingdings" w:hAnsi="Wingdings"/>
        <w:sz w:val="20"/>
      </w:rPr>
    </w:lvl>
  </w:abstractNum>
  <w:abstractNum w:abstractNumId="3">
    <w:lvl w:ilvl="0">
      <w:start w:val="1"/>
      <w:numFmt w:val="bullet"/>
      <w:lvlText w:val=""/>
      <w:lvlJc w:val="left"/>
      <w:pPr>
        <w:widowControl w:val="1"/>
        <w:tabs>
          <w:tab w:leader="none" w:pos="720" w:val="left"/>
        </w:tabs>
        <w:ind w:hanging="360" w:left="720"/>
      </w:pPr>
      <w:rPr>
        <w:rFonts w:ascii="Symbol" w:hAnsi="Symbol"/>
        <w:sz w:val="20"/>
      </w:rPr>
    </w:lvl>
    <w:lvl w:ilvl="1">
      <w:start w:val="1"/>
      <w:numFmt w:val="bullet"/>
      <w:lvlText w:val="o"/>
      <w:lvlJc w:val="left"/>
      <w:pPr>
        <w:widowControl w:val="1"/>
        <w:tabs>
          <w:tab w:leader="none" w:pos="1440" w:val="left"/>
        </w:tabs>
        <w:ind w:hanging="360" w:left="1440"/>
      </w:pPr>
      <w:rPr>
        <w:rFonts w:ascii="Courier New" w:hAnsi="Courier New"/>
        <w:sz w:val="20"/>
      </w:rPr>
    </w:lvl>
    <w:lvl w:ilvl="2">
      <w:start w:val="1"/>
      <w:numFmt w:val="bullet"/>
      <w:lvlText w:val=""/>
      <w:lvlJc w:val="left"/>
      <w:pPr>
        <w:widowControl w:val="1"/>
        <w:tabs>
          <w:tab w:leader="none" w:pos="2160" w:val="left"/>
        </w:tabs>
        <w:ind w:hanging="360" w:left="2160"/>
      </w:pPr>
      <w:rPr>
        <w:rFonts w:ascii="Wingdings" w:hAnsi="Wingdings"/>
        <w:sz w:val="20"/>
      </w:rPr>
    </w:lvl>
    <w:lvl w:ilvl="3">
      <w:start w:val="1"/>
      <w:numFmt w:val="bullet"/>
      <w:lvlText w:val=""/>
      <w:lvlJc w:val="left"/>
      <w:pPr>
        <w:widowControl w:val="1"/>
        <w:tabs>
          <w:tab w:leader="none" w:pos="2880" w:val="left"/>
        </w:tabs>
        <w:ind w:hanging="360" w:left="2880"/>
      </w:pPr>
      <w:rPr>
        <w:rFonts w:ascii="Wingdings" w:hAnsi="Wingdings"/>
        <w:sz w:val="20"/>
      </w:rPr>
    </w:lvl>
    <w:lvl w:ilvl="4">
      <w:start w:val="1"/>
      <w:numFmt w:val="bullet"/>
      <w:lvlText w:val=""/>
      <w:lvlJc w:val="left"/>
      <w:pPr>
        <w:widowControl w:val="1"/>
        <w:tabs>
          <w:tab w:leader="none" w:pos="3600" w:val="left"/>
        </w:tabs>
        <w:ind w:hanging="360" w:left="3600"/>
      </w:pPr>
      <w:rPr>
        <w:rFonts w:ascii="Wingdings" w:hAnsi="Wingdings"/>
        <w:sz w:val="20"/>
      </w:rPr>
    </w:lvl>
    <w:lvl w:ilvl="5">
      <w:start w:val="1"/>
      <w:numFmt w:val="bullet"/>
      <w:lvlText w:val=""/>
      <w:lvlJc w:val="left"/>
      <w:pPr>
        <w:widowControl w:val="1"/>
        <w:tabs>
          <w:tab w:leader="none" w:pos="4320" w:val="left"/>
        </w:tabs>
        <w:ind w:hanging="360" w:left="4320"/>
      </w:pPr>
      <w:rPr>
        <w:rFonts w:ascii="Wingdings" w:hAnsi="Wingdings"/>
        <w:sz w:val="20"/>
      </w:rPr>
    </w:lvl>
    <w:lvl w:ilvl="6">
      <w:start w:val="1"/>
      <w:numFmt w:val="bullet"/>
      <w:lvlText w:val=""/>
      <w:lvlJc w:val="left"/>
      <w:pPr>
        <w:widowControl w:val="1"/>
        <w:tabs>
          <w:tab w:leader="none" w:pos="5040" w:val="left"/>
        </w:tabs>
        <w:ind w:hanging="360" w:left="5040"/>
      </w:pPr>
      <w:rPr>
        <w:rFonts w:ascii="Wingdings" w:hAnsi="Wingdings"/>
        <w:sz w:val="20"/>
      </w:rPr>
    </w:lvl>
    <w:lvl w:ilvl="7">
      <w:start w:val="1"/>
      <w:numFmt w:val="bullet"/>
      <w:lvlText w:val=""/>
      <w:lvlJc w:val="left"/>
      <w:pPr>
        <w:widowControl w:val="1"/>
        <w:tabs>
          <w:tab w:leader="none" w:pos="5760" w:val="left"/>
        </w:tabs>
        <w:ind w:hanging="360" w:left="5760"/>
      </w:pPr>
      <w:rPr>
        <w:rFonts w:ascii="Wingdings" w:hAnsi="Wingdings"/>
        <w:sz w:val="20"/>
      </w:rPr>
    </w:lvl>
    <w:lvl w:ilvl="8">
      <w:start w:val="1"/>
      <w:numFmt w:val="bullet"/>
      <w:lvlText w:val=""/>
      <w:lvlJc w:val="left"/>
      <w:pPr>
        <w:widowControl w:val="1"/>
        <w:tabs>
          <w:tab w:leader="none" w:pos="6480" w:val="left"/>
        </w:tabs>
        <w:ind w:hanging="360" w:left="6480"/>
      </w:pPr>
      <w:rPr>
        <w:rFonts w:ascii="Wingdings" w:hAnsi="Wingdings"/>
        <w:sz w:val="20"/>
      </w:rPr>
    </w:lvl>
  </w:abstractNum>
  <w:abstractNum w:abstractNumId="4">
    <w:lvl w:ilvl="0">
      <w:start w:val="1"/>
      <w:numFmt w:val="bullet"/>
      <w:lvlText w:val=""/>
      <w:lvlJc w:val="left"/>
      <w:pPr>
        <w:widowControl w:val="1"/>
        <w:tabs>
          <w:tab w:leader="none" w:pos="720" w:val="left"/>
        </w:tabs>
        <w:ind w:hanging="360" w:left="720"/>
      </w:pPr>
      <w:rPr>
        <w:rFonts w:ascii="Symbol" w:hAnsi="Symbol"/>
        <w:sz w:val="20"/>
      </w:rPr>
    </w:lvl>
    <w:lvl w:ilvl="1">
      <w:start w:val="1"/>
      <w:numFmt w:val="bullet"/>
      <w:lvlText w:val="o"/>
      <w:lvlJc w:val="left"/>
      <w:pPr>
        <w:widowControl w:val="1"/>
        <w:tabs>
          <w:tab w:leader="none" w:pos="1440" w:val="left"/>
        </w:tabs>
        <w:ind w:hanging="360" w:left="1440"/>
      </w:pPr>
      <w:rPr>
        <w:rFonts w:ascii="Courier New" w:hAnsi="Courier New"/>
        <w:sz w:val="20"/>
      </w:rPr>
    </w:lvl>
    <w:lvl w:ilvl="2">
      <w:start w:val="1"/>
      <w:numFmt w:val="bullet"/>
      <w:lvlText w:val=""/>
      <w:lvlJc w:val="left"/>
      <w:pPr>
        <w:widowControl w:val="1"/>
        <w:tabs>
          <w:tab w:leader="none" w:pos="2160" w:val="left"/>
        </w:tabs>
        <w:ind w:hanging="360" w:left="2160"/>
      </w:pPr>
      <w:rPr>
        <w:rFonts w:ascii="Wingdings" w:hAnsi="Wingdings"/>
        <w:sz w:val="20"/>
      </w:rPr>
    </w:lvl>
    <w:lvl w:ilvl="3">
      <w:start w:val="1"/>
      <w:numFmt w:val="bullet"/>
      <w:lvlText w:val=""/>
      <w:lvlJc w:val="left"/>
      <w:pPr>
        <w:widowControl w:val="1"/>
        <w:tabs>
          <w:tab w:leader="none" w:pos="2880" w:val="left"/>
        </w:tabs>
        <w:ind w:hanging="360" w:left="2880"/>
      </w:pPr>
      <w:rPr>
        <w:rFonts w:ascii="Wingdings" w:hAnsi="Wingdings"/>
        <w:sz w:val="20"/>
      </w:rPr>
    </w:lvl>
    <w:lvl w:ilvl="4">
      <w:start w:val="1"/>
      <w:numFmt w:val="bullet"/>
      <w:lvlText w:val=""/>
      <w:lvlJc w:val="left"/>
      <w:pPr>
        <w:widowControl w:val="1"/>
        <w:tabs>
          <w:tab w:leader="none" w:pos="3600" w:val="left"/>
        </w:tabs>
        <w:ind w:hanging="360" w:left="3600"/>
      </w:pPr>
      <w:rPr>
        <w:rFonts w:ascii="Wingdings" w:hAnsi="Wingdings"/>
        <w:sz w:val="20"/>
      </w:rPr>
    </w:lvl>
    <w:lvl w:ilvl="5">
      <w:start w:val="1"/>
      <w:numFmt w:val="bullet"/>
      <w:lvlText w:val=""/>
      <w:lvlJc w:val="left"/>
      <w:pPr>
        <w:widowControl w:val="1"/>
        <w:tabs>
          <w:tab w:leader="none" w:pos="4320" w:val="left"/>
        </w:tabs>
        <w:ind w:hanging="360" w:left="4320"/>
      </w:pPr>
      <w:rPr>
        <w:rFonts w:ascii="Wingdings" w:hAnsi="Wingdings"/>
        <w:sz w:val="20"/>
      </w:rPr>
    </w:lvl>
    <w:lvl w:ilvl="6">
      <w:start w:val="1"/>
      <w:numFmt w:val="bullet"/>
      <w:lvlText w:val=""/>
      <w:lvlJc w:val="left"/>
      <w:pPr>
        <w:widowControl w:val="1"/>
        <w:tabs>
          <w:tab w:leader="none" w:pos="5040" w:val="left"/>
        </w:tabs>
        <w:ind w:hanging="360" w:left="5040"/>
      </w:pPr>
      <w:rPr>
        <w:rFonts w:ascii="Wingdings" w:hAnsi="Wingdings"/>
        <w:sz w:val="20"/>
      </w:rPr>
    </w:lvl>
    <w:lvl w:ilvl="7">
      <w:start w:val="1"/>
      <w:numFmt w:val="bullet"/>
      <w:lvlText w:val=""/>
      <w:lvlJc w:val="left"/>
      <w:pPr>
        <w:widowControl w:val="1"/>
        <w:tabs>
          <w:tab w:leader="none" w:pos="5760" w:val="left"/>
        </w:tabs>
        <w:ind w:hanging="360" w:left="5760"/>
      </w:pPr>
      <w:rPr>
        <w:rFonts w:ascii="Wingdings" w:hAnsi="Wingdings"/>
        <w:sz w:val="20"/>
      </w:rPr>
    </w:lvl>
    <w:lvl w:ilvl="8">
      <w:start w:val="1"/>
      <w:numFmt w:val="bullet"/>
      <w:lvlText w:val=""/>
      <w:lvlJc w:val="left"/>
      <w:pPr>
        <w:widowControl w:val="1"/>
        <w:tabs>
          <w:tab w:leader="none" w:pos="6480" w:val="left"/>
        </w:tabs>
        <w:ind w:hanging="360" w:left="6480"/>
      </w:pPr>
      <w:rPr>
        <w:rFonts w:ascii="Wingdings" w:hAnsi="Wingdings"/>
        <w:sz w:val="20"/>
      </w:rPr>
    </w:lvl>
  </w:abstractNum>
  <w:abstractNum w:abstractNumId="5">
    <w:lvl w:ilvl="0">
      <w:start w:val="1"/>
      <w:numFmt w:val="bullet"/>
      <w:lvlText w:val=""/>
      <w:lvlJc w:val="left"/>
      <w:pPr>
        <w:widowControl w:val="1"/>
        <w:tabs>
          <w:tab w:leader="none" w:pos="720" w:val="left"/>
        </w:tabs>
        <w:ind w:hanging="360" w:left="720"/>
      </w:pPr>
      <w:rPr>
        <w:rFonts w:ascii="Symbol" w:hAnsi="Symbol"/>
        <w:sz w:val="20"/>
      </w:rPr>
    </w:lvl>
    <w:lvl w:ilvl="1">
      <w:start w:val="1"/>
      <w:numFmt w:val="bullet"/>
      <w:lvlText w:val="o"/>
      <w:lvlJc w:val="left"/>
      <w:pPr>
        <w:widowControl w:val="1"/>
        <w:tabs>
          <w:tab w:leader="none" w:pos="1440" w:val="left"/>
        </w:tabs>
        <w:ind w:hanging="360" w:left="1440"/>
      </w:pPr>
      <w:rPr>
        <w:rFonts w:ascii="Courier New" w:hAnsi="Courier New"/>
        <w:sz w:val="20"/>
      </w:rPr>
    </w:lvl>
    <w:lvl w:ilvl="2">
      <w:start w:val="1"/>
      <w:numFmt w:val="bullet"/>
      <w:lvlText w:val=""/>
      <w:lvlJc w:val="left"/>
      <w:pPr>
        <w:widowControl w:val="1"/>
        <w:tabs>
          <w:tab w:leader="none" w:pos="2160" w:val="left"/>
        </w:tabs>
        <w:ind w:hanging="360" w:left="2160"/>
      </w:pPr>
      <w:rPr>
        <w:rFonts w:ascii="Wingdings" w:hAnsi="Wingdings"/>
        <w:sz w:val="20"/>
      </w:rPr>
    </w:lvl>
    <w:lvl w:ilvl="3">
      <w:start w:val="1"/>
      <w:numFmt w:val="bullet"/>
      <w:lvlText w:val=""/>
      <w:lvlJc w:val="left"/>
      <w:pPr>
        <w:widowControl w:val="1"/>
        <w:tabs>
          <w:tab w:leader="none" w:pos="2880" w:val="left"/>
        </w:tabs>
        <w:ind w:hanging="360" w:left="2880"/>
      </w:pPr>
      <w:rPr>
        <w:rFonts w:ascii="Wingdings" w:hAnsi="Wingdings"/>
        <w:sz w:val="20"/>
      </w:rPr>
    </w:lvl>
    <w:lvl w:ilvl="4">
      <w:start w:val="1"/>
      <w:numFmt w:val="bullet"/>
      <w:lvlText w:val=""/>
      <w:lvlJc w:val="left"/>
      <w:pPr>
        <w:widowControl w:val="1"/>
        <w:tabs>
          <w:tab w:leader="none" w:pos="3600" w:val="left"/>
        </w:tabs>
        <w:ind w:hanging="360" w:left="3600"/>
      </w:pPr>
      <w:rPr>
        <w:rFonts w:ascii="Wingdings" w:hAnsi="Wingdings"/>
        <w:sz w:val="20"/>
      </w:rPr>
    </w:lvl>
    <w:lvl w:ilvl="5">
      <w:start w:val="1"/>
      <w:numFmt w:val="bullet"/>
      <w:lvlText w:val=""/>
      <w:lvlJc w:val="left"/>
      <w:pPr>
        <w:widowControl w:val="1"/>
        <w:tabs>
          <w:tab w:leader="none" w:pos="4320" w:val="left"/>
        </w:tabs>
        <w:ind w:hanging="360" w:left="4320"/>
      </w:pPr>
      <w:rPr>
        <w:rFonts w:ascii="Wingdings" w:hAnsi="Wingdings"/>
        <w:sz w:val="20"/>
      </w:rPr>
    </w:lvl>
    <w:lvl w:ilvl="6">
      <w:start w:val="1"/>
      <w:numFmt w:val="bullet"/>
      <w:lvlText w:val=""/>
      <w:lvlJc w:val="left"/>
      <w:pPr>
        <w:widowControl w:val="1"/>
        <w:tabs>
          <w:tab w:leader="none" w:pos="5040" w:val="left"/>
        </w:tabs>
        <w:ind w:hanging="360" w:left="5040"/>
      </w:pPr>
      <w:rPr>
        <w:rFonts w:ascii="Wingdings" w:hAnsi="Wingdings"/>
        <w:sz w:val="20"/>
      </w:rPr>
    </w:lvl>
    <w:lvl w:ilvl="7">
      <w:start w:val="1"/>
      <w:numFmt w:val="bullet"/>
      <w:lvlText w:val=""/>
      <w:lvlJc w:val="left"/>
      <w:pPr>
        <w:widowControl w:val="1"/>
        <w:tabs>
          <w:tab w:leader="none" w:pos="5760" w:val="left"/>
        </w:tabs>
        <w:ind w:hanging="360" w:left="5760"/>
      </w:pPr>
      <w:rPr>
        <w:rFonts w:ascii="Wingdings" w:hAnsi="Wingdings"/>
        <w:sz w:val="20"/>
      </w:rPr>
    </w:lvl>
    <w:lvl w:ilvl="8">
      <w:start w:val="1"/>
      <w:numFmt w:val="bullet"/>
      <w:lvlText w:val=""/>
      <w:lvlJc w:val="left"/>
      <w:pPr>
        <w:widowControl w:val="1"/>
        <w:tabs>
          <w:tab w:leader="none" w:pos="6480" w:val="left"/>
        </w:tabs>
        <w:ind w:hanging="360" w:left="6480"/>
      </w:pPr>
      <w:rPr>
        <w:rFonts w:ascii="Wingdings" w:hAnsi="Wingdings"/>
        <w:sz w:val="20"/>
      </w:rPr>
    </w:lvl>
  </w:abstractNum>
  <w:abstractNum w:abstractNumId="6">
    <w:lvl w:ilvl="0">
      <w:start w:val="1"/>
      <w:numFmt w:val="bullet"/>
      <w:lvlText w:val=""/>
      <w:lvlJc w:val="left"/>
      <w:pPr>
        <w:widowControl w:val="1"/>
        <w:tabs>
          <w:tab w:leader="none" w:pos="720" w:val="left"/>
        </w:tabs>
        <w:ind w:hanging="360" w:left="720"/>
      </w:pPr>
      <w:rPr>
        <w:rFonts w:ascii="Symbol" w:hAnsi="Symbol"/>
        <w:sz w:val="20"/>
      </w:rPr>
    </w:lvl>
    <w:lvl w:ilvl="1">
      <w:start w:val="1"/>
      <w:numFmt w:val="bullet"/>
      <w:lvlText w:val="o"/>
      <w:lvlJc w:val="left"/>
      <w:pPr>
        <w:widowControl w:val="1"/>
        <w:tabs>
          <w:tab w:leader="none" w:pos="1440" w:val="left"/>
        </w:tabs>
        <w:ind w:hanging="360" w:left="1440"/>
      </w:pPr>
      <w:rPr>
        <w:rFonts w:ascii="Courier New" w:hAnsi="Courier New"/>
        <w:sz w:val="20"/>
      </w:rPr>
    </w:lvl>
    <w:lvl w:ilvl="2">
      <w:start w:val="1"/>
      <w:numFmt w:val="bullet"/>
      <w:lvlText w:val=""/>
      <w:lvlJc w:val="left"/>
      <w:pPr>
        <w:widowControl w:val="1"/>
        <w:tabs>
          <w:tab w:leader="none" w:pos="2160" w:val="left"/>
        </w:tabs>
        <w:ind w:hanging="360" w:left="2160"/>
      </w:pPr>
      <w:rPr>
        <w:rFonts w:ascii="Wingdings" w:hAnsi="Wingdings"/>
        <w:sz w:val="20"/>
      </w:rPr>
    </w:lvl>
    <w:lvl w:ilvl="3">
      <w:start w:val="1"/>
      <w:numFmt w:val="bullet"/>
      <w:lvlText w:val=""/>
      <w:lvlJc w:val="left"/>
      <w:pPr>
        <w:widowControl w:val="1"/>
        <w:tabs>
          <w:tab w:leader="none" w:pos="2880" w:val="left"/>
        </w:tabs>
        <w:ind w:hanging="360" w:left="2880"/>
      </w:pPr>
      <w:rPr>
        <w:rFonts w:ascii="Wingdings" w:hAnsi="Wingdings"/>
        <w:sz w:val="20"/>
      </w:rPr>
    </w:lvl>
    <w:lvl w:ilvl="4">
      <w:start w:val="1"/>
      <w:numFmt w:val="bullet"/>
      <w:lvlText w:val=""/>
      <w:lvlJc w:val="left"/>
      <w:pPr>
        <w:widowControl w:val="1"/>
        <w:tabs>
          <w:tab w:leader="none" w:pos="3600" w:val="left"/>
        </w:tabs>
        <w:ind w:hanging="360" w:left="3600"/>
      </w:pPr>
      <w:rPr>
        <w:rFonts w:ascii="Wingdings" w:hAnsi="Wingdings"/>
        <w:sz w:val="20"/>
      </w:rPr>
    </w:lvl>
    <w:lvl w:ilvl="5">
      <w:start w:val="1"/>
      <w:numFmt w:val="bullet"/>
      <w:lvlText w:val=""/>
      <w:lvlJc w:val="left"/>
      <w:pPr>
        <w:widowControl w:val="1"/>
        <w:tabs>
          <w:tab w:leader="none" w:pos="4320" w:val="left"/>
        </w:tabs>
        <w:ind w:hanging="360" w:left="4320"/>
      </w:pPr>
      <w:rPr>
        <w:rFonts w:ascii="Wingdings" w:hAnsi="Wingdings"/>
        <w:sz w:val="20"/>
      </w:rPr>
    </w:lvl>
    <w:lvl w:ilvl="6">
      <w:start w:val="1"/>
      <w:numFmt w:val="bullet"/>
      <w:lvlText w:val=""/>
      <w:lvlJc w:val="left"/>
      <w:pPr>
        <w:widowControl w:val="1"/>
        <w:tabs>
          <w:tab w:leader="none" w:pos="5040" w:val="left"/>
        </w:tabs>
        <w:ind w:hanging="360" w:left="5040"/>
      </w:pPr>
      <w:rPr>
        <w:rFonts w:ascii="Wingdings" w:hAnsi="Wingdings"/>
        <w:sz w:val="20"/>
      </w:rPr>
    </w:lvl>
    <w:lvl w:ilvl="7">
      <w:start w:val="1"/>
      <w:numFmt w:val="bullet"/>
      <w:lvlText w:val=""/>
      <w:lvlJc w:val="left"/>
      <w:pPr>
        <w:widowControl w:val="1"/>
        <w:tabs>
          <w:tab w:leader="none" w:pos="5760" w:val="left"/>
        </w:tabs>
        <w:ind w:hanging="360" w:left="5760"/>
      </w:pPr>
      <w:rPr>
        <w:rFonts w:ascii="Wingdings" w:hAnsi="Wingdings"/>
        <w:sz w:val="20"/>
      </w:rPr>
    </w:lvl>
    <w:lvl w:ilvl="8">
      <w:start w:val="1"/>
      <w:numFmt w:val="bullet"/>
      <w:lvlText w:val=""/>
      <w:lvlJc w:val="left"/>
      <w:pPr>
        <w:widowControl w:val="1"/>
        <w:tabs>
          <w:tab w:leader="none" w:pos="6480" w:val="left"/>
        </w:tabs>
        <w:ind w:hanging="360" w:left="6480"/>
      </w:pPr>
      <w:rPr>
        <w:rFonts w:ascii="Wingdings" w:hAnsi="Wingdings"/>
        <w:sz w:val="20"/>
      </w:rPr>
    </w:lvl>
  </w:abstractNum>
  <w:abstractNum w:abstractNumId="7">
    <w:lvl w:ilvl="0">
      <w:start w:val="1"/>
      <w:numFmt w:val="decimal"/>
      <w:pStyle w:val="Style_11"/>
      <w:lvlText w:val="%1."/>
      <w:lvlJc w:val="left"/>
      <w:pPr>
        <w:widowControl w:val="1"/>
        <w:tabs>
          <w:tab w:leader="none" w:pos="360" w:val="left"/>
        </w:tabs>
        <w:ind w:hanging="360" w:left="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5" w:type="paragraph">
    <w:name w:val="Normal"/>
    <w:link w:val="Style_15_ch"/>
    <w:uiPriority w:val="0"/>
    <w:qFormat/>
    <w:rPr>
      <w:sz w:val="24"/>
    </w:rPr>
  </w:style>
  <w:style w:default="1" w:styleId="Style_15_ch" w:type="character">
    <w:name w:val="Normal"/>
    <w:link w:val="Style_15"/>
    <w:rPr>
      <w:sz w:val="24"/>
    </w:rPr>
  </w:style>
  <w:style w:styleId="Style_16" w:type="paragraph">
    <w:name w:val="ConsNormal"/>
    <w:link w:val="Style_16_ch"/>
    <w:pPr>
      <w:widowControl w:val="0"/>
      <w:ind w:firstLine="720" w:right="19772"/>
    </w:pPr>
    <w:rPr>
      <w:rFonts w:ascii="Arial" w:hAnsi="Arial"/>
      <w:sz w:val="22"/>
    </w:rPr>
  </w:style>
  <w:style w:styleId="Style_16_ch" w:type="character">
    <w:name w:val="ConsNormal"/>
    <w:link w:val="Style_16"/>
    <w:rPr>
      <w:rFonts w:ascii="Arial" w:hAnsi="Arial"/>
      <w:sz w:val="22"/>
    </w:rPr>
  </w:style>
  <w:style w:styleId="Style_17" w:type="paragraph">
    <w:name w:val="toc 2"/>
    <w:next w:val="Style_15"/>
    <w:link w:val="Style_17_ch"/>
    <w:uiPriority w:val="39"/>
    <w:pPr>
      <w:ind w:firstLine="0" w:left="200"/>
      <w:jc w:val="left"/>
    </w:pPr>
    <w:rPr>
      <w:rFonts w:ascii="XO Thames" w:hAnsi="XO Thames"/>
      <w:sz w:val="28"/>
    </w:rPr>
  </w:style>
  <w:style w:styleId="Style_17_ch" w:type="character">
    <w:name w:val="toc 2"/>
    <w:link w:val="Style_17"/>
    <w:rPr>
      <w:rFonts w:ascii="XO Thames" w:hAnsi="XO Thames"/>
      <w:sz w:val="28"/>
    </w:rPr>
  </w:style>
  <w:style w:styleId="Style_18" w:type="paragraph">
    <w:name w:val="toc 4"/>
    <w:next w:val="Style_15"/>
    <w:link w:val="Style_18_ch"/>
    <w:uiPriority w:val="39"/>
    <w:pPr>
      <w:ind w:firstLine="0" w:left="600"/>
      <w:jc w:val="left"/>
    </w:pPr>
    <w:rPr>
      <w:rFonts w:ascii="XO Thames" w:hAnsi="XO Thames"/>
      <w:sz w:val="28"/>
    </w:rPr>
  </w:style>
  <w:style w:styleId="Style_18_ch" w:type="character">
    <w:name w:val="toc 4"/>
    <w:link w:val="Style_18"/>
    <w:rPr>
      <w:rFonts w:ascii="XO Thames" w:hAnsi="XO Thames"/>
      <w:sz w:val="28"/>
    </w:rPr>
  </w:style>
  <w:style w:styleId="Style_19" w:type="paragraph">
    <w:name w:val="toc 6"/>
    <w:next w:val="Style_15"/>
    <w:link w:val="Style_19_ch"/>
    <w:uiPriority w:val="39"/>
    <w:pPr>
      <w:ind w:firstLine="0" w:left="1000"/>
      <w:jc w:val="left"/>
    </w:pPr>
    <w:rPr>
      <w:rFonts w:ascii="XO Thames" w:hAnsi="XO Thames"/>
      <w:sz w:val="28"/>
    </w:rPr>
  </w:style>
  <w:style w:styleId="Style_19_ch" w:type="character">
    <w:name w:val="toc 6"/>
    <w:link w:val="Style_19"/>
    <w:rPr>
      <w:rFonts w:ascii="XO Thames" w:hAnsi="XO Thames"/>
      <w:sz w:val="28"/>
    </w:rPr>
  </w:style>
  <w:style w:styleId="Style_20" w:type="paragraph">
    <w:name w:val="toc 7"/>
    <w:next w:val="Style_15"/>
    <w:link w:val="Style_20_ch"/>
    <w:uiPriority w:val="39"/>
    <w:pPr>
      <w:ind w:firstLine="0" w:left="1200"/>
      <w:jc w:val="left"/>
    </w:pPr>
    <w:rPr>
      <w:rFonts w:ascii="XO Thames" w:hAnsi="XO Thames"/>
      <w:sz w:val="28"/>
    </w:rPr>
  </w:style>
  <w:style w:styleId="Style_20_ch" w:type="character">
    <w:name w:val="toc 7"/>
    <w:link w:val="Style_20"/>
    <w:rPr>
      <w:rFonts w:ascii="XO Thames" w:hAnsi="XO Thames"/>
      <w:sz w:val="28"/>
    </w:rPr>
  </w:style>
  <w:style w:styleId="Style_11" w:type="paragraph">
    <w:name w:val="List Number"/>
    <w:basedOn w:val="Style_15"/>
    <w:link w:val="Style_11_ch"/>
    <w:pPr>
      <w:widowControl w:val="1"/>
      <w:numPr>
        <w:ilvl w:val="0"/>
        <w:numId w:val="8"/>
      </w:numPr>
      <w:spacing w:after="200" w:line="276" w:lineRule="auto"/>
      <w:ind/>
      <w:contextualSpacing w:val="1"/>
    </w:pPr>
  </w:style>
  <w:style w:styleId="Style_11_ch" w:type="character">
    <w:name w:val="List Number"/>
    <w:basedOn w:val="Style_15_ch"/>
    <w:link w:val="Style_11"/>
  </w:style>
  <w:style w:styleId="Style_21" w:type="paragraph">
    <w:name w:val="footer"/>
    <w:basedOn w:val="Style_15"/>
    <w:link w:val="Style_21_ch"/>
    <w:pPr>
      <w:widowControl w:val="1"/>
      <w:tabs>
        <w:tab w:leader="none" w:pos="4677" w:val="center"/>
        <w:tab w:leader="none" w:pos="9355" w:val="right"/>
      </w:tabs>
      <w:ind/>
    </w:pPr>
  </w:style>
  <w:style w:styleId="Style_21_ch" w:type="character">
    <w:name w:val="footer"/>
    <w:basedOn w:val="Style_15_ch"/>
    <w:link w:val="Style_21"/>
  </w:style>
  <w:style w:styleId="Style_22" w:type="paragraph">
    <w:name w:val="Endnote"/>
    <w:link w:val="Style_22_ch"/>
    <w:pPr>
      <w:ind w:firstLine="851" w:left="0"/>
      <w:jc w:val="both"/>
    </w:pPr>
    <w:rPr>
      <w:rFonts w:ascii="XO Thames" w:hAnsi="XO Thames"/>
      <w:sz w:val="22"/>
    </w:rPr>
  </w:style>
  <w:style w:styleId="Style_22_ch" w:type="character">
    <w:name w:val="Endnote"/>
    <w:link w:val="Style_22"/>
    <w:rPr>
      <w:rFonts w:ascii="XO Thames" w:hAnsi="XO Thames"/>
      <w:sz w:val="22"/>
    </w:rPr>
  </w:style>
  <w:style w:styleId="Style_13" w:type="paragraph">
    <w:name w:val="heading 3"/>
    <w:basedOn w:val="Style_15"/>
    <w:next w:val="Style_15"/>
    <w:link w:val="Style_13_ch"/>
    <w:uiPriority w:val="9"/>
    <w:qFormat/>
    <w:pPr>
      <w:keepNext w:val="1"/>
      <w:widowControl w:val="1"/>
      <w:spacing w:after="60" w:before="240"/>
      <w:ind/>
      <w:outlineLvl w:val="2"/>
    </w:pPr>
    <w:rPr>
      <w:rFonts w:ascii="Cambria" w:hAnsi="Cambria"/>
      <w:b w:val="1"/>
      <w:sz w:val="26"/>
    </w:rPr>
  </w:style>
  <w:style w:styleId="Style_13_ch" w:type="character">
    <w:name w:val="heading 3"/>
    <w:basedOn w:val="Style_15_ch"/>
    <w:link w:val="Style_13"/>
    <w:rPr>
      <w:rFonts w:ascii="Cambria" w:hAnsi="Cambria"/>
      <w:b w:val="1"/>
      <w:sz w:val="26"/>
    </w:rPr>
  </w:style>
  <w:style w:styleId="Style_23" w:type="paragraph">
    <w:name w:val="Block Text"/>
    <w:basedOn w:val="Style_15"/>
    <w:link w:val="Style_23_ch"/>
    <w:pPr>
      <w:widowControl w:val="1"/>
      <w:ind w:left="-1080" w:right="-365"/>
    </w:pPr>
  </w:style>
  <w:style w:styleId="Style_23_ch" w:type="character">
    <w:name w:val="Block Text"/>
    <w:basedOn w:val="Style_15_ch"/>
    <w:link w:val="Style_23"/>
  </w:style>
  <w:style w:styleId="Style_24" w:type="paragraph">
    <w:name w:val="Body Text"/>
    <w:basedOn w:val="Style_15"/>
    <w:link w:val="Style_24_ch"/>
    <w:pPr>
      <w:widowControl w:val="1"/>
      <w:spacing w:line="360" w:lineRule="auto"/>
      <w:ind/>
      <w:jc w:val="both"/>
    </w:pPr>
    <w:rPr>
      <w:sz w:val="28"/>
    </w:rPr>
  </w:style>
  <w:style w:styleId="Style_24_ch" w:type="character">
    <w:name w:val="Body Text"/>
    <w:basedOn w:val="Style_15_ch"/>
    <w:link w:val="Style_24"/>
    <w:rPr>
      <w:sz w:val="28"/>
    </w:rPr>
  </w:style>
  <w:style w:styleId="Style_25" w:type="paragraph">
    <w:name w:val="No Spacing"/>
    <w:link w:val="Style_25_ch"/>
    <w:rPr>
      <w:sz w:val="24"/>
    </w:rPr>
  </w:style>
  <w:style w:styleId="Style_25_ch" w:type="character">
    <w:name w:val="No Spacing"/>
    <w:link w:val="Style_25"/>
    <w:rPr>
      <w:sz w:val="24"/>
    </w:rPr>
  </w:style>
  <w:style w:styleId="Style_2" w:type="paragraph">
    <w:name w:val="Heading"/>
    <w:link w:val="Style_2_ch"/>
    <w:rPr>
      <w:rFonts w:ascii="Arial" w:hAnsi="Arial"/>
      <w:b w:val="1"/>
      <w:sz w:val="22"/>
    </w:rPr>
  </w:style>
  <w:style w:styleId="Style_2_ch" w:type="character">
    <w:name w:val="Heading"/>
    <w:link w:val="Style_2"/>
    <w:rPr>
      <w:rFonts w:ascii="Arial" w:hAnsi="Arial"/>
      <w:b w:val="1"/>
      <w:sz w:val="22"/>
    </w:rPr>
  </w:style>
  <w:style w:styleId="Style_12" w:type="paragraph">
    <w:name w:val="Strong"/>
    <w:link w:val="Style_12_ch"/>
    <w:rPr>
      <w:b w:val="1"/>
    </w:rPr>
  </w:style>
  <w:style w:styleId="Style_12_ch" w:type="character">
    <w:name w:val="Strong"/>
    <w:link w:val="Style_12"/>
    <w:rPr>
      <w:b w:val="1"/>
    </w:rPr>
  </w:style>
  <w:style w:styleId="Style_26" w:type="paragraph">
    <w:name w:val="toc 3"/>
    <w:next w:val="Style_15"/>
    <w:link w:val="Style_26_ch"/>
    <w:uiPriority w:val="39"/>
    <w:pPr>
      <w:ind w:firstLine="0" w:left="400"/>
      <w:jc w:val="left"/>
    </w:pPr>
    <w:rPr>
      <w:rFonts w:ascii="XO Thames" w:hAnsi="XO Thames"/>
      <w:sz w:val="28"/>
    </w:rPr>
  </w:style>
  <w:style w:styleId="Style_26_ch" w:type="character">
    <w:name w:val="toc 3"/>
    <w:link w:val="Style_26"/>
    <w:rPr>
      <w:rFonts w:ascii="XO Thames" w:hAnsi="XO Thames"/>
      <w:sz w:val="28"/>
    </w:rPr>
  </w:style>
  <w:style w:styleId="Style_27" w:type="paragraph">
    <w:name w:val=" Знак Знак"/>
    <w:link w:val="Style_27_ch"/>
    <w:rPr>
      <w:sz w:val="24"/>
    </w:rPr>
  </w:style>
  <w:style w:styleId="Style_27_ch" w:type="character">
    <w:name w:val=" Знак Знак"/>
    <w:link w:val="Style_27"/>
    <w:rPr>
      <w:sz w:val="24"/>
    </w:rPr>
  </w:style>
  <w:style w:styleId="Style_28" w:type="paragraph">
    <w:name w:val=" Знак Знак1"/>
    <w:link w:val="Style_28_ch"/>
    <w:rPr>
      <w:rFonts w:ascii="Cambria" w:hAnsi="Cambria"/>
      <w:b w:val="1"/>
      <w:sz w:val="26"/>
    </w:rPr>
  </w:style>
  <w:style w:styleId="Style_28_ch" w:type="character">
    <w:name w:val=" Знак Знак1"/>
    <w:link w:val="Style_28"/>
    <w:rPr>
      <w:rFonts w:ascii="Cambria" w:hAnsi="Cambria"/>
      <w:b w:val="1"/>
      <w:sz w:val="26"/>
    </w:rPr>
  </w:style>
  <w:style w:styleId="Style_29" w:type="paragraph">
    <w:name w:val="heading 5"/>
    <w:basedOn w:val="Style_15"/>
    <w:next w:val="Style_15"/>
    <w:link w:val="Style_29_ch"/>
    <w:uiPriority w:val="9"/>
    <w:qFormat/>
    <w:pPr>
      <w:keepNext w:val="1"/>
      <w:widowControl w:val="1"/>
      <w:ind/>
      <w:jc w:val="both"/>
      <w:outlineLvl w:val="4"/>
    </w:pPr>
    <w:rPr>
      <w:b w:val="1"/>
      <w:color w:val="000000"/>
      <w:sz w:val="28"/>
    </w:rPr>
  </w:style>
  <w:style w:styleId="Style_29_ch" w:type="character">
    <w:name w:val="heading 5"/>
    <w:basedOn w:val="Style_15_ch"/>
    <w:link w:val="Style_29"/>
    <w:rPr>
      <w:b w:val="1"/>
      <w:color w:val="000000"/>
      <w:sz w:val="28"/>
    </w:rPr>
  </w:style>
  <w:style w:styleId="Style_8" w:type="paragraph">
    <w:name w:val="heading 1"/>
    <w:basedOn w:val="Style_15"/>
    <w:next w:val="Style_15"/>
    <w:link w:val="Style_8_ch"/>
    <w:uiPriority w:val="9"/>
    <w:qFormat/>
    <w:pPr>
      <w:keepNext w:val="1"/>
      <w:widowControl w:val="1"/>
      <w:ind w:right="-365"/>
      <w:jc w:val="center"/>
      <w:outlineLvl w:val="0"/>
    </w:pPr>
    <w:rPr>
      <w:b w:val="1"/>
    </w:rPr>
  </w:style>
  <w:style w:styleId="Style_8_ch" w:type="character">
    <w:name w:val="heading 1"/>
    <w:basedOn w:val="Style_15_ch"/>
    <w:link w:val="Style_8"/>
    <w:rPr>
      <w:b w:val="1"/>
    </w:rPr>
  </w:style>
  <w:style w:styleId="Style_30" w:type="paragraph">
    <w:name w:val="Hyperlink"/>
    <w:link w:val="Style_30_ch"/>
    <w:rPr>
      <w:color w:val="0000FF"/>
      <w:u w:val="single"/>
    </w:rPr>
  </w:style>
  <w:style w:styleId="Style_30_ch" w:type="character">
    <w:name w:val="Hyperlink"/>
    <w:link w:val="Style_30"/>
    <w:rPr>
      <w:color w:val="0000FF"/>
      <w:u w:val="single"/>
    </w:rPr>
  </w:style>
  <w:style w:styleId="Style_31" w:type="paragraph">
    <w:name w:val="Footnote"/>
    <w:basedOn w:val="Style_15"/>
    <w:link w:val="Style_31_ch"/>
    <w:rPr>
      <w:sz w:val="20"/>
    </w:rPr>
  </w:style>
  <w:style w:styleId="Style_31_ch" w:type="character">
    <w:name w:val="Footnote"/>
    <w:basedOn w:val="Style_15_ch"/>
    <w:link w:val="Style_31"/>
    <w:rPr>
      <w:sz w:val="20"/>
    </w:rPr>
  </w:style>
  <w:style w:styleId="Style_32" w:type="paragraph">
    <w:name w:val="toc 1"/>
    <w:next w:val="Style_15"/>
    <w:link w:val="Style_32_ch"/>
    <w:uiPriority w:val="39"/>
    <w:pPr>
      <w:ind w:firstLine="0" w:left="0"/>
      <w:jc w:val="left"/>
    </w:pPr>
    <w:rPr>
      <w:rFonts w:ascii="XO Thames" w:hAnsi="XO Thames"/>
      <w:b w:val="1"/>
      <w:sz w:val="28"/>
    </w:rPr>
  </w:style>
  <w:style w:styleId="Style_32_ch" w:type="character">
    <w:name w:val="toc 1"/>
    <w:link w:val="Style_32"/>
    <w:rPr>
      <w:rFonts w:ascii="XO Thames" w:hAnsi="XO Thames"/>
      <w:b w:val="1"/>
      <w:sz w:val="28"/>
    </w:rPr>
  </w:style>
  <w:style w:styleId="Style_33" w:type="paragraph">
    <w:name w:val="Balloon Text"/>
    <w:basedOn w:val="Style_15"/>
    <w:link w:val="Style_33_ch"/>
    <w:rPr>
      <w:rFonts w:ascii="Tahoma" w:hAnsi="Tahoma"/>
      <w:sz w:val="16"/>
    </w:rPr>
  </w:style>
  <w:style w:styleId="Style_33_ch" w:type="character">
    <w:name w:val="Balloon Text"/>
    <w:basedOn w:val="Style_15_ch"/>
    <w:link w:val="Style_33"/>
    <w:rPr>
      <w:rFonts w:ascii="Tahoma" w:hAnsi="Tahoma"/>
      <w:sz w:val="16"/>
    </w:rPr>
  </w:style>
  <w:style w:styleId="Style_6" w:type="paragraph">
    <w:name w:val="Body Text 2"/>
    <w:basedOn w:val="Style_15"/>
    <w:link w:val="Style_6_ch"/>
    <w:pPr>
      <w:widowControl w:val="1"/>
      <w:spacing w:after="120" w:line="480" w:lineRule="auto"/>
      <w:ind/>
    </w:pPr>
  </w:style>
  <w:style w:styleId="Style_6_ch" w:type="character">
    <w:name w:val="Body Text 2"/>
    <w:basedOn w:val="Style_15_ch"/>
    <w:link w:val="Style_6"/>
  </w:style>
  <w:style w:styleId="Style_34" w:type="paragraph">
    <w:name w:val="Header and Footer"/>
    <w:link w:val="Style_34_ch"/>
    <w:pPr>
      <w:spacing w:line="240" w:lineRule="auto"/>
      <w:ind/>
      <w:jc w:val="both"/>
    </w:pPr>
    <w:rPr>
      <w:rFonts w:ascii="XO Thames" w:hAnsi="XO Thames"/>
      <w:sz w:val="28"/>
    </w:rPr>
  </w:style>
  <w:style w:styleId="Style_34_ch" w:type="character">
    <w:name w:val="Header and Footer"/>
    <w:link w:val="Style_34"/>
    <w:rPr>
      <w:rFonts w:ascii="XO Thames" w:hAnsi="XO Thames"/>
      <w:sz w:val="28"/>
    </w:rPr>
  </w:style>
  <w:style w:styleId="Style_4" w:type="paragraph">
    <w:name w:val="Body Text Indent 2"/>
    <w:basedOn w:val="Style_15"/>
    <w:link w:val="Style_4_ch"/>
    <w:pPr>
      <w:widowControl w:val="1"/>
      <w:spacing w:after="120" w:line="480" w:lineRule="auto"/>
      <w:ind w:left="283"/>
    </w:pPr>
  </w:style>
  <w:style w:styleId="Style_4_ch" w:type="character">
    <w:name w:val="Body Text Indent 2"/>
    <w:basedOn w:val="Style_15_ch"/>
    <w:link w:val="Style_4"/>
  </w:style>
  <w:style w:styleId="Style_35" w:type="paragraph">
    <w:name w:val="toc 9"/>
    <w:next w:val="Style_15"/>
    <w:link w:val="Style_35_ch"/>
    <w:uiPriority w:val="39"/>
    <w:pPr>
      <w:ind w:firstLine="0" w:left="1600"/>
      <w:jc w:val="left"/>
    </w:pPr>
    <w:rPr>
      <w:rFonts w:ascii="XO Thames" w:hAnsi="XO Thames"/>
      <w:sz w:val="28"/>
    </w:rPr>
  </w:style>
  <w:style w:styleId="Style_35_ch" w:type="character">
    <w:name w:val="toc 9"/>
    <w:link w:val="Style_35"/>
    <w:rPr>
      <w:rFonts w:ascii="XO Thames" w:hAnsi="XO Thames"/>
      <w:sz w:val="28"/>
    </w:rPr>
  </w:style>
  <w:style w:styleId="Style_10" w:type="paragraph">
    <w:name w:val="List Paragraph"/>
    <w:basedOn w:val="Style_15"/>
    <w:link w:val="Style_10_ch"/>
    <w:pPr>
      <w:widowControl w:val="1"/>
      <w:ind w:left="720"/>
      <w:contextualSpacing w:val="1"/>
    </w:pPr>
  </w:style>
  <w:style w:styleId="Style_10_ch" w:type="character">
    <w:name w:val="List Paragraph"/>
    <w:basedOn w:val="Style_15_ch"/>
    <w:link w:val="Style_10"/>
  </w:style>
  <w:style w:styleId="Style_36" w:type="paragraph">
    <w:name w:val="toc 8"/>
    <w:next w:val="Style_15"/>
    <w:link w:val="Style_36_ch"/>
    <w:uiPriority w:val="39"/>
    <w:pPr>
      <w:ind w:firstLine="0" w:left="1400"/>
      <w:jc w:val="left"/>
    </w:pPr>
    <w:rPr>
      <w:rFonts w:ascii="XO Thames" w:hAnsi="XO Thames"/>
      <w:sz w:val="28"/>
    </w:rPr>
  </w:style>
  <w:style w:styleId="Style_36_ch" w:type="character">
    <w:name w:val="toc 8"/>
    <w:link w:val="Style_36"/>
    <w:rPr>
      <w:rFonts w:ascii="XO Thames" w:hAnsi="XO Thames"/>
      <w:sz w:val="28"/>
    </w:rPr>
  </w:style>
  <w:style w:styleId="Style_14" w:type="paragraph">
    <w:name w:val="Emphasis"/>
    <w:link w:val="Style_14_ch"/>
    <w:rPr>
      <w:i w:val="1"/>
    </w:rPr>
  </w:style>
  <w:style w:styleId="Style_14_ch" w:type="character">
    <w:name w:val="Emphasis"/>
    <w:link w:val="Style_14"/>
    <w:rPr>
      <w:i w:val="1"/>
    </w:rPr>
  </w:style>
  <w:style w:styleId="Style_37" w:type="paragraph">
    <w:name w:val="Body Text"/>
    <w:basedOn w:val="Style_15"/>
    <w:link w:val="Style_37_ch"/>
  </w:style>
  <w:style w:styleId="Style_37_ch" w:type="character">
    <w:name w:val="Body Text"/>
    <w:basedOn w:val="Style_15_ch"/>
    <w:link w:val="Style_37"/>
  </w:style>
  <w:style w:styleId="Style_3" w:type="paragraph">
    <w:name w:val="Body Text Indent"/>
    <w:basedOn w:val="Style_15"/>
    <w:link w:val="Style_3_ch"/>
    <w:pPr>
      <w:widowControl w:val="1"/>
      <w:spacing w:after="120"/>
      <w:ind w:left="283"/>
    </w:pPr>
  </w:style>
  <w:style w:styleId="Style_3_ch" w:type="character">
    <w:name w:val="Body Text Indent"/>
    <w:basedOn w:val="Style_15_ch"/>
    <w:link w:val="Style_3"/>
  </w:style>
  <w:style w:styleId="Style_38" w:type="paragraph">
    <w:name w:val="Default Paragraph Font"/>
    <w:link w:val="Style_38_ch"/>
  </w:style>
  <w:style w:styleId="Style_38_ch" w:type="character">
    <w:name w:val="Default Paragraph Font"/>
    <w:link w:val="Style_38"/>
  </w:style>
  <w:style w:styleId="Style_39" w:type="paragraph">
    <w:name w:val="toc 5"/>
    <w:next w:val="Style_15"/>
    <w:link w:val="Style_39_ch"/>
    <w:uiPriority w:val="39"/>
    <w:pPr>
      <w:ind w:firstLine="0" w:left="800"/>
      <w:jc w:val="left"/>
    </w:pPr>
    <w:rPr>
      <w:rFonts w:ascii="XO Thames" w:hAnsi="XO Thames"/>
      <w:sz w:val="28"/>
    </w:rPr>
  </w:style>
  <w:style w:styleId="Style_39_ch" w:type="character">
    <w:name w:val="toc 5"/>
    <w:link w:val="Style_39"/>
    <w:rPr>
      <w:rFonts w:ascii="XO Thames" w:hAnsi="XO Thames"/>
      <w:sz w:val="28"/>
    </w:rPr>
  </w:style>
  <w:style w:styleId="Style_40" w:type="paragraph">
    <w:name w:val="Основной текст (3)"/>
    <w:basedOn w:val="Style_15"/>
    <w:link w:val="Style_40_ch"/>
    <w:pPr>
      <w:widowControl w:val="1"/>
      <w:spacing w:after="240" w:before="240" w:line="331" w:lineRule="exact"/>
      <w:ind/>
      <w:jc w:val="center"/>
    </w:pPr>
    <w:rPr>
      <w:b w:val="1"/>
      <w:sz w:val="26"/>
    </w:rPr>
  </w:style>
  <w:style w:styleId="Style_40_ch" w:type="character">
    <w:name w:val="Основной текст (3)"/>
    <w:basedOn w:val="Style_15_ch"/>
    <w:link w:val="Style_40"/>
    <w:rPr>
      <w:b w:val="1"/>
      <w:sz w:val="26"/>
    </w:rPr>
  </w:style>
  <w:style w:styleId="Style_5" w:type="paragraph">
    <w:name w:val="ConsPlusNormal"/>
    <w:link w:val="Style_5_ch"/>
    <w:pPr>
      <w:widowControl w:val="1"/>
      <w:ind w:firstLine="720"/>
    </w:pPr>
    <w:rPr>
      <w:rFonts w:ascii="Arial" w:hAnsi="Arial"/>
    </w:rPr>
  </w:style>
  <w:style w:styleId="Style_5_ch" w:type="character">
    <w:name w:val="ConsPlusNormal"/>
    <w:link w:val="Style_5"/>
    <w:rPr>
      <w:rFonts w:ascii="Arial" w:hAnsi="Arial"/>
    </w:rPr>
  </w:style>
  <w:style w:styleId="Style_41" w:type="paragraph">
    <w:name w:val="ConsNonformat"/>
    <w:link w:val="Style_41_ch"/>
    <w:pPr>
      <w:widowControl w:val="0"/>
      <w:ind w:right="19772"/>
    </w:pPr>
    <w:rPr>
      <w:rFonts w:ascii="Courier New" w:hAnsi="Courier New"/>
    </w:rPr>
  </w:style>
  <w:style w:styleId="Style_41_ch" w:type="character">
    <w:name w:val="ConsNonformat"/>
    <w:link w:val="Style_41"/>
    <w:rPr>
      <w:rFonts w:ascii="Courier New" w:hAnsi="Courier New"/>
    </w:rPr>
  </w:style>
  <w:style w:styleId="Style_42" w:type="paragraph">
    <w:name w:val="Subtitle"/>
    <w:next w:val="Style_15"/>
    <w:link w:val="Style_42_ch"/>
    <w:uiPriority w:val="11"/>
    <w:qFormat/>
    <w:pPr>
      <w:ind/>
      <w:jc w:val="both"/>
    </w:pPr>
    <w:rPr>
      <w:rFonts w:ascii="XO Thames" w:hAnsi="XO Thames"/>
      <w:i w:val="1"/>
      <w:sz w:val="24"/>
    </w:rPr>
  </w:style>
  <w:style w:styleId="Style_42_ch" w:type="character">
    <w:name w:val="Subtitle"/>
    <w:link w:val="Style_42"/>
    <w:rPr>
      <w:rFonts w:ascii="XO Thames" w:hAnsi="XO Thames"/>
      <w:i w:val="1"/>
      <w:sz w:val="24"/>
    </w:rPr>
  </w:style>
  <w:style w:styleId="Style_43" w:type="paragraph">
    <w:name w:val="Body Text Indent 3"/>
    <w:basedOn w:val="Style_15"/>
    <w:link w:val="Style_43_ch"/>
    <w:pPr>
      <w:widowControl w:val="1"/>
      <w:spacing w:after="120"/>
      <w:ind w:left="283"/>
    </w:pPr>
    <w:rPr>
      <w:sz w:val="16"/>
    </w:rPr>
  </w:style>
  <w:style w:styleId="Style_43_ch" w:type="character">
    <w:name w:val="Body Text Indent 3"/>
    <w:basedOn w:val="Style_15_ch"/>
    <w:link w:val="Style_43"/>
    <w:rPr>
      <w:sz w:val="16"/>
    </w:rPr>
  </w:style>
  <w:style w:styleId="Style_44" w:type="paragraph">
    <w:name w:val="Title"/>
    <w:next w:val="Style_15"/>
    <w:link w:val="Style_44_ch"/>
    <w:uiPriority w:val="10"/>
    <w:qFormat/>
    <w:pPr>
      <w:spacing w:after="567" w:before="567"/>
      <w:ind/>
      <w:jc w:val="center"/>
    </w:pPr>
    <w:rPr>
      <w:rFonts w:ascii="XO Thames" w:hAnsi="XO Thames"/>
      <w:b w:val="1"/>
      <w:caps w:val="1"/>
      <w:sz w:val="40"/>
    </w:rPr>
  </w:style>
  <w:style w:styleId="Style_44_ch" w:type="character">
    <w:name w:val="Title"/>
    <w:link w:val="Style_44"/>
    <w:rPr>
      <w:rFonts w:ascii="XO Thames" w:hAnsi="XO Thames"/>
      <w:b w:val="1"/>
      <w:caps w:val="1"/>
      <w:sz w:val="40"/>
    </w:rPr>
  </w:style>
  <w:style w:styleId="Style_45" w:type="paragraph">
    <w:name w:val="heading 4"/>
    <w:basedOn w:val="Style_15"/>
    <w:next w:val="Style_15"/>
    <w:link w:val="Style_45_ch"/>
    <w:uiPriority w:val="9"/>
    <w:qFormat/>
    <w:pPr>
      <w:keepNext w:val="1"/>
      <w:widowControl w:val="1"/>
      <w:ind/>
      <w:jc w:val="both"/>
      <w:outlineLvl w:val="3"/>
    </w:pPr>
    <w:rPr>
      <w:b w:val="1"/>
      <w:color w:val="000000"/>
    </w:rPr>
  </w:style>
  <w:style w:styleId="Style_45_ch" w:type="character">
    <w:name w:val="heading 4"/>
    <w:basedOn w:val="Style_15_ch"/>
    <w:link w:val="Style_45"/>
    <w:rPr>
      <w:b w:val="1"/>
      <w:color w:val="000000"/>
    </w:rPr>
  </w:style>
  <w:style w:styleId="Style_1" w:type="paragraph">
    <w:name w:val="header"/>
    <w:basedOn w:val="Style_15"/>
    <w:link w:val="Style_1_ch"/>
    <w:pPr>
      <w:widowControl w:val="1"/>
      <w:tabs>
        <w:tab w:leader="none" w:pos="4677" w:val="center"/>
        <w:tab w:leader="none" w:pos="9355" w:val="right"/>
      </w:tabs>
      <w:ind/>
    </w:pPr>
  </w:style>
  <w:style w:styleId="Style_1_ch" w:type="character">
    <w:name w:val="header"/>
    <w:basedOn w:val="Style_15_ch"/>
    <w:link w:val="Style_1"/>
  </w:style>
  <w:style w:styleId="Style_46" w:type="paragraph">
    <w:name w:val="Body Text Indent"/>
    <w:basedOn w:val="Style_15"/>
    <w:link w:val="Style_46_ch"/>
    <w:pPr>
      <w:widowControl w:val="1"/>
      <w:spacing w:after="120"/>
      <w:ind w:left="283"/>
    </w:pPr>
  </w:style>
  <w:style w:styleId="Style_46_ch" w:type="character">
    <w:name w:val="Body Text Indent"/>
    <w:basedOn w:val="Style_15_ch"/>
    <w:link w:val="Style_46"/>
  </w:style>
  <w:style w:styleId="Style_47" w:type="paragraph">
    <w:name w:val="footnote reference"/>
    <w:link w:val="Style_47_ch"/>
    <w:rPr>
      <w:vertAlign w:val="superscript"/>
    </w:rPr>
  </w:style>
  <w:style w:styleId="Style_47_ch" w:type="character">
    <w:name w:val="footnote reference"/>
    <w:link w:val="Style_47"/>
    <w:rPr>
      <w:vertAlign w:val="superscript"/>
    </w:rPr>
  </w:style>
  <w:style w:styleId="Style_9" w:type="paragraph">
    <w:name w:val="heading 2"/>
    <w:basedOn w:val="Style_15"/>
    <w:next w:val="Style_15"/>
    <w:link w:val="Style_9_ch"/>
    <w:uiPriority w:val="9"/>
    <w:qFormat/>
    <w:pPr>
      <w:keepNext w:val="1"/>
      <w:widowControl w:val="1"/>
      <w:ind w:right="-365"/>
      <w:outlineLvl w:val="1"/>
    </w:pPr>
    <w:rPr>
      <w:b w:val="1"/>
    </w:rPr>
  </w:style>
  <w:style w:styleId="Style_9_ch" w:type="character">
    <w:name w:val="heading 2"/>
    <w:basedOn w:val="Style_15_ch"/>
    <w:link w:val="Style_9"/>
    <w:rPr>
      <w:b w:val="1"/>
    </w:rPr>
  </w:style>
  <w:style w:default="1" w:styleId="Style_7" w:type="table">
    <w:name w:val="Normal Table"/>
    <w:tblPr>
      <w:tblInd w:type="dxa" w:w="0"/>
      <w:tblCellMar>
        <w:top w:type="dxa" w:w="0"/>
        <w:left w:type="dxa" w:w="108"/>
        <w:bottom w:type="dxa" w:w="0"/>
        <w:right w:type="dxa" w:w="108"/>
      </w:tblCellMar>
    </w:tblPr>
  </w:style>
  <w:style w:styleId="Style_48" w:type="table">
    <w:name w:val="Table Grid"/>
    <w:basedOn w:val="Style_7"/>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13" Target="numbering.xml" Type="http://schemas.openxmlformats.org/officeDocument/2006/relationships/numbering"/>
  <Relationship Id="rId4" Target="header4.xml" Type="http://schemas.openxmlformats.org/officeDocument/2006/relationships/header"/>
  <Relationship Id="rId1" Target="header1.xml" Type="http://schemas.openxmlformats.org/officeDocument/2006/relationships/header"/>
  <Relationship Id="rId8" Target="settings.xml" Type="http://schemas.openxmlformats.org/officeDocument/2006/relationships/settings"/>
  <Relationship Id="rId12" Target="theme/theme1.xml" Type="http://schemas.openxmlformats.org/officeDocument/2006/relationships/theme"/>
  <Relationship Id="rId10" Target="stylesWithEffects.xml" Type="http://schemas.microsoft.com/office/2007/relationships/stylesWithEffects"/>
  <Relationship Id="rId7" Target="fontTable.xml" Type="http://schemas.openxmlformats.org/officeDocument/2006/relationships/fontTable"/>
  <Relationship Id="rId5" Target="header5.xml" Type="http://schemas.openxmlformats.org/officeDocument/2006/relationships/header"/>
  <Relationship Id="rId3" Target="header3.xml" Type="http://schemas.openxmlformats.org/officeDocument/2006/relationships/header"/>
  <Relationship Id="rId2" Target="header2.xml" Type="http://schemas.openxmlformats.org/officeDocument/2006/relationships/header"/>
  <Relationship Id="rId9" Target="styles.xml" Type="http://schemas.openxmlformats.org/officeDocument/2006/relationships/styles"/>
  <Relationship Id="rId6" Target="header6.xml" Type="http://schemas.openxmlformats.org/officeDocument/2006/relationships/header"/>
  <Relationship Id="rId11" Target="webSettings.xml" Type="http://schemas.openxmlformats.org/officeDocument/2006/relationships/webSettings"/>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MyOffice-CoreFramework-Windows/40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2026-05-13T12:38:01Z</dcterms:created>
  <dcterms:modified xsi:type="dcterms:W3CDTF">2026-05-13T12:47:53Z</dcterms:modified>
</cp:coreProperties>
</file>