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164/2026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7"/>
        <w:gridCol w:w="2689"/>
        <w:gridCol w:w="4097"/>
      </w:tblGrid>
      <w:tr>
        <w:trPr/>
        <w:tc>
          <w:tcPr>
            <w:tcW w:w="3137"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097"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Предметом настоящего Контракта является</w:t>
      </w:r>
      <w:r>
        <w:rPr>
          <w:rFonts w:eastAsia="Times New Roman" w:cs="Times New Roman"/>
          <w:b/>
          <w:sz w:val="20"/>
          <w:szCs w:val="20"/>
          <w:lang w:eastAsia="ru-RU"/>
        </w:rPr>
        <w:t xml:space="preserve"> поставка расходного материала (</w:t>
      </w:r>
      <w:r>
        <w:rPr>
          <w:rFonts w:eastAsia="Calibri" w:cs="Times New Roman"/>
          <w:b/>
          <w:color w:themeColor="text1" w:val="000000"/>
          <w:kern w:val="0"/>
          <w:sz w:val="18"/>
          <w:szCs w:val="18"/>
          <w:shd w:fill="FFFFFF" w:val="clear"/>
          <w:lang w:val="ru-RU" w:eastAsia="en-US" w:bidi="ar-SA"/>
        </w:rPr>
        <w:t>Множественные аналиты клинической химии ИВД, контрольный материал)</w:t>
      </w:r>
      <w:r>
        <w:rPr>
          <w:rFonts w:eastAsia="Times New Roman" w:cs="Times New Roman"/>
          <w:b/>
          <w:color w:val="auto"/>
          <w:kern w:val="0"/>
          <w:sz w:val="20"/>
          <w:szCs w:val="20"/>
          <w:lang w:val="ru-RU" w:eastAsia="ru-RU" w:bidi="ar-SA"/>
        </w:rPr>
        <w:t xml:space="preserve"> </w:t>
      </w:r>
      <w:r>
        <w:rPr>
          <w:b/>
          <w:bCs/>
          <w:sz w:val="20"/>
          <w:szCs w:val="20"/>
        </w:rPr>
        <w:t xml:space="preserve">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 xml:space="preserve">Идентификационный код закупки: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в т.ч. НДС % - ___/НДС не облагается на основании пункта 2 статьи ___ Налогового кодекса Российской Федерации</w:t>
      </w:r>
    </w:p>
    <w:p>
      <w:pPr>
        <w:pStyle w:val="Normal"/>
        <w:tabs>
          <w:tab w:val="clear" w:pos="708"/>
          <w:tab w:val="left" w:pos="1276" w:leader="none"/>
        </w:tabs>
        <w:ind w:firstLine="708"/>
        <w:jc w:val="both"/>
        <w:rPr>
          <w:sz w:val="20"/>
          <w:szCs w:val="20"/>
        </w:rPr>
      </w:pPr>
      <w:r>
        <w:rPr>
          <w:sz w:val="20"/>
          <w:szCs w:val="20"/>
        </w:rPr>
        <w:t>Внебюджетные средства,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 рублей ___ копеек.</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20"/>
                <w:szCs w:val="20"/>
              </w:rPr>
            </w:pPr>
            <w:r>
              <w:rPr>
                <w:b/>
                <w:bCs/>
                <w:color w:val="000000"/>
                <w:sz w:val="20"/>
                <w:szCs w:val="20"/>
                <w:u w:val="single"/>
              </w:rPr>
              <w:t>Банковские реквизиты</w:t>
            </w:r>
            <w:r>
              <w:rPr>
                <w:color w:val="000000"/>
                <w:sz w:val="20"/>
                <w:szCs w:val="20"/>
                <w:u w:val="single"/>
              </w:rPr>
              <w:t>:</w:t>
            </w:r>
          </w:p>
          <w:p>
            <w:pPr>
              <w:pStyle w:val="msonormalmrcssattr"/>
              <w:shd w:val="clear" w:color="auto" w:fill="FFFFFF"/>
              <w:spacing w:beforeAutospacing="0" w:before="0" w:afterAutospacing="0" w:after="0"/>
              <w:rPr>
                <w:color w:val="333333"/>
                <w:sz w:val="20"/>
                <w:szCs w:val="20"/>
              </w:rPr>
            </w:pPr>
            <w:r>
              <w:rPr>
                <w:b/>
                <w:bCs/>
                <w:color w:val="000000"/>
                <w:sz w:val="20"/>
                <w:szCs w:val="20"/>
              </w:rPr>
              <w:t>Получатель</w:t>
            </w:r>
            <w:r>
              <w:rPr>
                <w:color w:val="000000"/>
                <w:sz w:val="20"/>
                <w:szCs w:val="20"/>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20"/>
                <w:szCs w:val="20"/>
              </w:rPr>
            </w:pPr>
            <w:r>
              <w:rPr>
                <w:b/>
                <w:bCs/>
                <w:color w:val="000000"/>
                <w:sz w:val="20"/>
                <w:szCs w:val="20"/>
              </w:rPr>
              <w:t>ИНН</w:t>
            </w:r>
            <w:r>
              <w:rPr>
                <w:color w:val="000000"/>
                <w:sz w:val="20"/>
                <w:szCs w:val="20"/>
              </w:rPr>
              <w:t> 7804041070, </w:t>
            </w:r>
            <w:r>
              <w:rPr>
                <w:b/>
                <w:bCs/>
                <w:color w:val="000000"/>
                <w:sz w:val="20"/>
                <w:szCs w:val="20"/>
              </w:rPr>
              <w:t>КПП</w:t>
            </w:r>
            <w:r>
              <w:rPr>
                <w:color w:val="000000"/>
                <w:sz w:val="20"/>
                <w:szCs w:val="20"/>
              </w:rPr>
              <w:t> 780401001</w:t>
            </w:r>
          </w:p>
          <w:p>
            <w:pPr>
              <w:pStyle w:val="msonormalmrcssattr"/>
              <w:shd w:val="clear" w:color="auto" w:fill="FFFFFF"/>
              <w:spacing w:beforeAutospacing="0" w:before="0" w:afterAutospacing="0" w:after="0"/>
              <w:rPr>
                <w:color w:val="333333"/>
                <w:sz w:val="20"/>
                <w:szCs w:val="20"/>
              </w:rPr>
            </w:pPr>
            <w:r>
              <w:rPr>
                <w:b/>
                <w:bCs/>
                <w:color w:val="000000"/>
                <w:sz w:val="20"/>
                <w:szCs w:val="20"/>
              </w:rPr>
              <w:t>Банк получателя</w:t>
            </w:r>
            <w:r>
              <w:rPr>
                <w:color w:val="000000"/>
                <w:sz w:val="20"/>
                <w:szCs w:val="20"/>
              </w:rPr>
              <w:t>: ОКЦ  № 1Северо-Западное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20"/>
                <w:szCs w:val="20"/>
              </w:rPr>
            </w:pPr>
            <w:r>
              <w:rPr>
                <w:b/>
                <w:bCs/>
                <w:color w:val="000000"/>
                <w:sz w:val="20"/>
                <w:szCs w:val="20"/>
              </w:rPr>
              <w:t>БИК</w:t>
            </w:r>
            <w:r>
              <w:rPr>
                <w:color w:val="000000"/>
                <w:sz w:val="20"/>
                <w:szCs w:val="20"/>
              </w:rPr>
              <w:t>: 014030106</w:t>
            </w:r>
          </w:p>
          <w:p>
            <w:pPr>
              <w:pStyle w:val="msonormalmrcssattr"/>
              <w:shd w:val="clear" w:color="auto" w:fill="FFFFFF"/>
              <w:spacing w:beforeAutospacing="0" w:before="0" w:afterAutospacing="0" w:after="0"/>
              <w:rPr>
                <w:color w:val="333333"/>
                <w:sz w:val="20"/>
                <w:szCs w:val="20"/>
              </w:rPr>
            </w:pPr>
            <w:r>
              <w:rPr>
                <w:b/>
                <w:bCs/>
                <w:color w:val="000000"/>
                <w:sz w:val="20"/>
                <w:szCs w:val="20"/>
              </w:rPr>
              <w:t>Номер счета банка получателя</w:t>
            </w:r>
            <w:r>
              <w:rPr>
                <w:color w:val="000000"/>
                <w:sz w:val="20"/>
                <w:szCs w:val="20"/>
              </w:rPr>
              <w:t>: 40102810945370000005</w:t>
            </w:r>
          </w:p>
          <w:p>
            <w:pPr>
              <w:pStyle w:val="msonormalmrcssattr"/>
              <w:shd w:val="clear" w:color="auto" w:fill="FFFFFF"/>
              <w:spacing w:beforeAutospacing="0" w:before="0" w:afterAutospacing="0" w:after="0"/>
              <w:rPr>
                <w:color w:val="333333"/>
                <w:sz w:val="20"/>
                <w:szCs w:val="20"/>
              </w:rPr>
            </w:pPr>
            <w:r>
              <w:rPr>
                <w:b/>
                <w:bCs/>
                <w:color w:val="000000"/>
                <w:sz w:val="20"/>
                <w:szCs w:val="20"/>
              </w:rPr>
              <w:t>Номер счета получателя</w:t>
            </w:r>
            <w:r>
              <w:rPr>
                <w:color w:val="000000"/>
                <w:sz w:val="20"/>
                <w:szCs w:val="20"/>
              </w:rPr>
              <w:t>: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164/2026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300"/>
        <w:gridCol w:w="2637"/>
        <w:gridCol w:w="514"/>
        <w:gridCol w:w="899"/>
        <w:gridCol w:w="856"/>
        <w:gridCol w:w="1419"/>
        <w:gridCol w:w="1435"/>
        <w:gridCol w:w="828"/>
        <w:gridCol w:w="811"/>
        <w:gridCol w:w="919"/>
      </w:tblGrid>
      <w:tr>
        <w:trPr>
          <w:trHeight w:val="20" w:hRule="atLeast"/>
        </w:trPr>
        <w:tc>
          <w:tcPr>
            <w:tcW w:w="300"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3151" w:type="dxa"/>
            <w:gridSpan w:val="2"/>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89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856" w:type="dxa"/>
            <w:tcBorders>
              <w:right w:val="nil"/>
            </w:tcBorders>
            <w:vAlign w:val="center"/>
          </w:tcPr>
          <w:p>
            <w:pPr>
              <w:pStyle w:val="Normal"/>
              <w:widowControl/>
              <w:suppressAutoHyphens w:val="true"/>
              <w:spacing w:before="0" w:after="0"/>
              <w:jc w:val="center"/>
              <w:rPr>
                <w:b/>
                <w:sz w:val="18"/>
                <w:szCs w:val="20"/>
                <w:lang w:eastAsia="en-US"/>
              </w:rPr>
            </w:pPr>
            <w:r>
              <w:rPr>
                <w:b/>
                <w:sz w:val="18"/>
                <w:szCs w:val="20"/>
                <w:lang w:eastAsia="en-US"/>
              </w:rPr>
              <w:t>Кол-во</w:t>
            </w:r>
          </w:p>
        </w:tc>
        <w:tc>
          <w:tcPr>
            <w:tcW w:w="141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143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828"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81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91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300"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3151" w:type="dxa"/>
            <w:gridSpan w:val="2"/>
            <w:tcBorders/>
            <w:vAlign w:val="center"/>
          </w:tcPr>
          <w:p>
            <w:pPr>
              <w:pStyle w:val="Normal"/>
              <w:widowControl/>
              <w:spacing w:lineRule="auto" w:line="240" w:before="0" w:after="0"/>
              <w:jc w:val="center"/>
              <w:rPr>
                <w:rFonts w:ascii="Times New Roman" w:hAnsi="Times New Roman" w:cs="Times New Roman"/>
                <w:color w:themeColor="text1" w:val="000000"/>
                <w:sz w:val="18"/>
                <w:szCs w:val="18"/>
                <w:shd w:fill="FFFFFF" w:val="clear"/>
              </w:rPr>
            </w:pPr>
            <w:r>
              <w:rPr>
                <w:rFonts w:eastAsia="Calibri" w:cs="Times New Roman"/>
                <w:color w:themeColor="text1" w:val="000000"/>
                <w:kern w:val="0"/>
                <w:sz w:val="18"/>
                <w:szCs w:val="18"/>
                <w:shd w:fill="FFFFFF" w:val="clear"/>
                <w:lang w:val="ru-RU" w:eastAsia="en-US" w:bidi="ar-SA"/>
              </w:rPr>
              <w:t>Множественные аналиты клинической химии ИВД, контрольный материал</w:t>
            </w:r>
          </w:p>
        </w:tc>
        <w:tc>
          <w:tcPr>
            <w:tcW w:w="899"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набор</w:t>
            </w:r>
          </w:p>
        </w:tc>
        <w:tc>
          <w:tcPr>
            <w:tcW w:w="856" w:type="dxa"/>
            <w:tcBorders>
              <w:right w:val="nil"/>
            </w:tcBorders>
            <w:vAlign w:val="center"/>
          </w:tcPr>
          <w:p>
            <w:pPr>
              <w:pStyle w:val="Normal"/>
              <w:widowControl/>
              <w:suppressAutoHyphens w:val="true"/>
              <w:spacing w:before="0" w:after="0"/>
              <w:jc w:val="center"/>
              <w:rPr>
                <w:sz w:val="20"/>
                <w:szCs w:val="20"/>
                <w:lang w:eastAsia="en-US"/>
              </w:rPr>
            </w:pPr>
            <w:r>
              <w:rPr>
                <w:sz w:val="20"/>
                <w:szCs w:val="20"/>
                <w:lang w:eastAsia="en-US"/>
              </w:rPr>
              <w:t>1</w:t>
            </w:r>
          </w:p>
        </w:tc>
        <w:tc>
          <w:tcPr>
            <w:tcW w:w="141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43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28"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11"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919"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2937" w:type="dxa"/>
            <w:gridSpan w:val="2"/>
            <w:tcBorders>
              <w:right w:val="nil"/>
            </w:tcBorders>
          </w:tcPr>
          <w:p>
            <w:pPr>
              <w:pStyle w:val="Normal"/>
              <w:widowControl/>
              <w:suppressAutoHyphens w:val="true"/>
              <w:spacing w:before="0" w:after="0"/>
              <w:jc w:val="right"/>
              <w:rPr>
                <w:b/>
                <w:sz w:val="20"/>
                <w:szCs w:val="20"/>
                <w:lang w:eastAsia="en-US"/>
              </w:rPr>
            </w:pPr>
            <w:r>
              <w:rPr>
                <w:b/>
                <w:sz w:val="20"/>
                <w:szCs w:val="20"/>
                <w:lang w:eastAsia="en-US"/>
              </w:rPr>
            </w:r>
          </w:p>
        </w:tc>
        <w:tc>
          <w:tcPr>
            <w:tcW w:w="6762" w:type="dxa"/>
            <w:gridSpan w:val="7"/>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919"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 (_________) рублей ___ копеек,  в т.ч. НДС % - ___/НДС не облагается на основании пункта 2 статьи ___ Налогового кодекса Российской Федерации</w:t>
      </w:r>
    </w:p>
    <w:p>
      <w:pPr>
        <w:pStyle w:val="Normal"/>
        <w:tabs>
          <w:tab w:val="clear" w:pos="708"/>
          <w:tab w:val="left" w:pos="1701" w:leader="none"/>
        </w:tabs>
        <w:ind w:firstLine="708"/>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xml:space="preserve">№ 164/2026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rPr/>
      </w:pPr>
      <w:r>
        <w:rPr/>
      </w:r>
    </w:p>
    <w:p>
      <w:pPr>
        <w:pStyle w:val="Normal"/>
        <w:rPr>
          <w:sz w:val="20"/>
          <w:szCs w:val="20"/>
        </w:rPr>
      </w:pPr>
      <w:r>
        <w:rPr>
          <w:sz w:val="20"/>
          <w:szCs w:val="20"/>
        </w:rPr>
      </w:r>
    </w:p>
    <w:tbl>
      <w:tblPr>
        <w:tblStyle w:val="a3"/>
        <w:tblW w:w="15810" w:type="dxa"/>
        <w:jc w:val="left"/>
        <w:tblInd w:w="-63" w:type="dxa"/>
        <w:tblLayout w:type="fixed"/>
        <w:tblCellMar>
          <w:top w:w="0" w:type="dxa"/>
          <w:left w:w="108" w:type="dxa"/>
          <w:bottom w:w="0" w:type="dxa"/>
          <w:right w:w="108" w:type="dxa"/>
        </w:tblCellMar>
        <w:tblLook w:val="04a0" w:noHBand="0" w:noVBand="1" w:firstColumn="1" w:lastRow="0" w:lastColumn="0" w:firstRow="1"/>
      </w:tblPr>
      <w:tblGrid>
        <w:gridCol w:w="461"/>
        <w:gridCol w:w="2109"/>
        <w:gridCol w:w="672"/>
        <w:gridCol w:w="669"/>
        <w:gridCol w:w="1344"/>
        <w:gridCol w:w="3309"/>
        <w:gridCol w:w="1530"/>
        <w:gridCol w:w="1246"/>
        <w:gridCol w:w="2160"/>
        <w:gridCol w:w="2308"/>
      </w:tblGrid>
      <w:tr>
        <w:trPr>
          <w:trHeight w:val="1134" w:hRule="atLeast"/>
          <w:cantSplit w:val="true"/>
        </w:trPr>
        <w:tc>
          <w:tcPr>
            <w:tcW w:w="461"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6"/>
                <w:szCs w:val="16"/>
              </w:rPr>
            </w:pPr>
            <w:r>
              <w:rPr>
                <w:rFonts w:eastAsia="Calibri" w:cs="Times New Roman"/>
                <w:b/>
                <w:bCs/>
                <w:kern w:val="0"/>
                <w:sz w:val="16"/>
                <w:szCs w:val="16"/>
                <w:lang w:val="ru-RU" w:eastAsia="ru-RU" w:bidi="ar-SA"/>
              </w:rPr>
              <w:t>№</w:t>
            </w:r>
          </w:p>
          <w:p>
            <w:pPr>
              <w:pStyle w:val="Normal"/>
              <w:widowControl/>
              <w:spacing w:lineRule="auto" w:line="240" w:before="0" w:after="0"/>
              <w:jc w:val="left"/>
              <w:rPr>
                <w:rFonts w:ascii="Times New Roman" w:hAnsi="Times New Roman" w:cs="Times New Roman"/>
                <w:sz w:val="16"/>
                <w:szCs w:val="16"/>
              </w:rPr>
            </w:pPr>
            <w:r>
              <w:rPr>
                <w:rFonts w:eastAsia="Calibri" w:cs="Times New Roman"/>
                <w:b/>
                <w:bCs/>
                <w:kern w:val="0"/>
                <w:sz w:val="16"/>
                <w:szCs w:val="16"/>
                <w:lang w:val="ru-RU" w:eastAsia="ru-RU" w:bidi="ar-SA"/>
              </w:rPr>
              <w:t>п/п</w:t>
            </w:r>
          </w:p>
        </w:tc>
        <w:tc>
          <w:tcPr>
            <w:tcW w:w="2109"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6"/>
                <w:szCs w:val="16"/>
              </w:rPr>
            </w:pPr>
            <w:r>
              <w:rPr>
                <w:rFonts w:eastAsia="Calibri" w:cs="Times New Roman"/>
                <w:b/>
                <w:bCs/>
                <w:kern w:val="0"/>
                <w:sz w:val="16"/>
                <w:szCs w:val="16"/>
                <w:lang w:val="ru-RU" w:eastAsia="ru-RU" w:bidi="ar-SA"/>
              </w:rPr>
              <w:t>Наименование товара, количество, код ОКПД 2, код позиции каталога товаров, работ, услуг (при наличии)</w:t>
            </w:r>
          </w:p>
        </w:tc>
        <w:tc>
          <w:tcPr>
            <w:tcW w:w="672" w:type="dxa"/>
            <w:tcBorders>
              <w:top w:val="single" w:sz="2" w:space="0" w:color="000000"/>
              <w:left w:val="single" w:sz="2" w:space="0" w:color="000000"/>
              <w:bottom w:val="single" w:sz="2" w:space="0" w:color="000000"/>
            </w:tcBorders>
            <w:textDirection w:val="btLr"/>
          </w:tcPr>
          <w:p>
            <w:pPr>
              <w:pStyle w:val="Normal"/>
              <w:widowControl/>
              <w:spacing w:lineRule="auto" w:line="240" w:before="0" w:after="0"/>
              <w:ind w:left="113" w:right="113"/>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Единица измерения</w:t>
            </w:r>
          </w:p>
          <w:p>
            <w:pPr>
              <w:pStyle w:val="Normal"/>
              <w:widowControl/>
              <w:spacing w:lineRule="auto" w:line="240" w:before="0" w:after="0"/>
              <w:ind w:left="113" w:right="113"/>
              <w:jc w:val="center"/>
              <w:rPr>
                <w:rFonts w:ascii="Times New Roman" w:hAnsi="Times New Roman" w:cs="Times New Roman"/>
                <w:b/>
                <w:bCs/>
                <w:sz w:val="16"/>
                <w:szCs w:val="16"/>
                <w:lang w:eastAsia="ru-RU"/>
              </w:rPr>
            </w:pPr>
            <w:r>
              <w:rPr>
                <w:rFonts w:cs="Times New Roman"/>
                <w:b/>
                <w:bCs/>
                <w:sz w:val="16"/>
                <w:szCs w:val="16"/>
                <w:lang w:eastAsia="ru-RU"/>
              </w:rPr>
            </w:r>
          </w:p>
        </w:tc>
        <w:tc>
          <w:tcPr>
            <w:tcW w:w="669"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Кол-во</w:t>
            </w:r>
          </w:p>
        </w:tc>
        <w:tc>
          <w:tcPr>
            <w:tcW w:w="1344"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Тип характеристики</w:t>
            </w:r>
          </w:p>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(количественная/</w:t>
            </w:r>
          </w:p>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качественная)</w:t>
            </w:r>
          </w:p>
        </w:tc>
        <w:tc>
          <w:tcPr>
            <w:tcW w:w="3309"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6"/>
                <w:szCs w:val="16"/>
              </w:rPr>
            </w:pPr>
            <w:r>
              <w:rPr>
                <w:rFonts w:eastAsia="Calibri" w:cs="Times New Roman"/>
                <w:b/>
                <w:bCs/>
                <w:kern w:val="0"/>
                <w:sz w:val="16"/>
                <w:szCs w:val="16"/>
                <w:lang w:val="ru-RU" w:eastAsia="ru-RU" w:bidi="ar-SA"/>
              </w:rPr>
              <w:t>Функциональные, технические, качественные, эксплуатационные характеристики товара (единицы измерения</w:t>
            </w:r>
            <w:r>
              <w:rPr>
                <w:rFonts w:eastAsia="Calibri" w:cs="Times New Roman"/>
                <w:b/>
                <w:bCs/>
                <w:strike/>
                <w:kern w:val="0"/>
                <w:sz w:val="16"/>
                <w:szCs w:val="16"/>
                <w:lang w:val="ru-RU" w:eastAsia="ru-RU" w:bidi="ar-SA"/>
              </w:rPr>
              <w:t>)</w:t>
              <w:br/>
            </w:r>
            <w:r>
              <w:rPr>
                <w:rFonts w:eastAsia="Calibri" w:cs="Times New Roman"/>
                <w:b/>
                <w:bCs/>
                <w:kern w:val="0"/>
                <w:sz w:val="16"/>
                <w:szCs w:val="16"/>
                <w:lang w:val="ru-RU" w:eastAsia="ru-RU" w:bidi="ar-SA"/>
              </w:rPr>
              <w:t>&lt;*&gt;</w:t>
            </w:r>
          </w:p>
        </w:tc>
        <w:tc>
          <w:tcPr>
            <w:tcW w:w="1530"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6"/>
                <w:szCs w:val="16"/>
              </w:rPr>
            </w:pPr>
            <w:r>
              <w:rPr>
                <w:rFonts w:eastAsia="Calibri" w:cs="Times New Roman"/>
                <w:b/>
                <w:bCs/>
                <w:kern w:val="0"/>
                <w:sz w:val="16"/>
                <w:szCs w:val="16"/>
                <w:lang w:val="ru-RU" w:eastAsia="ru-RU" w:bidi="ar-SA"/>
              </w:rPr>
              <w:t>Значения характеристик товара, которые не подлежат изменению участником закупки, или минимальные и (или) максимальные значения характеристик товара</w:t>
              <w:br/>
              <w:t>&lt;**&gt;</w:t>
            </w:r>
          </w:p>
        </w:tc>
        <w:tc>
          <w:tcPr>
            <w:tcW w:w="1246"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Единица измерения значения</w:t>
            </w:r>
          </w:p>
        </w:tc>
        <w:tc>
          <w:tcPr>
            <w:tcW w:w="2160" w:type="dxa"/>
            <w:tcBorders>
              <w:top w:val="single" w:sz="2" w:space="0" w:color="000000"/>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Обоснование дополнительных характеристик</w:t>
            </w:r>
          </w:p>
          <w:p>
            <w:pPr>
              <w:pStyle w:val="Normal"/>
              <w:widowControl/>
              <w:spacing w:lineRule="auto" w:line="240" w:before="0" w:after="0"/>
              <w:jc w:val="center"/>
              <w:rPr>
                <w:rFonts w:ascii="Times New Roman" w:hAnsi="Times New Roman" w:cs="Times New Roman"/>
                <w:b/>
                <w:bCs/>
                <w:sz w:val="16"/>
                <w:szCs w:val="16"/>
                <w:lang w:eastAsia="ru-RU"/>
              </w:rPr>
            </w:pPr>
            <w:r>
              <w:rPr>
                <w:rFonts w:eastAsia="Calibri" w:cs="Times New Roman"/>
                <w:b/>
                <w:bCs/>
                <w:kern w:val="0"/>
                <w:sz w:val="16"/>
                <w:szCs w:val="16"/>
                <w:lang w:val="ru-RU" w:eastAsia="ru-RU" w:bidi="ar-SA"/>
              </w:rPr>
              <w:t>*Указывается в случае использования дополнительных характеристик при закупке товаров имеющихся в КТРУ.</w:t>
            </w:r>
          </w:p>
        </w:tc>
        <w:tc>
          <w:tcPr>
            <w:tcW w:w="2308" w:type="dxa"/>
            <w:tcBorders>
              <w:top w:val="single" w:sz="2" w:space="0" w:color="000000"/>
              <w:left w:val="single" w:sz="2" w:space="0" w:color="000000"/>
              <w:bottom w:val="single" w:sz="2" w:space="0" w:color="000000"/>
              <w:right w:val="single" w:sz="2" w:space="0" w:color="000000"/>
            </w:tcBorders>
          </w:tcPr>
          <w:p>
            <w:pPr>
              <w:pStyle w:val="Normal"/>
              <w:widowControl/>
              <w:spacing w:lineRule="auto" w:line="240" w:before="0" w:after="0"/>
              <w:jc w:val="center"/>
              <w:rPr>
                <w:rFonts w:ascii="Times New Roman" w:hAnsi="Times New Roman" w:cs="Times New Roman"/>
                <w:sz w:val="16"/>
                <w:szCs w:val="16"/>
              </w:rPr>
            </w:pPr>
            <w:r>
              <w:rPr>
                <w:rFonts w:eastAsia="Calibri" w:cs="Times New Roman"/>
                <w:b/>
                <w:bCs/>
                <w:kern w:val="0"/>
                <w:sz w:val="16"/>
                <w:szCs w:val="16"/>
                <w:lang w:val="ru-RU" w:eastAsia="ru-RU" w:bidi="ar-SA"/>
              </w:rPr>
              <w:t xml:space="preserve">Инструкция заказчика по указанию значений характеристик товара участником закупки </w:t>
              <w:br/>
              <w:t>&lt;***&gt;</w:t>
            </w:r>
          </w:p>
        </w:tc>
      </w:tr>
      <w:tr>
        <w:trPr/>
        <w:tc>
          <w:tcPr>
            <w:tcW w:w="461"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1</w:t>
            </w:r>
          </w:p>
        </w:tc>
        <w:tc>
          <w:tcPr>
            <w:tcW w:w="210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2</w:t>
            </w:r>
          </w:p>
        </w:tc>
        <w:tc>
          <w:tcPr>
            <w:tcW w:w="672"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3</w:t>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cs="Times New Roman"/>
                <w:sz w:val="12"/>
                <w:szCs w:val="12"/>
              </w:rPr>
            </w:r>
          </w:p>
        </w:tc>
        <w:tc>
          <w:tcPr>
            <w:tcW w:w="1344"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4</w:t>
            </w:r>
          </w:p>
        </w:tc>
        <w:tc>
          <w:tcPr>
            <w:tcW w:w="330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5</w:t>
            </w:r>
          </w:p>
        </w:tc>
        <w:tc>
          <w:tcPr>
            <w:tcW w:w="1530"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6</w:t>
            </w:r>
          </w:p>
        </w:tc>
        <w:tc>
          <w:tcPr>
            <w:tcW w:w="1246"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7</w:t>
            </w:r>
          </w:p>
        </w:tc>
        <w:tc>
          <w:tcPr>
            <w:tcW w:w="2160"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8</w:t>
            </w:r>
          </w:p>
        </w:tc>
        <w:tc>
          <w:tcPr>
            <w:tcW w:w="2308" w:type="dxa"/>
            <w:tcBorders>
              <w:left w:val="single" w:sz="2" w:space="0" w:color="000000"/>
              <w:bottom w:val="single" w:sz="2" w:space="0" w:color="000000"/>
              <w:right w:val="single" w:sz="2" w:space="0" w:color="000000"/>
            </w:tcBorders>
          </w:tcPr>
          <w:p>
            <w:pPr>
              <w:pStyle w:val="Normal"/>
              <w:widowControl/>
              <w:spacing w:lineRule="auto" w:line="240" w:before="0" w:after="0"/>
              <w:jc w:val="center"/>
              <w:rPr>
                <w:rFonts w:ascii="Times New Roman" w:hAnsi="Times New Roman" w:cs="Times New Roman"/>
                <w:sz w:val="12"/>
                <w:szCs w:val="12"/>
              </w:rPr>
            </w:pPr>
            <w:r>
              <w:rPr>
                <w:rFonts w:eastAsia="Calibri" w:cs="Times New Roman"/>
                <w:kern w:val="0"/>
                <w:sz w:val="12"/>
                <w:szCs w:val="12"/>
                <w:lang w:val="ru-RU" w:eastAsia="en-US" w:bidi="ar-SA"/>
              </w:rPr>
              <w:t>9</w:t>
            </w:r>
          </w:p>
        </w:tc>
      </w:tr>
      <w:tr>
        <w:trPr/>
        <w:tc>
          <w:tcPr>
            <w:tcW w:w="461" w:type="dxa"/>
            <w:vMerge w:val="restart"/>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eastAsia="Calibri" w:cs="Times New Roman"/>
                <w:kern w:val="0"/>
                <w:sz w:val="18"/>
                <w:szCs w:val="18"/>
                <w:lang w:val="ru-RU" w:eastAsia="en-US" w:bidi="ar-SA"/>
              </w:rPr>
              <w:t>1</w:t>
            </w:r>
          </w:p>
        </w:tc>
        <w:tc>
          <w:tcPr>
            <w:tcW w:w="2109" w:type="dxa"/>
            <w:vMerge w:val="restart"/>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shd w:fill="FFFFFF" w:val="clear"/>
              </w:rPr>
            </w:pPr>
            <w:r>
              <w:rPr>
                <w:rFonts w:cs="Times New Roman"/>
                <w:color w:themeColor="text1" w:val="000000"/>
                <w:sz w:val="18"/>
                <w:szCs w:val="18"/>
                <w:shd w:fill="FFFFFF" w:val="clear"/>
              </w:rPr>
            </w:r>
          </w:p>
          <w:p>
            <w:pPr>
              <w:pStyle w:val="Normal"/>
              <w:widowControl/>
              <w:spacing w:lineRule="auto" w:line="240" w:before="0" w:after="0"/>
              <w:jc w:val="center"/>
              <w:rPr>
                <w:rFonts w:ascii="Times New Roman" w:hAnsi="Times New Roman" w:cs="Times New Roman"/>
                <w:color w:themeColor="text1" w:val="000000"/>
                <w:sz w:val="18"/>
                <w:szCs w:val="18"/>
                <w:shd w:fill="FFFFFF" w:val="clear"/>
              </w:rPr>
            </w:pPr>
            <w:r>
              <w:rPr>
                <w:rFonts w:eastAsia="Calibri" w:cs="Times New Roman"/>
                <w:color w:themeColor="text1" w:val="000000"/>
                <w:kern w:val="0"/>
                <w:sz w:val="18"/>
                <w:szCs w:val="18"/>
                <w:shd w:fill="FFFFFF" w:val="clear"/>
                <w:lang w:val="ru-RU" w:eastAsia="en-US" w:bidi="ar-SA"/>
              </w:rPr>
              <w:t>Множественные аналиты клинической химии ИВД, контрольный материал</w:t>
            </w:r>
          </w:p>
          <w:p>
            <w:pPr>
              <w:pStyle w:val="Normal"/>
              <w:widowControl/>
              <w:spacing w:lineRule="auto" w:line="240" w:before="0" w:after="0"/>
              <w:jc w:val="center"/>
              <w:rPr>
                <w:rFonts w:ascii="Times New Roman" w:hAnsi="Times New Roman" w:cs="Times New Roman"/>
                <w:sz w:val="18"/>
                <w:szCs w:val="18"/>
              </w:rPr>
            </w:pPr>
            <w:r>
              <w:rPr>
                <w:rFonts w:eastAsia="Calibri" w:cs="Times New Roman"/>
                <w:color w:themeColor="text1" w:val="000000"/>
                <w:kern w:val="0"/>
                <w:sz w:val="18"/>
                <w:szCs w:val="18"/>
                <w:shd w:fill="FFFFFF" w:val="clear"/>
                <w:lang w:val="ru-RU" w:eastAsia="en-US" w:bidi="ar-SA"/>
              </w:rPr>
              <w:t xml:space="preserve">КТРУ: </w:t>
            </w:r>
            <w:r>
              <w:rPr>
                <w:rFonts w:eastAsia="Calibri" w:cs="Times New Roman"/>
                <w:color w:themeColor="text1" w:val="000000"/>
                <w:kern w:val="0"/>
                <w:sz w:val="18"/>
                <w:szCs w:val="18"/>
                <w:lang w:val="ru-RU" w:eastAsia="en-US" w:bidi="ar-SA"/>
              </w:rPr>
              <w:t>21.20.23.110-00010158</w:t>
            </w:r>
          </w:p>
        </w:tc>
        <w:tc>
          <w:tcPr>
            <w:tcW w:w="672" w:type="dxa"/>
            <w:vMerge w:val="restart"/>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eastAsia="Calibri" w:cs="Times New Roman"/>
                <w:bCs/>
                <w:color w:themeColor="text1" w:val="000000"/>
                <w:kern w:val="0"/>
                <w:sz w:val="18"/>
                <w:szCs w:val="18"/>
                <w:lang w:val="ru-RU" w:eastAsia="ru-RU" w:bidi="ar-SA"/>
              </w:rPr>
              <w:t>Набор</w:t>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eastAsia="Calibri" w:cs="Times New Roman"/>
                <w:kern w:val="0"/>
                <w:sz w:val="18"/>
                <w:szCs w:val="18"/>
                <w:lang w:val="ru-RU" w:eastAsia="en-US" w:bidi="ar-SA"/>
              </w:rPr>
              <w:t>1</w:t>
            </w:r>
            <w:bookmarkStart w:id="0" w:name="_GoBack"/>
            <w:bookmarkEnd w:id="0"/>
          </w:p>
        </w:tc>
        <w:tc>
          <w:tcPr>
            <w:tcW w:w="1344"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10553" w:type="dxa"/>
            <w:gridSpan w:val="5"/>
            <w:tcBorders>
              <w:left w:val="single" w:sz="2" w:space="0" w:color="000000"/>
              <w:bottom w:val="single" w:sz="2" w:space="0" w:color="000000"/>
              <w:right w:val="single" w:sz="2" w:space="0" w:color="000000"/>
            </w:tcBorders>
            <w:vAlign w:val="center"/>
          </w:tcPr>
          <w:p>
            <w:pPr>
              <w:pStyle w:val="Normal"/>
              <w:widowControl/>
              <w:spacing w:lineRule="auto" w:line="240" w:before="0" w:after="0"/>
              <w:jc w:val="left"/>
              <w:rPr>
                <w:rFonts w:ascii="Times New Roman" w:hAnsi="Times New Roman" w:cs="Times New Roman"/>
                <w:sz w:val="18"/>
                <w:szCs w:val="18"/>
              </w:rPr>
            </w:pPr>
            <w:r>
              <w:rPr>
                <w:rFonts w:cs="Times New Roman"/>
                <w:sz w:val="18"/>
                <w:szCs w:val="18"/>
              </w:rPr>
            </w:r>
          </w:p>
        </w:tc>
      </w:tr>
      <w:tr>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1344"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10553" w:type="dxa"/>
            <w:gridSpan w:val="5"/>
            <w:tcBorders>
              <w:left w:val="single" w:sz="2" w:space="0" w:color="000000"/>
              <w:bottom w:val="single" w:sz="2" w:space="0" w:color="000000"/>
              <w:right w:val="single" w:sz="2" w:space="0" w:color="000000"/>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b/>
                <w:color w:themeColor="text1" w:val="000000"/>
                <w:kern w:val="0"/>
                <w:sz w:val="18"/>
                <w:szCs w:val="18"/>
                <w:lang w:val="ru-RU" w:eastAsia="en-US" w:bidi="ar-SA"/>
              </w:rPr>
              <w:t>Дополнительные характеристики:</w:t>
            </w:r>
          </w:p>
        </w:tc>
      </w:tr>
      <w:tr>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ind w:right="-57"/>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vAlign w:val="center"/>
          </w:tcPr>
          <w:p>
            <w:pPr>
              <w:pStyle w:val="Normal"/>
              <w:widowControl/>
              <w:spacing w:lineRule="auto" w:line="240" w:before="0" w:after="0"/>
              <w:ind w:right="-57"/>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Качественная</w:t>
            </w:r>
          </w:p>
        </w:tc>
        <w:tc>
          <w:tcPr>
            <w:tcW w:w="3309" w:type="dxa"/>
            <w:tcBorders>
              <w:left w:val="single" w:sz="2" w:space="0" w:color="000000"/>
              <w:bottom w:val="single" w:sz="2" w:space="0" w:color="000000"/>
            </w:tcBorders>
            <w:vAlign w:val="center"/>
          </w:tcPr>
          <w:p>
            <w:pPr>
              <w:pStyle w:val="Normal"/>
              <w:widowControl/>
              <w:spacing w:lineRule="auto" w:line="240" w:before="0" w:after="0"/>
              <w:jc w:val="left"/>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Назначение: внутрилабораторный контроль качества для оценки воспроизводимости определения иммунохимических показателей.</w:t>
            </w:r>
          </w:p>
        </w:tc>
        <w:tc>
          <w:tcPr>
            <w:tcW w:w="153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Наличие</w:t>
            </w:r>
          </w:p>
        </w:tc>
        <w:tc>
          <w:tcPr>
            <w:tcW w:w="1246"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w:t>
            </w:r>
          </w:p>
        </w:tc>
        <w:tc>
          <w:tcPr>
            <w:tcW w:w="216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Для исключения влияния человеческого фактора при вводе данных</w:t>
            </w:r>
          </w:p>
        </w:tc>
        <w:tc>
          <w:tcPr>
            <w:tcW w:w="2308" w:type="dxa"/>
            <w:tcBorders>
              <w:left w:val="single" w:sz="2" w:space="0" w:color="000000"/>
              <w:bottom w:val="single" w:sz="2" w:space="0" w:color="000000"/>
              <w:right w:val="single" w:sz="2" w:space="0" w:color="000000"/>
            </w:tcBorders>
            <w:vAlign w:val="center"/>
          </w:tcPr>
          <w:p>
            <w:pPr>
              <w:pStyle w:val="Normal"/>
              <w:widowControl/>
              <w:spacing w:lineRule="auto" w:line="240" w:before="0" w:after="0"/>
              <w:ind w:right="-57"/>
              <w:jc w:val="left"/>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Значение характеристики не может изменяться участником закупки</w:t>
            </w:r>
          </w:p>
        </w:tc>
      </w:tr>
      <w:tr>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ind w:right="-57"/>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vAlign w:val="center"/>
          </w:tcPr>
          <w:p>
            <w:pPr>
              <w:pStyle w:val="Normal"/>
              <w:widowControl/>
              <w:spacing w:lineRule="auto" w:line="240" w:before="0" w:after="0"/>
              <w:ind w:right="-57"/>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Качественная</w:t>
            </w:r>
          </w:p>
        </w:tc>
        <w:tc>
          <w:tcPr>
            <w:tcW w:w="3309" w:type="dxa"/>
            <w:tcBorders>
              <w:left w:val="single" w:sz="2" w:space="0" w:color="000000"/>
              <w:bottom w:val="single" w:sz="2" w:space="0" w:color="000000"/>
            </w:tcBorders>
            <w:vAlign w:val="center"/>
          </w:tcPr>
          <w:p>
            <w:pPr>
              <w:pStyle w:val="Normal"/>
              <w:widowControl/>
              <w:spacing w:lineRule="auto" w:line="240" w:before="0" w:after="0"/>
              <w:jc w:val="left"/>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Состав: Основа –  человеческая сыворотка. Лиофилизированная форма выпуска. 3 уровня концентрации – низкий, нормальный, высокий</w:t>
            </w:r>
          </w:p>
        </w:tc>
        <w:tc>
          <w:tcPr>
            <w:tcW w:w="153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Наличие</w:t>
            </w:r>
          </w:p>
        </w:tc>
        <w:tc>
          <w:tcPr>
            <w:tcW w:w="1246"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w:t>
            </w:r>
          </w:p>
        </w:tc>
        <w:tc>
          <w:tcPr>
            <w:tcW w:w="216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Для калибровки и проведения контроля качества</w:t>
            </w:r>
          </w:p>
        </w:tc>
        <w:tc>
          <w:tcPr>
            <w:tcW w:w="2308" w:type="dxa"/>
            <w:tcBorders>
              <w:left w:val="single" w:sz="2" w:space="0" w:color="000000"/>
              <w:bottom w:val="single" w:sz="2" w:space="0" w:color="000000"/>
              <w:right w:val="single" w:sz="2" w:space="0" w:color="000000"/>
            </w:tcBorders>
            <w:vAlign w:val="center"/>
          </w:tcPr>
          <w:p>
            <w:pPr>
              <w:pStyle w:val="Normal"/>
              <w:widowControl/>
              <w:spacing w:lineRule="auto" w:line="240" w:before="0" w:after="0"/>
              <w:ind w:right="-57"/>
              <w:jc w:val="left"/>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Значение характеристики не может изменяться</w:t>
            </w:r>
          </w:p>
        </w:tc>
      </w:tr>
      <w:tr>
        <w:trPr>
          <w:trHeight w:val="931" w:hRule="atLeast"/>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Количественная</w:t>
            </w:r>
          </w:p>
        </w:tc>
        <w:tc>
          <w:tcPr>
            <w:tcW w:w="3309"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Стабильность аналитов после восстановления лиофилизата</w:t>
            </w:r>
          </w:p>
        </w:tc>
        <w:tc>
          <w:tcPr>
            <w:tcW w:w="153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w:t>
            </w:r>
            <w:r>
              <w:rPr>
                <w:rFonts w:eastAsia="Calibri" w:cs="Times New Roman"/>
                <w:color w:themeColor="text1" w:val="000000"/>
                <w:kern w:val="0"/>
                <w:sz w:val="18"/>
                <w:szCs w:val="18"/>
                <w:lang w:val="ru-RU" w:eastAsia="en-US" w:bidi="ar-SA"/>
              </w:rPr>
              <w:t>7</w:t>
            </w:r>
          </w:p>
        </w:tc>
        <w:tc>
          <w:tcPr>
            <w:tcW w:w="1246"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дней</w:t>
            </w:r>
          </w:p>
        </w:tc>
        <w:tc>
          <w:tcPr>
            <w:tcW w:w="216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Высокая стабильность позволяет рационально использовать запас реагентов</w:t>
            </w:r>
          </w:p>
        </w:tc>
        <w:tc>
          <w:tcPr>
            <w:tcW w:w="2308" w:type="dxa"/>
            <w:tcBorders>
              <w:left w:val="single" w:sz="2" w:space="0" w:color="000000"/>
              <w:bottom w:val="single" w:sz="2" w:space="0" w:color="000000"/>
              <w:right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Участник закупки указывает в заявке конкретное значение характеристики</w:t>
            </w:r>
          </w:p>
        </w:tc>
      </w:tr>
      <w:tr>
        <w:trPr>
          <w:trHeight w:val="1797" w:hRule="atLeast"/>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Количественная</w:t>
            </w:r>
          </w:p>
        </w:tc>
        <w:tc>
          <w:tcPr>
            <w:tcW w:w="3309"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 xml:space="preserve"> </w:t>
            </w:r>
            <w:r>
              <w:rPr>
                <w:rFonts w:eastAsia="Calibri" w:cs="Times New Roman"/>
                <w:color w:themeColor="text1" w:val="000000"/>
                <w:kern w:val="0"/>
                <w:sz w:val="18"/>
                <w:szCs w:val="18"/>
                <w:lang w:val="ru-RU" w:eastAsia="en-US" w:bidi="ar-SA"/>
              </w:rPr>
              <w:t>Фасовка</w:t>
            </w:r>
          </w:p>
        </w:tc>
        <w:tc>
          <w:tcPr>
            <w:tcW w:w="153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 xml:space="preserve">≥ </w:t>
            </w:r>
            <w:r>
              <w:rPr>
                <w:rFonts w:eastAsia="Calibri" w:cs="Times New Roman"/>
                <w:color w:themeColor="text1" w:val="000000"/>
                <w:kern w:val="0"/>
                <w:sz w:val="18"/>
                <w:szCs w:val="18"/>
                <w:lang w:val="ru-RU" w:eastAsia="en-US" w:bidi="ar-SA"/>
              </w:rPr>
              <w:t>12</w:t>
            </w:r>
          </w:p>
        </w:tc>
        <w:tc>
          <w:tcPr>
            <w:tcW w:w="1246"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флаконов</w:t>
            </w:r>
          </w:p>
        </w:tc>
        <w:tc>
          <w:tcPr>
            <w:tcW w:w="216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из расчета на определенное количество исследований на анализаторе</w:t>
            </w:r>
          </w:p>
        </w:tc>
        <w:tc>
          <w:tcPr>
            <w:tcW w:w="2308" w:type="dxa"/>
            <w:tcBorders>
              <w:left w:val="single" w:sz="2" w:space="0" w:color="000000"/>
              <w:bottom w:val="single" w:sz="2" w:space="0" w:color="000000"/>
              <w:right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Участник закупки указывает в заявке конкретное значение характеристики</w:t>
            </w:r>
          </w:p>
        </w:tc>
      </w:tr>
      <w:tr>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sz w:val="18"/>
                <w:szCs w:val="18"/>
              </w:rPr>
            </w:pPr>
            <w:r>
              <w:rPr>
                <w:rFonts w:eastAsia="Calibri" w:cs="Times New Roman"/>
                <w:color w:themeColor="text1" w:val="000000"/>
                <w:kern w:val="0"/>
                <w:sz w:val="18"/>
                <w:szCs w:val="18"/>
                <w:lang w:val="ru-RU" w:eastAsia="en-US" w:bidi="ar-SA"/>
              </w:rPr>
              <w:t>Качественная</w:t>
            </w:r>
          </w:p>
        </w:tc>
        <w:tc>
          <w:tcPr>
            <w:tcW w:w="3309"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sz w:val="18"/>
                <w:szCs w:val="18"/>
              </w:rPr>
            </w:pPr>
            <w:r>
              <w:rPr>
                <w:rFonts w:eastAsia="Calibri" w:cs="Times New Roman"/>
                <w:kern w:val="0"/>
                <w:sz w:val="18"/>
                <w:szCs w:val="18"/>
                <w:lang w:val="ru-RU" w:eastAsia="en-US" w:bidi="ar-SA"/>
              </w:rPr>
              <w:t>Возможность работы на анализаторах различных производителей.</w:t>
            </w:r>
          </w:p>
        </w:tc>
        <w:tc>
          <w:tcPr>
            <w:tcW w:w="153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sz w:val="18"/>
                <w:szCs w:val="18"/>
              </w:rPr>
            </w:pPr>
            <w:r>
              <w:rPr>
                <w:rFonts w:eastAsia="Calibri" w:cs="Times New Roman"/>
                <w:color w:themeColor="text1" w:val="000000"/>
                <w:kern w:val="0"/>
                <w:sz w:val="18"/>
                <w:szCs w:val="18"/>
                <w:lang w:val="ru-RU" w:eastAsia="en-US" w:bidi="ar-SA"/>
              </w:rPr>
              <w:t>Наличие</w:t>
            </w:r>
          </w:p>
        </w:tc>
        <w:tc>
          <w:tcPr>
            <w:tcW w:w="1246"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w:t>
            </w:r>
          </w:p>
        </w:tc>
        <w:tc>
          <w:tcPr>
            <w:tcW w:w="2160" w:type="dxa"/>
            <w:tcBorders>
              <w:left w:val="single" w:sz="2" w:space="0" w:color="000000"/>
              <w:bottom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Оборудование находится в эксплуатации у Заказчика</w:t>
            </w:r>
          </w:p>
        </w:tc>
        <w:tc>
          <w:tcPr>
            <w:tcW w:w="2308" w:type="dxa"/>
            <w:tcBorders>
              <w:left w:val="single" w:sz="2" w:space="0" w:color="000000"/>
              <w:bottom w:val="single" w:sz="2" w:space="0" w:color="000000"/>
              <w:right w:val="single" w:sz="2" w:space="0" w:color="000000"/>
            </w:tcBorders>
            <w:vAlign w:val="center"/>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Значение характеристики не может изменяться участником закупки</w:t>
            </w:r>
          </w:p>
        </w:tc>
      </w:tr>
      <w:tr>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shd w:fill="FFFFFF" w:val="clear"/>
              </w:rPr>
            </w:pPr>
            <w:r>
              <w:rPr>
                <w:rFonts w:cs="Times New Roman"/>
                <w:color w:themeColor="text1" w:val="000000"/>
                <w:sz w:val="18"/>
                <w:szCs w:val="18"/>
                <w:shd w:fill="FFFFFF" w:val="clear"/>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b/>
                <w:color w:themeColor="text1" w:val="000000"/>
                <w:sz w:val="18"/>
                <w:szCs w:val="18"/>
              </w:rPr>
            </w:pPr>
            <w:r>
              <w:rPr>
                <w:rFonts w:eastAsia="Calibri" w:cs="Times New Roman"/>
                <w:color w:themeColor="text1" w:val="000000"/>
                <w:kern w:val="0"/>
                <w:sz w:val="18"/>
                <w:szCs w:val="18"/>
                <w:lang w:val="ru-RU" w:eastAsia="en-US" w:bidi="ar-SA"/>
              </w:rPr>
              <w:t>Количественная</w:t>
            </w:r>
          </w:p>
        </w:tc>
        <w:tc>
          <w:tcPr>
            <w:tcW w:w="330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Объем флакона</w:t>
            </w:r>
          </w:p>
        </w:tc>
        <w:tc>
          <w:tcPr>
            <w:tcW w:w="1530"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 xml:space="preserve">≥ </w:t>
            </w:r>
            <w:r>
              <w:rPr>
                <w:rFonts w:eastAsia="Calibri" w:cs="Times New Roman"/>
                <w:color w:themeColor="text1" w:val="000000"/>
                <w:kern w:val="0"/>
                <w:sz w:val="18"/>
                <w:szCs w:val="18"/>
                <w:lang w:val="ru-RU" w:eastAsia="en-US" w:bidi="ar-SA"/>
              </w:rPr>
              <w:t>5</w:t>
            </w:r>
          </w:p>
        </w:tc>
        <w:tc>
          <w:tcPr>
            <w:tcW w:w="1246"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СМ3;^МЛ</w:t>
            </w:r>
          </w:p>
        </w:tc>
        <w:tc>
          <w:tcPr>
            <w:tcW w:w="2160"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2308" w:type="dxa"/>
            <w:tcBorders>
              <w:left w:val="single" w:sz="2" w:space="0" w:color="000000"/>
              <w:bottom w:val="single" w:sz="2" w:space="0" w:color="000000"/>
              <w:right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eastAsia="Calibri" w:cs="Times New Roman"/>
                <w:color w:themeColor="text1" w:val="000000"/>
                <w:kern w:val="0"/>
                <w:sz w:val="18"/>
                <w:szCs w:val="18"/>
                <w:lang w:val="ru-RU" w:eastAsia="en-US" w:bidi="ar-SA"/>
              </w:rPr>
              <w:t>Участник закупки указывает в заявке конкретное значение характеристики</w:t>
            </w:r>
          </w:p>
        </w:tc>
      </w:tr>
      <w:tr>
        <w:trPr/>
        <w:tc>
          <w:tcPr>
            <w:tcW w:w="461"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2109"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72" w:type="dxa"/>
            <w:vMerge w:val="continue"/>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cs="Times New Roman"/>
                <w:sz w:val="18"/>
                <w:szCs w:val="18"/>
              </w:rPr>
            </w:r>
          </w:p>
        </w:tc>
        <w:tc>
          <w:tcPr>
            <w:tcW w:w="66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cs="Times New Roman"/>
                <w:color w:themeColor="text1" w:val="000000"/>
                <w:sz w:val="18"/>
                <w:szCs w:val="18"/>
              </w:rPr>
            </w:r>
          </w:p>
        </w:tc>
        <w:tc>
          <w:tcPr>
            <w:tcW w:w="1344"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eastAsia="Calibri" w:cs="Times New Roman"/>
                <w:color w:themeColor="text1" w:val="000000"/>
                <w:kern w:val="0"/>
                <w:sz w:val="18"/>
                <w:szCs w:val="18"/>
                <w:lang w:val="ru-RU" w:eastAsia="en-US" w:bidi="ar-SA"/>
              </w:rPr>
              <w:t>Качественная</w:t>
            </w:r>
          </w:p>
        </w:tc>
        <w:tc>
          <w:tcPr>
            <w:tcW w:w="3309"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Состав: Включает не менее 90 показателей (половые гормоны, гормоны щитовидной железы, онкомаркеры): Ацетаминофен; Флеканид; Прогестерон; АКТГ; Фолиевая к-та; Пролактин; АФП; Фруктозамин; Пропранолол; Альдостерон; ФСГ; ПСА; 17-Альфа-Гидороксипрогестерон; Гастрин; ПСА (Свободный); Амикацин; Гентамицин; Паратиреоидный гормон; Амиодарон; Глюкагон; Хинидин; Амитриптилин; ХГЧ; Салициллаты; Андростендион; Бета-ХГЧ; Белок, связывающий половые гормоны; Ангиотензин I; СТГ; Соматомедин-C; Кофеин; 25-гидрокси Витамин D; T3 (Свободный); Кальцитонин; Имипрамин; T3 (Общий); Карбамазепин; IgA; T3 связывание; Карбамазепин (Свободный); IgE; T4 (Свободный); РЭА; IgG; T4 (Общий); Хлорамфеникол; IgM; Тироксинсвязывающий глобулин; Кортизол; Инсулин; Тестостерон; С-пептид; Железо сыворотки; Тестостерон (Свободный); Циклоспорин; Железо (ОЖСС); Теофиллин; 11 – Деоксикортизол; ЛГ; Тиреоглобулин; Дезипрамин; Лидокаин; Тобрамицин; Дегидроксиэпиандростерон; Литий; Скрининг трициклических антидепрессантов; Дегидроксиэпиандростерон Сульфат; N-ацетипрокаинамид (NAPA); ТТГ; Дигоксин; Нетилмицин; Вальпроевая к-та; Дизопирамид; Нортриптилин; Вальпроевая к-та (Свободная) ; Эстрадиол; Простатическая кислая фосфатаза; Ванкомицин; Эстриол (Свободный); Фенобарбитал; Витамин B12; Эстриол (Общий); Фенитоин; Эстрогены (Общие); Фенитоин (Свободный); Этосукцимид; Примидон; Ферритин; Прокаинамид.</w:t>
            </w:r>
          </w:p>
        </w:tc>
        <w:tc>
          <w:tcPr>
            <w:tcW w:w="1530"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Наличие</w:t>
            </w:r>
          </w:p>
        </w:tc>
        <w:tc>
          <w:tcPr>
            <w:tcW w:w="1246"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color w:themeColor="text1" w:val="000000"/>
                <w:sz w:val="18"/>
                <w:szCs w:val="18"/>
              </w:rPr>
            </w:pPr>
            <w:r>
              <w:rPr>
                <w:rFonts w:eastAsia="Calibri" w:cs="Times New Roman"/>
                <w:color w:themeColor="text1" w:val="000000"/>
                <w:kern w:val="0"/>
                <w:sz w:val="18"/>
                <w:szCs w:val="18"/>
                <w:lang w:val="ru-RU" w:eastAsia="en-US" w:bidi="ar-SA"/>
              </w:rPr>
              <w:t>-</w:t>
            </w:r>
          </w:p>
        </w:tc>
        <w:tc>
          <w:tcPr>
            <w:tcW w:w="2160" w:type="dxa"/>
            <w:tcBorders>
              <w:left w:val="single" w:sz="2" w:space="0" w:color="000000"/>
              <w:bottom w:val="single" w:sz="2" w:space="0" w:color="000000"/>
            </w:tcBorders>
          </w:tcPr>
          <w:p>
            <w:pPr>
              <w:pStyle w:val="Normal"/>
              <w:widowControl/>
              <w:spacing w:lineRule="auto" w:line="240" w:before="0" w:after="0"/>
              <w:jc w:val="center"/>
              <w:rPr>
                <w:rFonts w:ascii="Times New Roman" w:hAnsi="Times New Roman" w:cs="Times New Roman"/>
                <w:sz w:val="18"/>
                <w:szCs w:val="18"/>
              </w:rPr>
            </w:pPr>
            <w:r>
              <w:rPr>
                <w:rFonts w:eastAsia="Calibri" w:cs="Times New Roman"/>
                <w:color w:themeColor="text1" w:val="000000"/>
                <w:kern w:val="0"/>
                <w:sz w:val="18"/>
                <w:szCs w:val="18"/>
                <w:lang w:val="ru-RU" w:eastAsia="en-US" w:bidi="ar-SA"/>
              </w:rPr>
              <w:t>Обусловлено требованиями к оптимизации лабораторного процесса при эксплуатации оборудования</w:t>
            </w:r>
          </w:p>
        </w:tc>
        <w:tc>
          <w:tcPr>
            <w:tcW w:w="2308" w:type="dxa"/>
            <w:tcBorders>
              <w:left w:val="single" w:sz="2" w:space="0" w:color="000000"/>
              <w:bottom w:val="single" w:sz="2" w:space="0" w:color="000000"/>
              <w:right w:val="single" w:sz="2" w:space="0" w:color="000000"/>
            </w:tcBorders>
          </w:tcPr>
          <w:p>
            <w:pPr>
              <w:pStyle w:val="Normal"/>
              <w:widowControl/>
              <w:spacing w:lineRule="auto" w:line="240" w:before="0" w:after="0"/>
              <w:jc w:val="left"/>
              <w:rPr>
                <w:rFonts w:ascii="Times New Roman" w:hAnsi="Times New Roman" w:cs="Times New Roman"/>
                <w:sz w:val="18"/>
                <w:szCs w:val="18"/>
              </w:rPr>
            </w:pPr>
            <w:r>
              <w:rPr>
                <w:rFonts w:eastAsia="Calibri" w:cs="Times New Roman"/>
                <w:color w:themeColor="text1" w:val="000000"/>
                <w:kern w:val="0"/>
                <w:sz w:val="18"/>
                <w:szCs w:val="18"/>
                <w:lang w:val="ru-RU" w:eastAsia="en-US" w:bidi="ar-SA"/>
              </w:rPr>
              <w:t>Значение характеристики не может изменяться участником закупки</w:t>
            </w:r>
          </w:p>
        </w:tc>
      </w:tr>
    </w:tbl>
    <w:p>
      <w:pPr>
        <w:pStyle w:val="Normal"/>
        <w:ind w:right="57"/>
        <w:jc w:val="both"/>
        <w:rPr>
          <w:sz w:val="20"/>
          <w:szCs w:val="20"/>
        </w:rPr>
      </w:pPr>
      <w:r>
        <w:rPr>
          <w:sz w:val="20"/>
          <w:szCs w:val="20"/>
        </w:rPr>
        <w:t xml:space="preserve">1.1. </w:t>
      </w:r>
      <w:r>
        <w:rPr>
          <w:b/>
          <w:sz w:val="20"/>
          <w:szCs w:val="20"/>
        </w:rPr>
        <w:t>Требования к качеству и безопасности товара, оказания услуг, выполнения работ:</w:t>
      </w:r>
      <w:r>
        <w:rPr>
          <w:sz w:val="20"/>
          <w:szCs w:val="20"/>
        </w:rPr>
        <w:t xml:space="preserve">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На Товаре не должно быть механических повреждений.</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Товар должен соответствовать действующим в Российской Федерации ГОСТам, техническим регламентам, санитарным нормам.</w:t>
      </w:r>
    </w:p>
    <w:p>
      <w:pPr>
        <w:pStyle w:val="defaultStyle"/>
        <w:widowControl w:val="false"/>
        <w:tabs>
          <w:tab w:val="clear" w:pos="708"/>
          <w:tab w:val="left" w:pos="1701" w:leader="none"/>
        </w:tabs>
        <w:spacing w:lineRule="auto" w:line="240" w:before="0" w:after="0"/>
        <w:rPr>
          <w:rFonts w:ascii="Times New Roman" w:hAnsi="Times New Roman"/>
          <w:color w:val="auto"/>
          <w:sz w:val="20"/>
          <w:szCs w:val="20"/>
        </w:rPr>
      </w:pPr>
      <w:r>
        <w:rPr>
          <w:rFonts w:ascii="Times New Roman" w:hAnsi="Times New Roman"/>
          <w:color w:val="auto"/>
          <w:sz w:val="20"/>
          <w:szCs w:val="20"/>
        </w:rPr>
        <w:t>Товар должен быть свободным от любых прав третьих лиц, разрешенным к применению на территории Российской Федерации.</w:t>
      </w:r>
    </w:p>
    <w:p>
      <w:pPr>
        <w:pStyle w:val="Normal"/>
        <w:jc w:val="both"/>
        <w:rPr>
          <w:sz w:val="20"/>
          <w:szCs w:val="20"/>
        </w:rPr>
      </w:pPr>
      <w:r>
        <w:rPr>
          <w:sz w:val="20"/>
          <w:szCs w:val="20"/>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jc w:val="both"/>
        <w:rPr>
          <w:sz w:val="20"/>
          <w:szCs w:val="20"/>
        </w:rPr>
      </w:pPr>
      <w:r>
        <w:rPr>
          <w:sz w:val="20"/>
          <w:szCs w:val="20"/>
        </w:rPr>
      </w:r>
    </w:p>
    <w:p>
      <w:pPr>
        <w:pStyle w:val="NoSpacing"/>
        <w:jc w:val="both"/>
        <w:rPr>
          <w:b/>
          <w:sz w:val="20"/>
          <w:szCs w:val="20"/>
        </w:rPr>
      </w:pPr>
      <w:r>
        <w:rPr>
          <w:sz w:val="20"/>
          <w:szCs w:val="20"/>
        </w:rPr>
        <w:t xml:space="preserve">1.2. </w:t>
      </w:r>
      <w:r>
        <w:rPr>
          <w:b/>
          <w:sz w:val="20"/>
          <w:szCs w:val="20"/>
        </w:rPr>
        <w:t>Требования к упаковке, маркировке Товара:</w:t>
      </w:r>
    </w:p>
    <w:p>
      <w:pPr>
        <w:pStyle w:val="NoSpacing"/>
        <w:jc w:val="both"/>
        <w:rPr>
          <w:sz w:val="20"/>
          <w:szCs w:val="20"/>
        </w:rPr>
      </w:pPr>
      <w:r>
        <w:rPr>
          <w:sz w:val="20"/>
          <w:szCs w:val="20"/>
        </w:rPr>
        <w:t xml:space="preserve"> </w:t>
      </w:r>
      <w:r>
        <w:rPr>
          <w:sz w:val="20"/>
          <w:szCs w:val="20"/>
        </w:rPr>
        <w:t>Упаковка и маркировка Товара должны соответствовать требованиям:</w:t>
      </w:r>
    </w:p>
    <w:p>
      <w:pPr>
        <w:pStyle w:val="NoSpacing"/>
        <w:jc w:val="both"/>
        <w:rPr>
          <w:sz w:val="20"/>
          <w:szCs w:val="20"/>
        </w:rPr>
      </w:pPr>
      <w:r>
        <w:rPr>
          <w:sz w:val="20"/>
          <w:szCs w:val="20"/>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tabs>
          <w:tab w:val="clear" w:pos="708"/>
          <w:tab w:val="left" w:pos="0" w:leader="none"/>
          <w:tab w:val="left" w:pos="1701" w:leader="none"/>
        </w:tabs>
        <w:jc w:val="both"/>
        <w:rPr>
          <w:sz w:val="20"/>
          <w:szCs w:val="20"/>
        </w:rPr>
      </w:pPr>
      <w:r>
        <w:rPr>
          <w:sz w:val="20"/>
          <w:szCs w:val="20"/>
        </w:rPr>
        <w:t>Вся упаковка должна соответствовать требованиям законодательства Российской Федерации, иметь следующую маркировку:</w:t>
      </w:r>
    </w:p>
    <w:p>
      <w:pPr>
        <w:pStyle w:val="Normal"/>
        <w:tabs>
          <w:tab w:val="clear" w:pos="708"/>
          <w:tab w:val="left" w:pos="0" w:leader="none"/>
          <w:tab w:val="left" w:pos="1701" w:leader="none"/>
        </w:tabs>
        <w:jc w:val="both"/>
        <w:rPr>
          <w:sz w:val="20"/>
          <w:szCs w:val="20"/>
        </w:rPr>
      </w:pPr>
      <w:r>
        <w:rPr>
          <w:sz w:val="20"/>
          <w:szCs w:val="20"/>
        </w:rPr>
        <w:t>Наименование Товара: _____________________</w:t>
      </w:r>
    </w:p>
    <w:p>
      <w:pPr>
        <w:pStyle w:val="Normal"/>
        <w:tabs>
          <w:tab w:val="clear" w:pos="708"/>
          <w:tab w:val="left" w:pos="0" w:leader="none"/>
          <w:tab w:val="left" w:pos="1701" w:leader="none"/>
        </w:tabs>
        <w:jc w:val="both"/>
        <w:rPr>
          <w:sz w:val="20"/>
          <w:szCs w:val="20"/>
          <w:vertAlign w:val="superscript"/>
        </w:rPr>
      </w:pPr>
      <w:r>
        <w:rPr>
          <w:sz w:val="20"/>
          <w:szCs w:val="20"/>
        </w:rPr>
        <w:t>Контракт № _______________</w:t>
      </w:r>
    </w:p>
    <w:p>
      <w:pPr>
        <w:pStyle w:val="Normal"/>
        <w:tabs>
          <w:tab w:val="clear" w:pos="708"/>
          <w:tab w:val="left" w:pos="0" w:leader="none"/>
          <w:tab w:val="left" w:pos="1701" w:leader="none"/>
        </w:tabs>
        <w:jc w:val="both"/>
        <w:rPr>
          <w:sz w:val="20"/>
          <w:szCs w:val="20"/>
        </w:rPr>
      </w:pPr>
      <w:r>
        <w:rPr>
          <w:sz w:val="20"/>
          <w:szCs w:val="20"/>
        </w:rPr>
        <w:t>Заказчик (название): ___________</w:t>
      </w:r>
    </w:p>
    <w:p>
      <w:pPr>
        <w:pStyle w:val="Normal"/>
        <w:tabs>
          <w:tab w:val="clear" w:pos="708"/>
          <w:tab w:val="left" w:pos="0" w:leader="none"/>
          <w:tab w:val="left" w:pos="1701" w:leader="none"/>
        </w:tabs>
        <w:jc w:val="both"/>
        <w:rPr>
          <w:sz w:val="20"/>
          <w:szCs w:val="20"/>
        </w:rPr>
      </w:pPr>
      <w:r>
        <w:rPr>
          <w:sz w:val="20"/>
          <w:szCs w:val="20"/>
        </w:rPr>
        <w:t>Поставщик (название компании): _________</w:t>
      </w:r>
    </w:p>
    <w:p>
      <w:pPr>
        <w:pStyle w:val="Normal"/>
        <w:tabs>
          <w:tab w:val="clear" w:pos="708"/>
          <w:tab w:val="left" w:pos="0" w:leader="none"/>
          <w:tab w:val="left" w:pos="1701" w:leader="none"/>
        </w:tabs>
        <w:jc w:val="both"/>
        <w:rPr>
          <w:sz w:val="20"/>
          <w:szCs w:val="20"/>
        </w:rPr>
      </w:pPr>
      <w:r>
        <w:rPr>
          <w:sz w:val="20"/>
          <w:szCs w:val="20"/>
        </w:rPr>
        <w:t>Получатель: ___________</w:t>
      </w:r>
    </w:p>
    <w:p>
      <w:pPr>
        <w:pStyle w:val="Normal"/>
        <w:tabs>
          <w:tab w:val="clear" w:pos="708"/>
          <w:tab w:val="left" w:pos="0" w:leader="none"/>
          <w:tab w:val="left" w:pos="1701" w:leader="none"/>
        </w:tabs>
        <w:jc w:val="both"/>
        <w:rPr>
          <w:sz w:val="20"/>
          <w:szCs w:val="20"/>
        </w:rPr>
      </w:pPr>
      <w:r>
        <w:rPr>
          <w:sz w:val="20"/>
          <w:szCs w:val="20"/>
        </w:rPr>
        <w:t>Пункт назначения: _____________</w:t>
      </w:r>
    </w:p>
    <w:p>
      <w:pPr>
        <w:pStyle w:val="Normal"/>
        <w:tabs>
          <w:tab w:val="clear" w:pos="708"/>
          <w:tab w:val="left" w:pos="0" w:leader="none"/>
          <w:tab w:val="left" w:pos="1701" w:leader="none"/>
        </w:tabs>
        <w:jc w:val="both"/>
        <w:rPr>
          <w:sz w:val="20"/>
          <w:szCs w:val="20"/>
        </w:rPr>
      </w:pPr>
      <w:r>
        <w:rPr>
          <w:sz w:val="20"/>
          <w:szCs w:val="20"/>
        </w:rPr>
        <w:t>Грузоотправитель: ______________</w:t>
      </w:r>
    </w:p>
    <w:p>
      <w:pPr>
        <w:pStyle w:val="Normal"/>
        <w:tabs>
          <w:tab w:val="clear" w:pos="708"/>
          <w:tab w:val="left" w:pos="0" w:leader="none"/>
          <w:tab w:val="left" w:pos="1701" w:leader="none"/>
        </w:tabs>
        <w:jc w:val="both"/>
        <w:rPr>
          <w:sz w:val="20"/>
          <w:szCs w:val="20"/>
        </w:rPr>
      </w:pPr>
      <w:r>
        <w:rPr>
          <w:sz w:val="20"/>
          <w:szCs w:val="20"/>
        </w:rPr>
        <w:t>Ящик/контейнер № ______, всего ящиков/контейнеров _______</w:t>
      </w:r>
    </w:p>
    <w:p>
      <w:pPr>
        <w:pStyle w:val="Normal"/>
        <w:tabs>
          <w:tab w:val="clear" w:pos="708"/>
          <w:tab w:val="left" w:pos="0" w:leader="none"/>
          <w:tab w:val="left" w:pos="1701" w:leader="none"/>
        </w:tabs>
        <w:jc w:val="both"/>
        <w:rPr>
          <w:sz w:val="20"/>
          <w:szCs w:val="20"/>
        </w:rPr>
      </w:pPr>
      <w:r>
        <w:rPr>
          <w:sz w:val="20"/>
          <w:szCs w:val="20"/>
        </w:rPr>
        <w:t>Размеры (высота, длина, ширина) _________</w:t>
      </w:r>
    </w:p>
    <w:p>
      <w:pPr>
        <w:pStyle w:val="Normal"/>
        <w:tabs>
          <w:tab w:val="clear" w:pos="708"/>
          <w:tab w:val="left" w:pos="0" w:leader="none"/>
          <w:tab w:val="left" w:pos="1701" w:leader="none"/>
        </w:tabs>
        <w:jc w:val="both"/>
        <w:rPr>
          <w:sz w:val="20"/>
          <w:szCs w:val="20"/>
        </w:rPr>
      </w:pPr>
      <w:r>
        <w:rPr>
          <w:sz w:val="20"/>
          <w:szCs w:val="20"/>
        </w:rPr>
        <w:t>Вес брутто _____ кг</w:t>
      </w:r>
    </w:p>
    <w:p>
      <w:pPr>
        <w:pStyle w:val="Normal"/>
        <w:tabs>
          <w:tab w:val="clear" w:pos="708"/>
          <w:tab w:val="left" w:pos="0" w:leader="none"/>
          <w:tab w:val="left" w:pos="1701" w:leader="none"/>
        </w:tabs>
        <w:jc w:val="both"/>
        <w:rPr>
          <w:sz w:val="20"/>
          <w:szCs w:val="20"/>
        </w:rPr>
      </w:pPr>
      <w:r>
        <w:rPr>
          <w:sz w:val="20"/>
          <w:szCs w:val="20"/>
        </w:rPr>
        <w:t>Вес нетто _____ кг</w:t>
      </w:r>
    </w:p>
    <w:p>
      <w:pPr>
        <w:pStyle w:val="Normal"/>
        <w:tabs>
          <w:tab w:val="clear" w:pos="708"/>
          <w:tab w:val="left" w:pos="0" w:leader="none"/>
          <w:tab w:val="left" w:pos="567" w:leader="none"/>
        </w:tabs>
        <w:jc w:val="both"/>
        <w:rPr>
          <w:sz w:val="20"/>
          <w:szCs w:val="20"/>
        </w:rPr>
      </w:pPr>
      <w:r>
        <w:rPr>
          <w:sz w:val="20"/>
          <w:szCs w:val="20"/>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tabs>
          <w:tab w:val="clear" w:pos="708"/>
          <w:tab w:val="left" w:pos="0" w:leader="none"/>
          <w:tab w:val="left" w:pos="567" w:leader="none"/>
        </w:tabs>
        <w:jc w:val="both"/>
        <w:rPr>
          <w:sz w:val="20"/>
          <w:szCs w:val="20"/>
        </w:rPr>
      </w:pPr>
      <w:r>
        <w:rPr>
          <w:sz w:val="20"/>
          <w:szCs w:val="20"/>
        </w:rPr>
        <w:tab/>
        <w:t>Вся упаковка должна соответствовать требованиям законодательства Российской Федерации, иметь маркировку на русском языке</w:t>
      </w:r>
    </w:p>
    <w:p>
      <w:pPr>
        <w:pStyle w:val="Normal"/>
        <w:tabs>
          <w:tab w:val="clear" w:pos="708"/>
          <w:tab w:val="left" w:pos="567" w:leader="none"/>
        </w:tabs>
        <w:jc w:val="both"/>
        <w:rPr>
          <w:sz w:val="20"/>
          <w:szCs w:val="20"/>
        </w:rPr>
      </w:pPr>
      <w:r>
        <w:rPr>
          <w:sz w:val="20"/>
          <w:szCs w:val="20"/>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tabs>
          <w:tab w:val="clear" w:pos="708"/>
          <w:tab w:val="left" w:pos="567" w:leader="none"/>
        </w:tabs>
        <w:jc w:val="both"/>
        <w:rPr>
          <w:sz w:val="20"/>
          <w:szCs w:val="20"/>
        </w:rPr>
      </w:pPr>
      <w:r>
        <w:rPr>
          <w:sz w:val="20"/>
          <w:szCs w:val="20"/>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tabs>
          <w:tab w:val="clear" w:pos="708"/>
          <w:tab w:val="left" w:pos="0" w:leader="none"/>
          <w:tab w:val="left" w:pos="567" w:leader="none"/>
        </w:tabs>
        <w:jc w:val="both"/>
        <w:rPr>
          <w:sz w:val="20"/>
          <w:szCs w:val="20"/>
        </w:rPr>
      </w:pPr>
      <w:r>
        <w:rPr>
          <w:sz w:val="20"/>
          <w:szCs w:val="20"/>
        </w:rPr>
        <w:tab/>
      </w:r>
    </w:p>
    <w:p>
      <w:pPr>
        <w:pStyle w:val="Normal"/>
        <w:jc w:val="both"/>
        <w:rPr>
          <w:bCs/>
          <w:sz w:val="20"/>
          <w:szCs w:val="20"/>
        </w:rPr>
      </w:pPr>
      <w:r>
        <w:rPr>
          <w:b/>
          <w:sz w:val="20"/>
          <w:szCs w:val="20"/>
        </w:rPr>
        <w:t>2. Адрес поставки:</w:t>
      </w:r>
      <w:r>
        <w:rPr>
          <w:sz w:val="20"/>
          <w:szCs w:val="20"/>
        </w:rPr>
        <w:t xml:space="preserve"> </w:t>
      </w:r>
      <w:r>
        <w:rPr>
          <w:bCs/>
          <w:sz w:val="20"/>
          <w:szCs w:val="20"/>
        </w:rPr>
        <w:t xml:space="preserve">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w:t>
      </w:r>
      <w:r>
        <w:rPr>
          <w:sz w:val="20"/>
          <w:szCs w:val="20"/>
        </w:rPr>
        <w:t>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jc w:val="both"/>
        <w:rPr>
          <w:b/>
          <w:sz w:val="20"/>
          <w:szCs w:val="20"/>
        </w:rPr>
      </w:pPr>
      <w:r>
        <w:rPr>
          <w:b/>
          <w:sz w:val="20"/>
          <w:szCs w:val="20"/>
        </w:rPr>
      </w:r>
    </w:p>
    <w:p>
      <w:pPr>
        <w:pStyle w:val="Normal"/>
        <w:jc w:val="both"/>
        <w:rPr>
          <w:b/>
          <w:sz w:val="20"/>
          <w:szCs w:val="20"/>
        </w:rPr>
      </w:pPr>
      <w:r>
        <w:rPr>
          <w:b/>
          <w:sz w:val="20"/>
          <w:szCs w:val="20"/>
        </w:rPr>
        <w:t>3. Сопроводительные документы:</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eastAsia="Times New Roman" w:ascii="Times New Roman" w:hAnsi="Times New Roman"/>
          <w:sz w:val="20"/>
          <w:szCs w:val="20"/>
        </w:rPr>
        <w:t xml:space="preserve">а) </w:t>
      </w:r>
      <w:r>
        <w:rPr>
          <w:rFonts w:ascii="Times New Roman" w:hAnsi="Times New Roman"/>
          <w:sz w:val="20"/>
          <w:szCs w:val="20"/>
        </w:rPr>
        <w:t xml:space="preserve">товарная накладная, оформленная в установленном порядке (со ссылкой </w:t>
      </w:r>
      <w:r>
        <w:rPr>
          <w:rFonts w:eastAsia="Times New Roman" w:ascii="Times New Roman" w:hAnsi="Times New Roman"/>
          <w:sz w:val="20"/>
          <w:szCs w:val="20"/>
        </w:rPr>
        <w:t>на дату и номер Контракта</w:t>
      </w:r>
      <w:r>
        <w:rPr>
          <w:rFonts w:ascii="Times New Roman" w:hAnsi="Times New Roman"/>
          <w:sz w:val="20"/>
          <w:szCs w:val="20"/>
        </w:rPr>
        <w:t>) в 2 (двух) экземплярах;</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б) </w:t>
      </w:r>
      <w:r>
        <w:rPr>
          <w:rFonts w:eastAsia="Times New Roman" w:ascii="Times New Roman" w:hAnsi="Times New Roman"/>
          <w:sz w:val="20"/>
          <w:szCs w:val="20"/>
        </w:rPr>
        <w:t xml:space="preserve">счет-фактура </w:t>
      </w:r>
      <w:r>
        <w:rPr>
          <w:rFonts w:ascii="Times New Roman" w:hAnsi="Times New Roman"/>
          <w:sz w:val="20"/>
          <w:szCs w:val="20"/>
        </w:rPr>
        <w:t>с указанием Товара, выставленная Заказчику</w:t>
      </w:r>
      <w:r>
        <w:rPr>
          <w:rFonts w:eastAsia="Times New Roman" w:ascii="Times New Roman" w:hAnsi="Times New Roman"/>
          <w:sz w:val="20"/>
          <w:szCs w:val="20"/>
        </w:rPr>
        <w:t xml:space="preserve"> (при налогообложении НДС, со ссылкой на дату и номер Контракта)</w:t>
      </w:r>
      <w:r>
        <w:rPr>
          <w:rStyle w:val="FootnoteReference"/>
          <w:rFonts w:eastAsia="Times New Roman" w:ascii="Times New Roman" w:hAnsi="Times New Roman"/>
          <w:sz w:val="20"/>
          <w:szCs w:val="20"/>
        </w:rPr>
        <w:footnoteReference w:id="2"/>
      </w:r>
      <w:r>
        <w:rPr>
          <w:rFonts w:ascii="Times New Roman" w:hAnsi="Times New Roman"/>
          <w:sz w:val="20"/>
          <w:szCs w:val="20"/>
        </w:rPr>
        <w:t>;</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Допускается замена счет-фактуры и товарной накладной на универсальный передаточный документ (УПД).</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в) счет </w:t>
      </w:r>
      <w:r>
        <w:rPr>
          <w:rFonts w:eastAsia="Times New Roman" w:ascii="Times New Roman" w:hAnsi="Times New Roman"/>
          <w:sz w:val="20"/>
          <w:szCs w:val="20"/>
        </w:rPr>
        <w:t>(со ссылкой на дату и номер Контракта)</w:t>
      </w:r>
      <w:r>
        <w:rPr>
          <w:rFonts w:ascii="Times New Roman" w:hAnsi="Times New Roman"/>
          <w:sz w:val="20"/>
          <w:szCs w:val="20"/>
        </w:rPr>
        <w:t>;</w:t>
      </w:r>
    </w:p>
    <w:p>
      <w:pPr>
        <w:pStyle w:val="defaultStyle"/>
        <w:widowControl w:val="false"/>
        <w:tabs>
          <w:tab w:val="clear" w:pos="708"/>
          <w:tab w:val="left" w:pos="1701" w:leader="none"/>
        </w:tabs>
        <w:spacing w:lineRule="auto" w:line="240" w:before="0" w:after="0"/>
        <w:rPr>
          <w:rFonts w:ascii="Times New Roman" w:hAnsi="Times New Roman"/>
          <w:sz w:val="20"/>
          <w:szCs w:val="20"/>
        </w:rPr>
      </w:pPr>
      <w:r>
        <w:rPr>
          <w:rFonts w:ascii="Times New Roman" w:hAnsi="Times New Roman"/>
          <w:sz w:val="20"/>
          <w:szCs w:val="20"/>
        </w:rPr>
        <w:t xml:space="preserve">г) Акт приема-передачи Товара (в 2 (двух) экземплярах: </w:t>
      </w:r>
      <w:r>
        <w:rPr>
          <w:rFonts w:eastAsia="Times New Roman" w:ascii="Times New Roman" w:hAnsi="Times New Roman"/>
          <w:sz w:val="20"/>
          <w:szCs w:val="20"/>
        </w:rPr>
        <w:t>1 (один) экземпляр для Заказчика, 1 (один) экземпляр для Поставщика</w:t>
      </w:r>
      <w:r>
        <w:rPr>
          <w:rFonts w:ascii="Times New Roman" w:hAnsi="Times New Roman"/>
          <w:sz w:val="20"/>
          <w:szCs w:val="20"/>
        </w:rPr>
        <w:t>, подписанный со Стороны Поставщика</w:t>
      </w:r>
      <w:r>
        <w:rPr>
          <w:rFonts w:eastAsia="Times New Roman" w:ascii="Times New Roman" w:hAnsi="Times New Roman"/>
          <w:sz w:val="20"/>
          <w:szCs w:val="20"/>
        </w:rPr>
        <w:t>;</w:t>
      </w:r>
    </w:p>
    <w:p>
      <w:pPr>
        <w:pStyle w:val="Normal"/>
        <w:tabs>
          <w:tab w:val="clear" w:pos="708"/>
          <w:tab w:val="left" w:pos="1701" w:leader="none"/>
        </w:tabs>
        <w:jc w:val="both"/>
        <w:rPr>
          <w:sz w:val="20"/>
          <w:szCs w:val="20"/>
        </w:rPr>
      </w:pPr>
      <w:r>
        <w:rPr>
          <w:sz w:val="20"/>
          <w:szCs w:val="20"/>
        </w:rPr>
        <w:t>д) копии регистрационных удостоверений на Товар, заверенные в установленном законом порядке</w:t>
      </w:r>
      <w:r>
        <w:rPr>
          <w:rStyle w:val="FootnoteReference"/>
          <w:sz w:val="20"/>
          <w:szCs w:val="20"/>
        </w:rPr>
        <w:footnoteReference w:id="3"/>
      </w:r>
      <w:r>
        <w:rPr>
          <w:sz w:val="20"/>
          <w:szCs w:val="20"/>
        </w:rPr>
        <w:t>;</w:t>
      </w:r>
    </w:p>
    <w:p>
      <w:pPr>
        <w:pStyle w:val="Normal"/>
        <w:tabs>
          <w:tab w:val="clear" w:pos="708"/>
          <w:tab w:val="left" w:pos="1701" w:leader="none"/>
        </w:tabs>
        <w:jc w:val="both"/>
        <w:rPr>
          <w:sz w:val="20"/>
          <w:szCs w:val="20"/>
        </w:rPr>
      </w:pPr>
      <w:r>
        <w:rPr>
          <w:sz w:val="20"/>
          <w:szCs w:val="20"/>
        </w:rPr>
        <w:t>е) копии сертификатов и/или деклараций соответствия на Товар, заверенные в установленном законом порядке;</w:t>
      </w:r>
      <w:r>
        <w:rPr>
          <w:rStyle w:val="FootnoteReference"/>
          <w:sz w:val="20"/>
          <w:szCs w:val="20"/>
        </w:rPr>
        <w:footnoteReference w:id="4"/>
      </w:r>
    </w:p>
    <w:p>
      <w:pPr>
        <w:pStyle w:val="Normal"/>
        <w:tabs>
          <w:tab w:val="clear" w:pos="708"/>
          <w:tab w:val="left" w:pos="1701" w:leader="none"/>
        </w:tabs>
        <w:jc w:val="both"/>
        <w:rPr>
          <w:sz w:val="20"/>
          <w:szCs w:val="20"/>
        </w:rPr>
      </w:pPr>
      <w:r>
        <w:rPr>
          <w:sz w:val="20"/>
          <w:szCs w:val="20"/>
        </w:rPr>
        <w:t>ж) копии санитарно-эпидемиологических заключений на Товар, выданных Роспотребнадзором, заверенные в установленном законом порядке;</w:t>
      </w:r>
      <w:r>
        <w:rPr>
          <w:rStyle w:val="FootnoteReference"/>
          <w:sz w:val="20"/>
          <w:szCs w:val="20"/>
        </w:rPr>
        <w:footnoteReference w:id="5"/>
      </w:r>
    </w:p>
    <w:p>
      <w:pPr>
        <w:pStyle w:val="Normal"/>
        <w:tabs>
          <w:tab w:val="clear" w:pos="708"/>
          <w:tab w:val="left" w:pos="1701" w:leader="none"/>
        </w:tabs>
        <w:jc w:val="both"/>
        <w:rPr>
          <w:sz w:val="20"/>
          <w:szCs w:val="20"/>
        </w:rPr>
      </w:pPr>
      <w:r>
        <w:rPr>
          <w:sz w:val="20"/>
          <w:szCs w:val="20"/>
        </w:rPr>
        <w:t>з) документы, подтверждающие страну происхождения Товара;</w:t>
      </w:r>
    </w:p>
    <w:p>
      <w:pPr>
        <w:pStyle w:val="Normal"/>
        <w:tabs>
          <w:tab w:val="clear" w:pos="708"/>
          <w:tab w:val="left" w:pos="1701" w:leader="none"/>
        </w:tabs>
        <w:jc w:val="both"/>
        <w:rPr>
          <w:sz w:val="20"/>
          <w:szCs w:val="20"/>
        </w:rPr>
      </w:pPr>
      <w:r>
        <w:rPr>
          <w:sz w:val="20"/>
          <w:szCs w:val="20"/>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tabs>
          <w:tab w:val="clear" w:pos="708"/>
          <w:tab w:val="left" w:pos="1701" w:leader="none"/>
        </w:tabs>
        <w:jc w:val="both"/>
        <w:rPr>
          <w:sz w:val="20"/>
          <w:szCs w:val="20"/>
          <w:lang w:eastAsia="en-US"/>
        </w:rPr>
      </w:pPr>
      <w:r>
        <w:rPr>
          <w:sz w:val="20"/>
          <w:szCs w:val="20"/>
        </w:rPr>
        <w:t xml:space="preserve">к) </w:t>
      </w:r>
      <w:r>
        <w:rPr>
          <w:sz w:val="20"/>
          <w:szCs w:val="20"/>
          <w:lang w:eastAsia="en-US"/>
        </w:rPr>
        <w:t>гарантию производителя на Товар, срок действия которой составляет не менее 12 месяцев, оформленную в виде отдельного документа;</w:t>
      </w:r>
    </w:p>
    <w:p>
      <w:pPr>
        <w:pStyle w:val="Normal"/>
        <w:tabs>
          <w:tab w:val="clear" w:pos="708"/>
          <w:tab w:val="left" w:pos="1701" w:leader="none"/>
        </w:tabs>
        <w:jc w:val="both"/>
        <w:rPr>
          <w:sz w:val="20"/>
          <w:szCs w:val="20"/>
        </w:rPr>
      </w:pPr>
      <w:r>
        <w:rPr>
          <w:sz w:val="20"/>
          <w:szCs w:val="20"/>
          <w:lang w:eastAsia="en-US"/>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jc w:val="both"/>
        <w:rPr>
          <w:sz w:val="20"/>
          <w:szCs w:val="20"/>
        </w:rPr>
      </w:pPr>
      <w:r>
        <w:rPr>
          <w:sz w:val="20"/>
          <w:szCs w:val="20"/>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jc w:val="both"/>
        <w:rPr>
          <w:sz w:val="20"/>
          <w:szCs w:val="20"/>
        </w:rPr>
      </w:pPr>
      <w:r>
        <w:rPr>
          <w:sz w:val="20"/>
          <w:szCs w:val="20"/>
        </w:rPr>
      </w:r>
    </w:p>
    <w:p>
      <w:pPr>
        <w:pStyle w:val="Normal"/>
        <w:jc w:val="both"/>
        <w:rPr>
          <w:b/>
          <w:color w:val="0000FF"/>
          <w:sz w:val="20"/>
          <w:szCs w:val="20"/>
          <w:u w:val="single"/>
        </w:rPr>
      </w:pPr>
      <w:r>
        <w:rPr>
          <w:b/>
          <w:sz w:val="20"/>
          <w:szCs w:val="20"/>
        </w:rPr>
        <w:t>4. Срок поставки:</w:t>
      </w:r>
      <w:r>
        <w:rPr>
          <w:sz w:val="20"/>
          <w:szCs w:val="20"/>
        </w:rPr>
        <w:t xml:space="preserve"> </w:t>
      </w:r>
      <w:r>
        <w:rPr>
          <w:rFonts w:eastAsia="Times New Roman" w:cs="Times New Roman"/>
          <w:color w:val="auto"/>
          <w:kern w:val="0"/>
          <w:sz w:val="20"/>
          <w:szCs w:val="20"/>
          <w:lang w:val="ru-RU" w:eastAsia="ru-RU" w:bidi="ar-SA"/>
        </w:rPr>
        <w:t>поставка Товара осуществляется силами и средствами Поставщика с даты заключения Контракта, партиями по заявкам Заказчика в течение 14 (четырнадцати) дней с момента поступления заявки от Заказчика. Заявка направляется на адрес электронной почты поставщика с адреса электронной почты Заказчика apteka-zakaz@eliz-spb.ru.</w:t>
      </w:r>
    </w:p>
    <w:p>
      <w:pPr>
        <w:pStyle w:val="Normal"/>
        <w:jc w:val="both"/>
        <w:rPr>
          <w:sz w:val="20"/>
          <w:szCs w:val="20"/>
        </w:rPr>
      </w:pPr>
      <w:r>
        <w:rPr>
          <w:sz w:val="20"/>
          <w:szCs w:val="20"/>
        </w:rPr>
      </w:r>
    </w:p>
    <w:p>
      <w:pPr>
        <w:pStyle w:val="Normal"/>
        <w:jc w:val="both"/>
        <w:rPr>
          <w:b/>
          <w:sz w:val="20"/>
          <w:szCs w:val="20"/>
        </w:rPr>
      </w:pPr>
      <w:r>
        <w:rPr>
          <w:b/>
          <w:sz w:val="20"/>
          <w:szCs w:val="20"/>
        </w:rPr>
        <w:t>5. Порядок приемки:</w:t>
      </w:r>
    </w:p>
    <w:p>
      <w:pPr>
        <w:pStyle w:val="Normal"/>
        <w:tabs>
          <w:tab w:val="clear" w:pos="708"/>
          <w:tab w:val="left" w:pos="1701" w:leader="none"/>
        </w:tabs>
        <w:jc w:val="both"/>
        <w:rPr>
          <w:sz w:val="20"/>
          <w:szCs w:val="20"/>
        </w:rPr>
      </w:pPr>
      <w:r>
        <w:rPr>
          <w:rFonts w:eastAsia="Calibri"/>
          <w:sz w:val="20"/>
          <w:szCs w:val="20"/>
        </w:rPr>
        <w:t>5.1. Приемка поставленного Товара осуществляется в ходе передачи Товара Заказчику в Месте поставки и включает в себя следующее:</w:t>
      </w:r>
    </w:p>
    <w:p>
      <w:pPr>
        <w:pStyle w:val="Normal"/>
        <w:widowControl w:val="false"/>
        <w:tabs>
          <w:tab w:val="clear" w:pos="708"/>
          <w:tab w:val="left" w:pos="1701" w:leader="none"/>
        </w:tabs>
        <w:jc w:val="both"/>
        <w:rPr>
          <w:rFonts w:eastAsia="Calibri"/>
          <w:sz w:val="20"/>
          <w:szCs w:val="20"/>
        </w:rPr>
      </w:pPr>
      <w:r>
        <w:rPr>
          <w:sz w:val="20"/>
          <w:szCs w:val="20"/>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widowControl w:val="false"/>
        <w:tabs>
          <w:tab w:val="clear" w:pos="708"/>
          <w:tab w:val="left" w:pos="1701" w:leader="none"/>
        </w:tabs>
        <w:jc w:val="both"/>
        <w:rPr>
          <w:sz w:val="20"/>
          <w:szCs w:val="20"/>
        </w:rPr>
      </w:pPr>
      <w:r>
        <w:rPr>
          <w:sz w:val="20"/>
          <w:szCs w:val="20"/>
        </w:rPr>
        <w:t>б) проверку полноты и правильности оформления комплекта сопроводительных документов в соответствии с условиями Контракта;</w:t>
      </w:r>
    </w:p>
    <w:p>
      <w:pPr>
        <w:pStyle w:val="Normal"/>
        <w:widowControl w:val="false"/>
        <w:tabs>
          <w:tab w:val="clear" w:pos="708"/>
          <w:tab w:val="left" w:pos="1701" w:leader="none"/>
        </w:tabs>
        <w:jc w:val="both"/>
        <w:rPr>
          <w:sz w:val="20"/>
          <w:szCs w:val="20"/>
        </w:rPr>
      </w:pPr>
      <w:r>
        <w:rPr>
          <w:sz w:val="20"/>
          <w:szCs w:val="20"/>
        </w:rPr>
        <w:t>в) контроль наличия/отсутствия внешних повреждений транспортной и оригинальной упаковки Товара;</w:t>
      </w:r>
    </w:p>
    <w:p>
      <w:pPr>
        <w:pStyle w:val="Normal"/>
        <w:widowControl w:val="false"/>
        <w:tabs>
          <w:tab w:val="clear" w:pos="708"/>
          <w:tab w:val="left" w:pos="1701" w:leader="none"/>
        </w:tabs>
        <w:jc w:val="both"/>
        <w:rPr>
          <w:sz w:val="20"/>
          <w:szCs w:val="20"/>
        </w:rPr>
      </w:pPr>
      <w:r>
        <w:rPr>
          <w:sz w:val="20"/>
          <w:szCs w:val="20"/>
        </w:rPr>
        <w:t xml:space="preserve">г) </w:t>
      </w:r>
      <w:r>
        <w:rPr>
          <w:rFonts w:eastAsia="Calibri"/>
          <w:sz w:val="20"/>
          <w:szCs w:val="20"/>
        </w:rPr>
        <w:t>проверку наличия необходимых документов (копий документов) на Товар в соответствии с подпунктами «д» - «л» пункта 3 Технического задания;</w:t>
      </w:r>
    </w:p>
    <w:p>
      <w:pPr>
        <w:pStyle w:val="Normal"/>
        <w:tabs>
          <w:tab w:val="clear" w:pos="708"/>
          <w:tab w:val="left" w:pos="1701" w:leader="none"/>
        </w:tabs>
        <w:jc w:val="both"/>
        <w:rPr>
          <w:sz w:val="20"/>
          <w:szCs w:val="20"/>
        </w:rPr>
      </w:pPr>
      <w:r>
        <w:rPr>
          <w:sz w:val="20"/>
          <w:szCs w:val="20"/>
        </w:rPr>
        <w:t>д) проверку целостности поставленного Товара (наличие/отсутствие дефектов непроизводственного характера);</w:t>
      </w:r>
    </w:p>
    <w:p>
      <w:pPr>
        <w:pStyle w:val="Normal"/>
        <w:tabs>
          <w:tab w:val="clear" w:pos="708"/>
          <w:tab w:val="left" w:pos="1701" w:leader="none"/>
        </w:tabs>
        <w:jc w:val="both"/>
        <w:rPr>
          <w:rFonts w:eastAsia="Calibri"/>
          <w:sz w:val="20"/>
          <w:szCs w:val="20"/>
        </w:rPr>
      </w:pPr>
      <w:r>
        <w:rPr>
          <w:rFonts w:eastAsia="Calibri"/>
          <w:sz w:val="20"/>
          <w:szCs w:val="20"/>
        </w:rPr>
        <w:t>е) проверку количества Товара, комплектности Товара, качества Товара и иных требований к Товару, предусмотренных Контрактом.</w:t>
      </w:r>
    </w:p>
    <w:p>
      <w:pPr>
        <w:pStyle w:val="Normal"/>
        <w:jc w:val="both"/>
        <w:rPr>
          <w:rFonts w:eastAsia="Calibri"/>
          <w:sz w:val="20"/>
          <w:szCs w:val="20"/>
        </w:rPr>
      </w:pPr>
      <w:r>
        <w:rPr>
          <w:rFonts w:eastAsia="Calibri"/>
          <w:sz w:val="20"/>
          <w:szCs w:val="20"/>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jc w:val="both"/>
        <w:rPr>
          <w:sz w:val="20"/>
          <w:szCs w:val="20"/>
        </w:rPr>
      </w:pPr>
      <w:r>
        <w:rPr>
          <w:sz w:val="20"/>
          <w:szCs w:val="20"/>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jc w:val="both"/>
        <w:rPr>
          <w:sz w:val="20"/>
          <w:szCs w:val="20"/>
        </w:rPr>
      </w:pPr>
      <w:r>
        <w:rPr>
          <w:sz w:val="20"/>
          <w:szCs w:val="20"/>
        </w:rPr>
        <w:t>5.2.1. В случае отсутствия замечаний, Заказчик подписывает Акт приема-передачи Товара.</w:t>
      </w:r>
    </w:p>
    <w:p>
      <w:pPr>
        <w:pStyle w:val="Normal"/>
        <w:jc w:val="both"/>
        <w:rPr>
          <w:sz w:val="20"/>
          <w:szCs w:val="20"/>
        </w:rPr>
      </w:pPr>
      <w:r>
        <w:rPr>
          <w:sz w:val="20"/>
          <w:szCs w:val="20"/>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jc w:val="both"/>
        <w:rPr>
          <w:sz w:val="20"/>
          <w:szCs w:val="20"/>
        </w:rPr>
      </w:pPr>
      <w:r>
        <w:rPr>
          <w:sz w:val="20"/>
          <w:szCs w:val="20"/>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jc w:val="both"/>
        <w:rPr>
          <w:sz w:val="20"/>
          <w:szCs w:val="20"/>
        </w:rPr>
      </w:pPr>
      <w:r>
        <w:rPr>
          <w:sz w:val="20"/>
          <w:szCs w:val="20"/>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jc w:val="both"/>
        <w:rPr>
          <w:sz w:val="20"/>
          <w:szCs w:val="20"/>
        </w:rPr>
      </w:pPr>
      <w:r>
        <w:rPr>
          <w:sz w:val="20"/>
          <w:szCs w:val="20"/>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jc w:val="both"/>
        <w:rPr>
          <w:sz w:val="20"/>
          <w:szCs w:val="20"/>
        </w:rPr>
      </w:pPr>
      <w:r>
        <w:rPr>
          <w:sz w:val="20"/>
          <w:szCs w:val="20"/>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widowControl w:val="false"/>
        <w:jc w:val="both"/>
        <w:rPr>
          <w:rFonts w:eastAsia="Courier New"/>
          <w:sz w:val="20"/>
          <w:szCs w:val="20"/>
        </w:rPr>
      </w:pPr>
      <w:r>
        <w:rPr>
          <w:sz w:val="20"/>
          <w:szCs w:val="20"/>
        </w:rPr>
        <w:t xml:space="preserve">5.7. </w:t>
      </w:r>
      <w:r>
        <w:rPr>
          <w:rFonts w:eastAsia="Courier New"/>
          <w:sz w:val="20"/>
          <w:szCs w:val="20"/>
        </w:rPr>
        <w:t xml:space="preserve">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w:t>
      </w:r>
      <w:r>
        <w:rPr>
          <w:sz w:val="20"/>
          <w:szCs w:val="20"/>
        </w:rPr>
        <w:t>Экспертиза может проводиться силами Заказчика или к ее проведению могут привлекаться эксперты, экспертные организации.</w:t>
      </w:r>
      <w:r>
        <w:rPr>
          <w:rFonts w:eastAsia="Courier New"/>
          <w:sz w:val="20"/>
          <w:szCs w:val="20"/>
        </w:rPr>
        <w:t xml:space="preserve"> </w:t>
      </w:r>
    </w:p>
    <w:p>
      <w:pPr>
        <w:pStyle w:val="Normal"/>
        <w:widowControl w:val="false"/>
        <w:jc w:val="both"/>
        <w:rPr>
          <w:sz w:val="20"/>
          <w:szCs w:val="20"/>
        </w:rPr>
      </w:pPr>
      <w:r>
        <w:rPr>
          <w:rFonts w:eastAsia="Courier New"/>
          <w:sz w:val="20"/>
          <w:szCs w:val="20"/>
        </w:rPr>
        <w:t xml:space="preserve">5.7.1. При проведении экспертизы Заказчик вправе запрашивать </w:t>
      </w:r>
      <w:r>
        <w:rPr>
          <w:sz w:val="20"/>
          <w:szCs w:val="20"/>
        </w:rPr>
        <w:t>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w:t>
      </w:r>
      <w:r>
        <w:rPr>
          <w:color w:val="000000"/>
          <w:sz w:val="20"/>
          <w:szCs w:val="20"/>
        </w:rPr>
        <w:t xml:space="preserve"> В целях осуществления проверки </w:t>
      </w:r>
      <w:r>
        <w:rPr>
          <w:sz w:val="20"/>
          <w:szCs w:val="20"/>
        </w:rPr>
        <w:t>поставленного Товара</w:t>
      </w:r>
      <w:r>
        <w:rPr>
          <w:color w:val="000000"/>
          <w:sz w:val="20"/>
          <w:szCs w:val="20"/>
        </w:rPr>
        <w:t xml:space="preserve">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widowControl w:val="false"/>
        <w:jc w:val="both"/>
        <w:rPr>
          <w:sz w:val="20"/>
          <w:szCs w:val="20"/>
        </w:rPr>
      </w:pPr>
      <w:r>
        <w:rPr>
          <w:sz w:val="20"/>
          <w:szCs w:val="20"/>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widowControl w:val="false"/>
        <w:jc w:val="both"/>
        <w:rPr>
          <w:sz w:val="20"/>
          <w:szCs w:val="20"/>
        </w:rPr>
      </w:pPr>
      <w:r>
        <w:rPr>
          <w:sz w:val="20"/>
          <w:szCs w:val="20"/>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widowControl w:val="false"/>
        <w:jc w:val="both"/>
        <w:rPr>
          <w:sz w:val="20"/>
          <w:szCs w:val="20"/>
        </w:rPr>
      </w:pPr>
      <w:r>
        <w:rPr>
          <w:sz w:val="20"/>
          <w:szCs w:val="20"/>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jc w:val="both"/>
        <w:rPr>
          <w:sz w:val="20"/>
          <w:szCs w:val="20"/>
        </w:rPr>
      </w:pPr>
      <w:r>
        <w:rPr>
          <w:sz w:val="20"/>
          <w:szCs w:val="20"/>
        </w:rPr>
      </w:r>
    </w:p>
    <w:p>
      <w:pPr>
        <w:pStyle w:val="Normal"/>
        <w:jc w:val="both"/>
        <w:rPr>
          <w:sz w:val="20"/>
          <w:szCs w:val="20"/>
        </w:rPr>
      </w:pPr>
      <w:r>
        <w:rPr>
          <w:b/>
          <w:sz w:val="20"/>
          <w:szCs w:val="20"/>
        </w:rPr>
        <w:t>6. Срок замены некачественного Товара, Гарантийный срок/ срок годности на заменяемый товар</w:t>
      </w:r>
      <w:r>
        <w:rPr>
          <w:sz w:val="20"/>
          <w:szCs w:val="20"/>
        </w:rPr>
        <w:t>:</w:t>
      </w:r>
    </w:p>
    <w:p>
      <w:pPr>
        <w:pStyle w:val="Normal"/>
        <w:tabs>
          <w:tab w:val="clear" w:pos="708"/>
          <w:tab w:val="left" w:pos="567" w:leader="none"/>
        </w:tabs>
        <w:ind w:firstLine="426"/>
        <w:jc w:val="both"/>
        <w:rPr>
          <w:sz w:val="20"/>
          <w:szCs w:val="20"/>
        </w:rPr>
      </w:pPr>
      <w:r>
        <w:rPr>
          <w:sz w:val="20"/>
          <w:szCs w:val="20"/>
        </w:rPr>
        <w:t xml:space="preserve">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Pr>
          <w:sz w:val="20"/>
          <w:szCs w:val="20"/>
          <w:shd w:fill="FFFFFF" w:val="clear"/>
        </w:rPr>
        <w:t xml:space="preserve">которые </w:t>
      </w:r>
      <w:r>
        <w:rPr>
          <w:sz w:val="20"/>
          <w:szCs w:val="20"/>
        </w:rPr>
        <w:t xml:space="preserve">не могли быть обнаружены </w:t>
      </w:r>
      <w:r>
        <w:rPr>
          <w:sz w:val="20"/>
          <w:szCs w:val="20"/>
          <w:shd w:fill="FFFFFF" w:val="clear"/>
        </w:rPr>
        <w:t xml:space="preserve">при обычном способе приемки </w:t>
      </w:r>
      <w:r>
        <w:rPr>
          <w:sz w:val="20"/>
          <w:szCs w:val="20"/>
        </w:rPr>
        <w:t>Товара, и выявлены лишь в процессе обработки, испытания, использования и хранения Товара.</w:t>
      </w:r>
    </w:p>
    <w:p>
      <w:pPr>
        <w:pStyle w:val="Normal"/>
        <w:tabs>
          <w:tab w:val="clear" w:pos="708"/>
          <w:tab w:val="left" w:pos="567" w:leader="none"/>
        </w:tabs>
        <w:ind w:firstLine="426"/>
        <w:jc w:val="both"/>
        <w:rPr>
          <w:sz w:val="20"/>
          <w:szCs w:val="20"/>
        </w:rPr>
      </w:pPr>
      <w:r>
        <w:rPr>
          <w:sz w:val="20"/>
          <w:szCs w:val="20"/>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ind w:firstLine="426"/>
        <w:jc w:val="both"/>
        <w:rPr>
          <w:rFonts w:eastAsia="Calibri"/>
          <w:sz w:val="20"/>
          <w:szCs w:val="20"/>
          <w:lang w:eastAsia="en-US"/>
        </w:rPr>
      </w:pPr>
      <w:r>
        <w:rPr>
          <w:sz w:val="20"/>
          <w:szCs w:val="20"/>
        </w:rPr>
        <w:t xml:space="preserve">6.3. </w:t>
      </w:r>
      <w:r>
        <w:rPr>
          <w:rFonts w:eastAsia="Calibri"/>
          <w:sz w:val="20"/>
          <w:szCs w:val="20"/>
          <w:lang w:eastAsia="en-US"/>
        </w:rPr>
        <w:t>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ind w:firstLine="426"/>
        <w:jc w:val="both"/>
        <w:rPr>
          <w:rFonts w:eastAsia="Calibri"/>
          <w:sz w:val="20"/>
          <w:szCs w:val="20"/>
          <w:lang w:eastAsia="en-US"/>
        </w:rPr>
      </w:pPr>
      <w:r>
        <w:rPr>
          <w:sz w:val="20"/>
          <w:szCs w:val="20"/>
        </w:rPr>
        <w:t xml:space="preserve">6.4. </w:t>
      </w:r>
      <w:r>
        <w:rPr>
          <w:rFonts w:eastAsia="Calibri"/>
          <w:sz w:val="20"/>
          <w:szCs w:val="20"/>
          <w:lang w:eastAsia="en-US"/>
        </w:rPr>
        <w:t>Расходы по возврату Товара, восстановлению, замене Товара, производятся силами и за счет средств Поставщика</w:t>
      </w:r>
    </w:p>
    <w:p>
      <w:pPr>
        <w:pStyle w:val="Normal"/>
        <w:tabs>
          <w:tab w:val="clear" w:pos="708"/>
          <w:tab w:val="left" w:pos="567" w:leader="none"/>
        </w:tabs>
        <w:jc w:val="both"/>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footnotePr>
        <w:numFmt w:val="decimal"/>
      </w:footnotePr>
      <w:type w:val="nextPage"/>
      <w:pgSz w:orient="landscape" w:w="16838" w:h="11906"/>
      <w:pgMar w:left="540" w:right="851"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jc w:val="both"/>
        <w:rPr>
          <w:sz w:val="16"/>
        </w:rPr>
      </w:pPr>
      <w:r>
        <w:rPr>
          <w:rStyle w:val="Style15"/>
        </w:rPr>
        <w:footnoteRef/>
      </w:r>
      <w:r>
        <w:rPr>
          <w:sz w:val="16"/>
        </w:rPr>
        <w:t xml:space="preserve"> </w:t>
      </w:r>
      <w:r>
        <w:rPr>
          <w:sz w:val="16"/>
        </w:rPr>
        <w:t>Не предоставляется в случае применения Поставщиком упрощенной системы налогообложения.</w:t>
      </w:r>
    </w:p>
  </w:footnote>
  <w:footnote w:id="3">
    <w:p>
      <w:pPr>
        <w:pStyle w:val="FootnoteText"/>
        <w:widowControl w:val="false"/>
        <w:jc w:val="both"/>
        <w:rPr>
          <w:sz w:val="16"/>
        </w:rPr>
      </w:pPr>
      <w:r>
        <w:rPr>
          <w:rStyle w:val="Style15"/>
        </w:rPr>
        <w:footnoteRef/>
      </w:r>
      <w:r>
        <w:rPr>
          <w:sz w:val="16"/>
        </w:rPr>
        <w:t xml:space="preserve"> </w:t>
      </w:r>
      <w:r>
        <w:rPr>
          <w:sz w:val="16"/>
        </w:rPr>
        <w:t>Предоставляются в случае, если Товар подлежит государственной регистрации в соответствии с действующим законодательством Российской Федерации.</w:t>
      </w:r>
    </w:p>
  </w:footnote>
  <w:footnote w:id="4">
    <w:p>
      <w:pPr>
        <w:pStyle w:val="FootnoteText"/>
        <w:widowControl w:val="false"/>
        <w:jc w:val="both"/>
        <w:rPr>
          <w:sz w:val="16"/>
        </w:rPr>
      </w:pPr>
      <w:r>
        <w:rPr>
          <w:rStyle w:val="Style15"/>
        </w:rPr>
        <w:footnoteRef/>
      </w:r>
      <w:r>
        <w:rPr>
          <w:sz w:val="16"/>
        </w:rPr>
        <w:t xml:space="preserve"> </w:t>
      </w:r>
      <w:r>
        <w:rPr>
          <w:sz w:val="16"/>
        </w:rPr>
        <w:t>Предоставляются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footnote>
  <w:footnote w:id="5">
    <w:p>
      <w:pPr>
        <w:pStyle w:val="Normal"/>
        <w:widowControl w:val="false"/>
        <w:jc w:val="both"/>
        <w:rPr>
          <w:sz w:val="20"/>
          <w:szCs w:val="20"/>
        </w:rPr>
      </w:pPr>
      <w:r>
        <w:rPr>
          <w:rStyle w:val="Style15"/>
        </w:rPr>
        <w:footnoteRef/>
      </w:r>
      <w:r>
        <w:rPr>
          <w:sz w:val="16"/>
          <w:szCs w:val="20"/>
        </w:rPr>
        <w:t xml:space="preserve"> </w:t>
      </w:r>
      <w:r>
        <w:rPr>
          <w:sz w:val="16"/>
          <w:szCs w:val="20"/>
        </w:rPr>
        <w:t>Предоставляются, если Товар подлежит обязательному подтверждению соответствия продукции государственным санитарно-эпидемиологическим правилам и нормативам видов деятельности (работ, услуг), продукции, в случаях, установленных международными договорами Российской Федерации, международными правовыми актами, Федеральным законом от 30.03.1999 № 52-ФЗ «О санитарно-эпидемиологическом благополучии населения», другими федеральными законами.</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46F4-CF4A-4A6B-B46D-787BA12D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Application>LibreOffice/24.8.4.2$Linux_X86_64 LibreOffice_project/480$Build-2</Application>
  <AppVersion>15.0000</AppVersion>
  <Pages>11</Pages>
  <Words>4514</Words>
  <Characters>32821</Characters>
  <CharactersWithSpaces>37051</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2026-05-21T15:56:54Z</dcterms:modified>
  <cp:revision>108</cp:revision>
  <dc:subject/>
  <dc:title/>
</cp:coreProperties>
</file>

<file path=docProps/custom.xml><?xml version="1.0" encoding="utf-8"?>
<Properties xmlns="http://schemas.openxmlformats.org/officeDocument/2006/custom-properties" xmlns:vt="http://schemas.openxmlformats.org/officeDocument/2006/docPropsVTypes"/>
</file>