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both"/>
        <w:rPr>
          <w:iCs/>
        </w:rPr>
      </w:pPr>
      <w:r>
        <w:rPr>
          <w:iCs/>
        </w:rPr>
      </w:r>
      <w:r>
        <w:rPr>
          <w:iCs/>
        </w:rPr>
      </w:r>
      <w:r>
        <w:rPr>
          <w:iCs/>
        </w:rPr>
      </w:r>
    </w:p>
    <w:p>
      <w:pPr>
        <w:pBdr/>
        <w:spacing/>
        <w:ind/>
        <w:jc w:val="center"/>
        <w:outlineLvl w:val="0"/>
        <w:rPr>
          <w:b/>
          <w:bCs/>
        </w:rPr>
      </w:pPr>
      <w:r>
        <w:rPr>
          <w:b/>
          <w:bCs/>
        </w:rPr>
        <w:t xml:space="preserve"> КОНТРАКТ</w:t>
      </w:r>
      <w:r>
        <w:rPr>
          <w:b/>
          <w:bCs/>
        </w:rPr>
        <w:t xml:space="preserve"> № </w:t>
      </w:r>
      <w:r>
        <w:rPr>
          <w:b/>
          <w:bCs/>
        </w:rPr>
      </w:r>
      <w:r>
        <w:rPr>
          <w:b/>
          <w:bCs/>
        </w:rPr>
      </w:r>
    </w:p>
    <w:p>
      <w:pPr>
        <w:pBdr/>
        <w:spacing/>
        <w:ind/>
        <w:jc w:val="center"/>
        <w:rPr/>
      </w:pPr>
      <w:r/>
      <w:r/>
    </w:p>
    <w:p>
      <w:pPr>
        <w:widowControl w:val="false"/>
        <w:pBdr/>
        <w:spacing/>
        <w:ind/>
        <w:jc w:val="both"/>
        <w:outlineLvl w:val="0"/>
        <w:rPr/>
      </w:pPr>
      <w:r>
        <w:t xml:space="preserve">Санкт-Петербург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</w:t>
      </w:r>
      <w:r>
        <w:t xml:space="preserve"> г.</w:t>
      </w:r>
      <w:r/>
    </w:p>
    <w:p>
      <w:pPr>
        <w:widowControl w:val="false"/>
        <w:pBdr/>
        <w:spacing/>
        <w:ind/>
        <w:jc w:val="both"/>
        <w:rPr/>
      </w:pPr>
      <w:r/>
      <w:r/>
    </w:p>
    <w:p>
      <w:pPr>
        <w:pStyle w:val="913"/>
        <w:pBdr/>
        <w:spacing/>
        <w:ind w:firstLine="567"/>
        <w:rPr/>
      </w:pPr>
      <w:r>
        <w:t xml:space="preserve"> </w:t>
      </w:r>
      <w:r>
        <w:t xml:space="preserve">Государственное бюджетное дошкольное образовательное учреждение </w:t>
      </w:r>
      <w:r>
        <w:rPr>
          <w:b/>
        </w:rPr>
        <w:t xml:space="preserve">детский сад № 20</w:t>
      </w:r>
      <w:r>
        <w:t xml:space="preserve"> комбинированного вида Приморского района  Санкт-Петербурга,  в лице заведующего </w:t>
      </w:r>
      <w:r>
        <w:rPr>
          <w:b/>
        </w:rPr>
        <w:t xml:space="preserve">Скорбящевой Юлии Владимировны</w:t>
      </w:r>
      <w:r>
        <w:t xml:space="preserve">, действующего на основании Устава с одной стороны, </w:t>
      </w:r>
      <w:r>
        <w:t xml:space="preserve">и _______________________</w:t>
      </w:r>
      <w:r>
        <w:t xml:space="preserve"> в лице ___________________</w:t>
      </w:r>
      <w:r>
        <w:t xml:space="preserve">, действующего на основании </w:t>
      </w:r>
      <w:r>
        <w:t xml:space="preserve">____________</w:t>
      </w:r>
      <w:r>
        <w:t xml:space="preserve">, именуемое в дальнейшем «Поставщик», с другой стороны, вместе именуемые «Стороны», заключили настоящий  контракт (далее – контракт) о нижеследующем:</w:t>
      </w:r>
      <w:r/>
    </w:p>
    <w:p>
      <w:pPr>
        <w:pStyle w:val="913"/>
        <w:pBdr/>
        <w:spacing/>
        <w:ind w:firstLine="539"/>
        <w:jc w:val="center"/>
        <w:rPr>
          <w:b/>
          <w:bCs/>
          <w:caps/>
        </w:rPr>
      </w:pPr>
      <w:r>
        <w:rPr>
          <w:b/>
          <w:bCs/>
          <w:caps/>
        </w:rPr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913"/>
        <w:numPr>
          <w:ilvl w:val="0"/>
          <w:numId w:val="6"/>
        </w:numPr>
        <w:pBdr/>
        <w:spacing/>
        <w:ind/>
        <w:jc w:val="center"/>
        <w:rPr>
          <w:b/>
          <w:bCs/>
          <w:caps/>
        </w:rPr>
      </w:pPr>
      <w:r>
        <w:rPr>
          <w:b/>
          <w:bCs/>
          <w:caps/>
        </w:rPr>
        <w:t xml:space="preserve">Предмет КОНТРАКТА</w:t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913"/>
        <w:numPr>
          <w:ilvl w:val="0"/>
          <w:numId w:val="0"/>
        </w:numPr>
        <w:pBdr/>
        <w:spacing/>
        <w:ind w:left="899"/>
        <w:rPr>
          <w:b/>
          <w:bCs/>
          <w:caps/>
        </w:rPr>
      </w:pPr>
      <w:r>
        <w:rPr>
          <w:b/>
          <w:bCs/>
          <w:caps/>
        </w:rPr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widowControl w:val="false"/>
        <w:pBdr/>
        <w:spacing/>
        <w:ind w:firstLine="567"/>
        <w:jc w:val="both"/>
        <w:rPr>
          <w:rFonts w:eastAsia="Arial Unicode MS"/>
          <w:color w:val="000000"/>
        </w:rPr>
      </w:pPr>
      <w:r>
        <w:t xml:space="preserve">1.1. Предметом настоящего Контракта является поставка </w:t>
      </w:r>
      <w:r>
        <w:t xml:space="preserve">воды бутилированной</w:t>
      </w:r>
      <w:r>
        <w:t xml:space="preserve"> (далее-товар) </w:t>
      </w:r>
      <w:r>
        <w:t xml:space="preserve">для нужд</w:t>
      </w:r>
      <w:r>
        <w:t xml:space="preserve"> </w:t>
      </w:r>
      <w:r>
        <w:t xml:space="preserve">ГБДОУ детского сада №20</w:t>
      </w:r>
      <w:r>
        <w:t xml:space="preserve"> </w:t>
      </w:r>
      <w:r>
        <w:t xml:space="preserve">Приморского района Санкт-Петербурга </w:t>
      </w:r>
      <w:r>
        <w:t xml:space="preserve">в 202</w:t>
      </w:r>
      <w:r>
        <w:t xml:space="preserve">6 году.                                                                  </w:t>
      </w:r>
      <w:r>
        <w:rPr>
          <w:rFonts w:eastAsia="Arial Unicode MS"/>
          <w:color w:val="000000"/>
        </w:rPr>
      </w:r>
      <w:r>
        <w:rPr>
          <w:rFonts w:eastAsia="Arial Unicode MS"/>
          <w:color w:val="000000"/>
        </w:rPr>
      </w:r>
    </w:p>
    <w:p>
      <w:pPr>
        <w:widowControl w:val="false"/>
        <w:pBdr/>
        <w:spacing/>
        <w:ind w:firstLine="567"/>
        <w:jc w:val="both"/>
        <w:rPr/>
      </w:pPr>
      <w:r>
        <w:t xml:space="preserve">1.2. Наименование, технические характеристики и количество Товара указаны в </w:t>
      </w:r>
      <w:r>
        <w:t xml:space="preserve">Приложении № 1 (Техническое задание) и </w:t>
      </w:r>
      <w:r>
        <w:t xml:space="preserve">Приложении № 2 (спецификация товара)</w:t>
      </w:r>
      <w:r>
        <w:t xml:space="preserve"> </w:t>
      </w:r>
      <w:r>
        <w:t xml:space="preserve">являющемся неотъемлемой частью настоящего Контракта.</w:t>
      </w:r>
      <w:r/>
    </w:p>
    <w:p>
      <w:pPr>
        <w:widowControl w:val="false"/>
        <w:pBdr/>
        <w:spacing/>
        <w:ind w:firstLine="567"/>
        <w:jc w:val="both"/>
        <w:rPr/>
      </w:pPr>
      <w:r>
        <w:t xml:space="preserve">1.3</w:t>
      </w:r>
      <w:r>
        <w:t xml:space="preserve"> </w:t>
      </w:r>
      <w:r>
        <w:t xml:space="preserve">Качество товара, поставляемого по настоящему Контракту, должно подтверждаться сертификатами качества иными документами в соответствии с действующим законодательством.</w:t>
      </w:r>
      <w:r/>
    </w:p>
    <w:p>
      <w:pPr>
        <w:pStyle w:val="913"/>
        <w:pBdr/>
        <w:spacing/>
        <w:ind w:firstLine="539"/>
        <w:jc w:val="center"/>
        <w:rPr>
          <w:b/>
          <w:bCs/>
          <w:caps/>
        </w:rPr>
      </w:pPr>
      <w:r>
        <w:rPr>
          <w:b/>
          <w:bCs/>
          <w:caps/>
        </w:rPr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913"/>
        <w:numPr>
          <w:ilvl w:val="0"/>
          <w:numId w:val="6"/>
        </w:numPr>
        <w:pBdr/>
        <w:spacing/>
        <w:ind/>
        <w:jc w:val="center"/>
        <w:rPr>
          <w:b/>
          <w:bCs/>
          <w:caps/>
        </w:rPr>
      </w:pPr>
      <w:r/>
      <w:bookmarkStart w:id="0" w:name="_Hlk84415118"/>
      <w:r>
        <w:rPr>
          <w:b/>
          <w:bCs/>
          <w:caps/>
        </w:rPr>
        <w:t xml:space="preserve">Срок ПОСТАВКИ ТОВАРА</w:t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913"/>
        <w:numPr>
          <w:ilvl w:val="0"/>
          <w:numId w:val="0"/>
        </w:numPr>
        <w:pBdr/>
        <w:spacing/>
        <w:ind w:left="899"/>
        <w:rPr>
          <w:b/>
          <w:bCs/>
          <w:caps/>
        </w:rPr>
      </w:pPr>
      <w:r>
        <w:rPr>
          <w:b/>
          <w:bCs/>
          <w:caps/>
        </w:rPr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pBdr/>
        <w:spacing/>
        <w:ind/>
        <w:jc w:val="both"/>
        <w:rPr/>
      </w:pPr>
      <w:r>
        <w:t xml:space="preserve">         </w:t>
      </w:r>
      <w:r>
        <w:t xml:space="preserve">2.1. </w:t>
      </w:r>
      <w:r>
        <w:t xml:space="preserve">Поставка Товара осуществляется ежемесячно партиями по заявкам За</w:t>
      </w:r>
      <w:r>
        <w:t xml:space="preserve">казчика по рабочим дням</w:t>
      </w:r>
      <w:r>
        <w:t xml:space="preserve">.</w:t>
      </w:r>
      <w:r/>
    </w:p>
    <w:p>
      <w:pPr>
        <w:widowControl w:val="false"/>
        <w:pBdr/>
        <w:tabs>
          <w:tab w:val="left" w:leader="none" w:pos="426"/>
        </w:tabs>
        <w:spacing/>
        <w:ind w:right="-5"/>
        <w:jc w:val="both"/>
        <w:rPr/>
      </w:pPr>
      <w:r>
        <w:t xml:space="preserve"> </w:t>
      </w:r>
      <w:r>
        <w:t xml:space="preserve">         </w:t>
      </w:r>
      <w:r>
        <w:t xml:space="preserve">2.2. Место поставки товара: </w:t>
      </w:r>
      <w:r/>
    </w:p>
    <w:p>
      <w:pPr>
        <w:widowControl w:val="false"/>
        <w:pBdr/>
        <w:tabs>
          <w:tab w:val="left" w:leader="none" w:pos="426"/>
        </w:tabs>
        <w:spacing/>
        <w:ind w:right="-5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-с даты подписания контракта по 31.05.202</w:t>
      </w:r>
      <w:r>
        <w:rPr>
          <w:rFonts w:eastAsia="Calibri"/>
          <w:sz w:val="22"/>
          <w:szCs w:val="22"/>
        </w:rPr>
        <w:t xml:space="preserve">6 Санкт-Петербург, ул. Дибуновская, д.10, лит А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widowControl w:val="false"/>
        <w:pBdr/>
        <w:tabs>
          <w:tab w:val="left" w:leader="none" w:pos="426"/>
        </w:tabs>
        <w:spacing/>
        <w:ind w:right="-5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-с 01.06.202</w:t>
      </w:r>
      <w:r>
        <w:rPr>
          <w:rFonts w:eastAsia="Calibri"/>
          <w:sz w:val="22"/>
          <w:szCs w:val="22"/>
        </w:rPr>
        <w:t xml:space="preserve">6 по 31.08.202</w:t>
      </w:r>
      <w:r>
        <w:rPr>
          <w:rFonts w:eastAsia="Calibri"/>
          <w:sz w:val="22"/>
          <w:szCs w:val="22"/>
        </w:rPr>
        <w:t xml:space="preserve">6 Санкт-Петербург, пос. Солнечное, </w:t>
      </w:r>
      <w:r>
        <w:rPr>
          <w:rFonts w:eastAsia="Calibri"/>
          <w:sz w:val="22"/>
          <w:szCs w:val="22"/>
        </w:rPr>
        <w:t xml:space="preserve">ул</w:t>
      </w:r>
      <w:r>
        <w:rPr>
          <w:rFonts w:eastAsia="Calibri"/>
          <w:sz w:val="22"/>
          <w:szCs w:val="22"/>
        </w:rPr>
        <w:t xml:space="preserve"> Дачная, д.2, лит А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widowControl w:val="false"/>
        <w:pBdr/>
        <w:tabs>
          <w:tab w:val="left" w:leader="none" w:pos="426"/>
        </w:tabs>
        <w:spacing/>
        <w:ind w:right="-5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-с 01.09.202</w:t>
      </w:r>
      <w:r>
        <w:rPr>
          <w:rFonts w:eastAsia="Calibri"/>
          <w:sz w:val="22"/>
          <w:szCs w:val="22"/>
        </w:rPr>
        <w:t xml:space="preserve">6 по 31.12.202</w:t>
      </w:r>
      <w:r>
        <w:rPr>
          <w:rFonts w:eastAsia="Calibri"/>
          <w:sz w:val="22"/>
          <w:szCs w:val="22"/>
        </w:rPr>
        <w:t xml:space="preserve">6 Санкт-Петербург, ул. Дибуновская, д.10, лит А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widowControl w:val="false"/>
        <w:pBdr/>
        <w:tabs>
          <w:tab w:val="left" w:leader="none" w:pos="426"/>
        </w:tabs>
        <w:spacing/>
        <w:ind w:right="-5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-с даты подписания контракта по </w:t>
      </w:r>
      <w:r>
        <w:rPr>
          <w:rFonts w:eastAsia="Calibri"/>
          <w:sz w:val="22"/>
          <w:szCs w:val="22"/>
        </w:rPr>
        <w:t xml:space="preserve">31.05.202</w:t>
      </w:r>
      <w:r>
        <w:rPr>
          <w:rFonts w:eastAsia="Calibri"/>
          <w:sz w:val="22"/>
          <w:szCs w:val="22"/>
        </w:rPr>
        <w:t xml:space="preserve">6</w:t>
      </w:r>
      <w:r/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  <w:t xml:space="preserve"> Санкт-Петербург, ул. Савушкина, д.49, лит А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widowControl w:val="false"/>
        <w:pBdr/>
        <w:tabs>
          <w:tab w:val="left" w:leader="none" w:pos="426"/>
        </w:tabs>
        <w:spacing/>
        <w:ind w:right="-5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- с 01.09.202</w:t>
      </w:r>
      <w:r>
        <w:rPr>
          <w:rFonts w:eastAsia="Calibri"/>
          <w:sz w:val="22"/>
          <w:szCs w:val="22"/>
        </w:rPr>
        <w:t xml:space="preserve">6 по 31.12.202</w:t>
      </w:r>
      <w:r>
        <w:rPr>
          <w:rFonts w:eastAsia="Calibri"/>
          <w:sz w:val="22"/>
          <w:szCs w:val="22"/>
        </w:rPr>
        <w:t xml:space="preserve">6 Санкт-Петербург, ул. Савушкина, д.49, лит А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Bdr/>
        <w:spacing/>
        <w:ind w:firstLine="567"/>
        <w:jc w:val="both"/>
        <w:rPr/>
      </w:pPr>
      <w:r>
        <w:t xml:space="preserve">2.3. Время поставки: по рабочим дням с 9:00 до 17:00</w:t>
      </w:r>
      <w:r>
        <w:t xml:space="preserve"> (перерыв на обед с 13:00 до 14:00)</w:t>
      </w:r>
      <w:r>
        <w:t xml:space="preserve">,</w:t>
      </w:r>
      <w:r>
        <w:t xml:space="preserve"> </w:t>
      </w:r>
      <w:r>
        <w:t xml:space="preserve">дата по согласованию с Заказчиком.</w:t>
      </w:r>
      <w:r/>
    </w:p>
    <w:p>
      <w:pPr>
        <w:pBdr/>
        <w:spacing/>
        <w:ind w:firstLine="567"/>
        <w:jc w:val="both"/>
        <w:rPr/>
      </w:pPr>
      <w:r>
        <w:t xml:space="preserve">2.4. Контактное лицо: </w:t>
      </w:r>
      <w:r>
        <w:t xml:space="preserve">Сергеева Ольга Ивановна</w:t>
      </w:r>
      <w:r>
        <w:t xml:space="preserve">         </w:t>
      </w:r>
      <w:bookmarkEnd w:id="0"/>
      <w:r/>
      <w:r/>
    </w:p>
    <w:p>
      <w:pPr>
        <w:widowControl w:val="false"/>
        <w:pBdr/>
        <w:spacing/>
        <w:ind w:firstLine="709"/>
        <w:jc w:val="both"/>
        <w:rPr/>
      </w:pPr>
      <w:r/>
      <w:r/>
    </w:p>
    <w:p>
      <w:pPr>
        <w:pStyle w:val="926"/>
        <w:widowControl w:val="false"/>
        <w:numPr>
          <w:ilvl w:val="0"/>
          <w:numId w:val="6"/>
        </w:numPr>
        <w:pBdr/>
        <w:spacing/>
        <w:ind/>
        <w:jc w:val="center"/>
        <w:rPr>
          <w:i/>
        </w:rPr>
      </w:pPr>
      <w:r>
        <w:rPr>
          <w:b/>
          <w:bCs/>
          <w:caps/>
        </w:rPr>
        <w:t xml:space="preserve">Права и обязанности сторон</w:t>
      </w:r>
      <w:r>
        <w:rPr>
          <w:i/>
        </w:rPr>
        <w:t xml:space="preserve"> </w:t>
      </w:r>
      <w:r>
        <w:rPr>
          <w:i/>
        </w:rPr>
      </w:r>
      <w:r>
        <w:rPr>
          <w:i/>
        </w:rPr>
      </w:r>
    </w:p>
    <w:p>
      <w:pPr>
        <w:pStyle w:val="926"/>
        <w:widowControl w:val="false"/>
        <w:pBdr/>
        <w:spacing/>
        <w:ind w:left="899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widowControl w:val="false"/>
        <w:pBdr/>
        <w:spacing/>
        <w:ind w:firstLine="709"/>
        <w:rPr>
          <w:i/>
        </w:rPr>
      </w:pPr>
      <w:r>
        <w:rPr>
          <w:i/>
        </w:rPr>
        <w:t xml:space="preserve">3.1.  Заказчик обязан: </w:t>
      </w:r>
      <w:r>
        <w:rPr>
          <w:i/>
        </w:rPr>
      </w:r>
      <w:r>
        <w:rPr>
          <w:i/>
        </w:rPr>
      </w:r>
    </w:p>
    <w:p>
      <w:pPr>
        <w:widowControl w:val="false"/>
        <w:pBdr/>
        <w:spacing/>
        <w:ind w:firstLine="567"/>
        <w:jc w:val="both"/>
        <w:rPr/>
      </w:pPr>
      <w:r>
        <w:t xml:space="preserve">3.1.1. Заказчик обязан принять от Поставщика товар по акту приёма-передачи, накладной и счету-фактуре, в сроки указанные в </w:t>
      </w:r>
      <w:r>
        <w:t xml:space="preserve">п</w:t>
      </w:r>
      <w:r>
        <w:t xml:space="preserve">. 5 контракта.</w:t>
      </w:r>
      <w:r/>
    </w:p>
    <w:p>
      <w:pPr>
        <w:widowControl w:val="false"/>
        <w:pBdr/>
        <w:spacing/>
        <w:ind w:firstLine="567"/>
        <w:jc w:val="both"/>
        <w:rPr/>
      </w:pPr>
      <w:r>
        <w:t xml:space="preserve">3.1.2. Обнаружив после приемки Товара недостатки, которые не могли быть установлены при обычном способе приемки (скрытые недостатки), известить об этом Поставщика в течение 14 дней.</w:t>
      </w:r>
      <w:r/>
    </w:p>
    <w:p>
      <w:pPr>
        <w:widowControl w:val="false"/>
        <w:numPr>
          <w:ilvl w:val="2"/>
          <w:numId w:val="2"/>
        </w:numPr>
        <w:pBdr/>
        <w:spacing/>
        <w:ind w:firstLine="709" w:left="0"/>
        <w:jc w:val="both"/>
        <w:rPr/>
      </w:pPr>
      <w:r>
        <w:t xml:space="preserve">Обеспечить Поставщику оплату поставленного Товара в случае надлежащего исполнения обязательств по контракту в порядке и </w:t>
      </w:r>
      <w:r>
        <w:t xml:space="preserve">на</w:t>
      </w:r>
      <w:r>
        <w:t xml:space="preserve"> </w:t>
      </w:r>
      <w:r>
        <w:t xml:space="preserve">условиях</w:t>
      </w:r>
      <w:r>
        <w:t xml:space="preserve"> предусмотренных контрактом. </w:t>
      </w:r>
      <w:r/>
    </w:p>
    <w:p>
      <w:pPr>
        <w:widowControl w:val="false"/>
        <w:numPr>
          <w:ilvl w:val="2"/>
          <w:numId w:val="2"/>
        </w:numPr>
        <w:pBdr/>
        <w:spacing/>
        <w:ind w:firstLine="709" w:left="0"/>
        <w:jc w:val="both"/>
        <w:rPr/>
      </w:pPr>
      <w:r>
        <w:t xml:space="preserve">Информировать Поставщика об изменении </w:t>
      </w:r>
      <w:r>
        <w:t xml:space="preserve">своего  адреса</w:t>
      </w:r>
      <w:r>
        <w:t xml:space="preserve">  и  реквизитов.</w:t>
      </w:r>
      <w:r/>
    </w:p>
    <w:p>
      <w:pPr>
        <w:widowControl w:val="false"/>
        <w:pBdr/>
        <w:spacing/>
        <w:ind w:firstLine="709"/>
        <w:jc w:val="both"/>
        <w:rPr>
          <w:i/>
        </w:rPr>
      </w:pPr>
      <w:r>
        <w:rPr>
          <w:i/>
        </w:rPr>
        <w:t xml:space="preserve">3.2.  Заказчик имеет право:</w:t>
      </w:r>
      <w:r>
        <w:rPr>
          <w:i/>
        </w:rPr>
      </w:r>
      <w:r>
        <w:rPr>
          <w:i/>
        </w:rPr>
      </w:r>
    </w:p>
    <w:p>
      <w:pPr>
        <w:widowControl w:val="false"/>
        <w:pBdr/>
        <w:spacing/>
        <w:ind w:firstLine="709"/>
        <w:jc w:val="both"/>
        <w:rPr/>
      </w:pPr>
      <w:r>
        <w:t xml:space="preserve">3.2.1. Требовать от Поставщика надлежащего выполнения обязательств по настоящему Контракту. 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З.2.2. Осуществлять контроль за порядком и сроками поставки товаров, соответствующих требованиям контракта.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3.2.3. Требовать предоставления надлежащим образом оформленных отчётных и финансовых документов, подтверждающих исполнение обязательств, в соответствии с контрактом.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3.2.4. Запрашивать информацию о ходе и состоянии исполнения обязательств по контракту.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3.2.5. Отказаться от принятия Товара ненадлежащего качества, уведомив об этом Поставщика.</w:t>
      </w:r>
      <w:r/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/>
      </w:pPr>
      <w:r>
        <w:t xml:space="preserve">3.2.6. Не оплачивать товар, не соответствующий условиям настоящего контракта.</w:t>
      </w:r>
      <w:r/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t xml:space="preserve">3.2.7. П</w:t>
      </w:r>
      <w:r>
        <w:rPr>
          <w:bCs/>
        </w:rPr>
        <w:t xml:space="preserve">редъявлять Поставщику претензии,</w:t>
      </w:r>
      <w:r>
        <w:t xml:space="preserve"> связанные с недостатками поставленного Товара по техническим характеристикам, количеству и комплектности обнаруженные </w:t>
      </w:r>
      <w:r>
        <w:t xml:space="preserve">при  приемке</w:t>
      </w:r>
      <w:r>
        <w:t xml:space="preserve"> Товара, по качеству - в течение гарантийного срока, установленного</w:t>
      </w:r>
      <w:r>
        <w:rPr>
          <w:bCs/>
        </w:rPr>
        <w:t xml:space="preserve"> в п. 6.1 настоящего Контракта.</w:t>
      </w:r>
      <w:r>
        <w:rPr>
          <w:bCs/>
        </w:rPr>
      </w:r>
      <w:r>
        <w:rPr>
          <w:bCs/>
        </w:rPr>
      </w:r>
    </w:p>
    <w:p>
      <w:pPr>
        <w:pBdr/>
        <w:tabs>
          <w:tab w:val="left" w:leader="none" w:pos="900"/>
        </w:tabs>
        <w:spacing/>
        <w:ind w:firstLine="720"/>
        <w:jc w:val="both"/>
        <w:rPr/>
      </w:pPr>
      <w:r>
        <w:t xml:space="preserve">3.2.8. В соответствии с действующим гражданским законодательством принять решение об одностороннем отказе от исполнения контракта. Заказчик вправе произвести экспертизу поставленного Товара с привлечением эксперто</w:t>
      </w:r>
      <w:r>
        <w:t xml:space="preserve">в, экспертных организаций до принятия решения об одностороннем отказе от исполнения Контракта. Если Заказчиком проведена экспертиза Товара с привлечением экспертов, экспертных организаций, решение об одностороннем отказе от исполнения контракта может быть </w:t>
      </w:r>
      <w:r>
        <w:t xml:space="preserve">принято Заказчиком только по результатам экспертизы поставленного Товара, если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  <w:r/>
    </w:p>
    <w:p>
      <w:pPr>
        <w:pBdr/>
        <w:tabs>
          <w:tab w:val="left" w:leader="none" w:pos="900"/>
        </w:tabs>
        <w:spacing/>
        <w:ind w:firstLine="720"/>
        <w:jc w:val="both"/>
        <w:rPr/>
      </w:pPr>
      <w:r/>
      <w:r/>
    </w:p>
    <w:p>
      <w:pPr>
        <w:widowControl w:val="false"/>
        <w:pBdr/>
        <w:spacing/>
        <w:ind w:firstLine="709"/>
        <w:jc w:val="both"/>
        <w:rPr>
          <w:i/>
        </w:rPr>
      </w:pPr>
      <w:r>
        <w:rPr>
          <w:i/>
        </w:rPr>
        <w:t xml:space="preserve">3.3. Поставщик обязан:</w:t>
      </w:r>
      <w:r>
        <w:rPr>
          <w:i/>
        </w:rPr>
      </w:r>
      <w:r>
        <w:rPr>
          <w:i/>
        </w:rPr>
      </w:r>
    </w:p>
    <w:p>
      <w:pPr>
        <w:pBdr/>
        <w:spacing/>
        <w:ind w:firstLine="709"/>
        <w:jc w:val="both"/>
        <w:rPr/>
      </w:pPr>
      <w:r>
        <w:t xml:space="preserve">3.3.1. Поставщик обязан поставить Заказчику </w:t>
      </w:r>
      <w:r>
        <w:t xml:space="preserve">товар  в</w:t>
      </w:r>
      <w:r>
        <w:t xml:space="preserve"> срок, указанный в разделе 2 настоящего Контракта.</w:t>
      </w:r>
      <w:r/>
    </w:p>
    <w:p>
      <w:pPr>
        <w:pBdr/>
        <w:spacing/>
        <w:ind w:firstLine="709"/>
        <w:jc w:val="both"/>
        <w:rPr/>
      </w:pPr>
      <w:r>
        <w:t xml:space="preserve">3.3.2. Осуществить поставку, погрузо-разгрузочные работы Товара в сроки, указанные в п.п.2.1 настоящего Контракта.</w:t>
      </w:r>
      <w:r/>
    </w:p>
    <w:p>
      <w:pPr>
        <w:pBdr/>
        <w:spacing/>
        <w:ind w:firstLine="709"/>
        <w:jc w:val="both"/>
        <w:rPr/>
      </w:pPr>
      <w:r>
        <w:t xml:space="preserve">3.3.3. Определяя дату поставки товара учитывать, что Заказчик в течение 3 рабочих дней осуществляет экспертизу поставленного товара.</w:t>
      </w:r>
      <w:r/>
    </w:p>
    <w:p>
      <w:pPr>
        <w:pBdr/>
        <w:spacing/>
        <w:ind w:firstLine="709"/>
        <w:jc w:val="both"/>
        <w:rPr/>
      </w:pPr>
      <w:r>
        <w:t xml:space="preserve">3.3.4. За 2 рабочих дня уведомить Заказчика о готовности Товара к поставке, назначить ответственного представителя со своей стороны за оформление сдачи-приемки поставленного Товара и указать время доставки Товара. </w:t>
      </w:r>
      <w:r/>
    </w:p>
    <w:p>
      <w:pPr>
        <w:pBdr/>
        <w:spacing/>
        <w:ind w:firstLine="709"/>
        <w:jc w:val="both"/>
        <w:rPr/>
      </w:pPr>
      <w:r>
        <w:t xml:space="preserve">3.3.5. </w:t>
      </w:r>
      <w:r>
        <w:t xml:space="preserve">Поставляемый  Товар</w:t>
      </w:r>
      <w:r>
        <w:t xml:space="preserve"> должен быть новым (Товар, который не был в употреблении, не прошел восстановление потребительских свойств). Весь Товар должен быть свободным от прав третьих лиц, не находится в залоге, под арестом или иным обременением.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3.3.6. </w:t>
      </w:r>
      <w:r>
        <w:t xml:space="preserve">Качество поставляемого Товара должно удовлетворять соответствующим требованиям следующих нормативных документов:</w:t>
      </w:r>
      <w:r/>
    </w:p>
    <w:p>
      <w:pPr>
        <w:widowControl w:val="false"/>
        <w:numPr>
          <w:ilvl w:val="0"/>
          <w:numId w:val="4"/>
        </w:numPr>
        <w:pBdr/>
        <w:spacing/>
        <w:ind/>
        <w:jc w:val="both"/>
        <w:rPr/>
      </w:pPr>
      <w:r>
        <w:t xml:space="preserve">Закон РФ «О защите прав потребителей» от </w:t>
      </w:r>
      <w:r>
        <w:t xml:space="preserve">07.02.1992  N</w:t>
      </w:r>
      <w:r>
        <w:t xml:space="preserve"> 2300-1;</w:t>
      </w:r>
      <w:r/>
    </w:p>
    <w:p>
      <w:pPr>
        <w:widowControl w:val="false"/>
        <w:numPr>
          <w:ilvl w:val="0"/>
          <w:numId w:val="4"/>
        </w:numPr>
        <w:pBdr/>
        <w:spacing/>
        <w:ind/>
        <w:jc w:val="both"/>
        <w:rPr/>
      </w:pPr>
      <w:r>
        <w:t xml:space="preserve">Федеральный закон РФ «Об охране окружающей среды» от 10.01.2002 г. № 7-ФЗ;</w:t>
      </w:r>
      <w:r/>
    </w:p>
    <w:p>
      <w:pPr>
        <w:widowControl w:val="false"/>
        <w:numPr>
          <w:ilvl w:val="0"/>
          <w:numId w:val="4"/>
        </w:numPr>
        <w:pBdr/>
        <w:spacing/>
        <w:ind/>
        <w:jc w:val="both"/>
        <w:rPr/>
      </w:pPr>
      <w:r>
        <w:t xml:space="preserve">Федеральный закон РФ «О санитарно-эпидемиологическом благополучии населения» от 30.03.1999 г. № 52-ФЗ;</w:t>
      </w:r>
      <w:r/>
    </w:p>
    <w:p>
      <w:pPr>
        <w:widowControl w:val="false"/>
        <w:numPr>
          <w:ilvl w:val="0"/>
          <w:numId w:val="4"/>
        </w:numPr>
        <w:pBdr/>
        <w:spacing/>
        <w:ind/>
        <w:jc w:val="both"/>
        <w:rPr/>
      </w:pPr>
      <w:r>
        <w:t xml:space="preserve">ГОСТ Р 52109-2003;</w:t>
      </w:r>
      <w:r/>
    </w:p>
    <w:p>
      <w:pPr>
        <w:widowControl w:val="false"/>
        <w:numPr>
          <w:ilvl w:val="0"/>
          <w:numId w:val="4"/>
        </w:numPr>
        <w:pBdr/>
        <w:spacing/>
        <w:ind/>
        <w:jc w:val="both"/>
        <w:rPr/>
      </w:pPr>
      <w:r>
        <w:t xml:space="preserve">ГОСТ 32220-2013;</w:t>
      </w:r>
      <w:r/>
    </w:p>
    <w:p>
      <w:pPr>
        <w:widowControl w:val="false"/>
        <w:numPr>
          <w:ilvl w:val="0"/>
          <w:numId w:val="4"/>
        </w:numPr>
        <w:pBdr/>
        <w:spacing/>
        <w:ind/>
        <w:jc w:val="both"/>
        <w:rPr/>
      </w:pPr>
      <w:r>
        <w:t xml:space="preserve">СанПиН 2.1.4.1116-02 «Питьевая вода. Гигиенические требования к качеству воды, расфасованной в емкости. Контроль качества»;</w:t>
      </w:r>
      <w:r/>
    </w:p>
    <w:p>
      <w:pPr>
        <w:widowControl w:val="false"/>
        <w:numPr>
          <w:ilvl w:val="0"/>
          <w:numId w:val="4"/>
        </w:numPr>
        <w:pBdr/>
        <w:spacing/>
        <w:ind/>
        <w:jc w:val="both"/>
        <w:rPr/>
      </w:pPr>
      <w:r>
        <w:t xml:space="preserve">СанПин 2.3.2.1078-01 «Гигиенические требования безопасности и пищевой </w:t>
      </w:r>
      <w:r>
        <w:t xml:space="preserve">ценности  пищевых</w:t>
      </w:r>
      <w:r>
        <w:t xml:space="preserve"> продуктов»;</w:t>
      </w:r>
      <w:r/>
    </w:p>
    <w:p>
      <w:pPr>
        <w:widowControl w:val="false"/>
        <w:numPr>
          <w:ilvl w:val="0"/>
          <w:numId w:val="4"/>
        </w:numPr>
        <w:pBdr/>
        <w:spacing/>
        <w:ind/>
        <w:jc w:val="both"/>
        <w:rPr/>
      </w:pPr>
      <w:r>
        <w:t xml:space="preserve">СанПин 2.3.2.1324-03 «Гигиенические требования к срокам годности и условиям хранения пищевых продуктов».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3.3.7. Передать надлежащим образом оформленные отчётные и финансовые документы в порядке и сроки, установленные контрактом.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3.3.8. Предоставить по запросу заказчика </w:t>
      </w:r>
      <w:r>
        <w:t xml:space="preserve">в сроки</w:t>
      </w:r>
      <w:r>
        <w:t xml:space="preserve"> указанные в запросе, информацию о ходе исполнения обязательств по контракту.</w:t>
      </w:r>
      <w:r/>
    </w:p>
    <w:p>
      <w:pPr>
        <w:widowControl w:val="false"/>
        <w:pBdr/>
        <w:spacing/>
        <w:ind w:firstLine="709"/>
        <w:jc w:val="both"/>
        <w:rPr>
          <w:bCs/>
        </w:rPr>
      </w:pPr>
      <w:r>
        <w:t xml:space="preserve">3.3.9. </w:t>
      </w:r>
      <w:r>
        <w:rPr>
          <w:bCs/>
        </w:rPr>
        <w:t xml:space="preserve">Гарантировать качество поставляемого Товара и предоставить </w:t>
      </w:r>
      <w:r>
        <w:t xml:space="preserve">копии сертификатов соответствия, гигиенические сертификаты и прочие относящиеся к товару документы</w:t>
      </w:r>
      <w:r>
        <w:rPr>
          <w:bCs/>
        </w:rPr>
        <w:t xml:space="preserve">.</w:t>
      </w:r>
      <w:r>
        <w:rPr>
          <w:bCs/>
        </w:rPr>
      </w:r>
      <w:r>
        <w:rPr>
          <w:bCs/>
        </w:rPr>
      </w:r>
    </w:p>
    <w:p>
      <w:pPr>
        <w:widowControl w:val="false"/>
        <w:pBdr/>
        <w:spacing/>
        <w:ind w:firstLine="709"/>
        <w:jc w:val="both"/>
        <w:rPr>
          <w:bCs/>
        </w:rPr>
      </w:pPr>
      <w:r>
        <w:rPr>
          <w:bCs/>
        </w:rPr>
        <w:t xml:space="preserve">3.3.10. Осуществить погрузочно-разгрузочные работы Товара своими силами и за свой счет.</w:t>
      </w:r>
      <w:r>
        <w:rPr>
          <w:bCs/>
        </w:rPr>
      </w:r>
      <w:r>
        <w:rPr>
          <w:bCs/>
        </w:rPr>
      </w:r>
    </w:p>
    <w:p>
      <w:pPr>
        <w:widowControl w:val="false"/>
        <w:pBdr/>
        <w:spacing/>
        <w:ind w:firstLine="567"/>
        <w:jc w:val="both"/>
        <w:rPr/>
      </w:pPr>
      <w:r>
        <w:t xml:space="preserve">  3.3.11. Оформить доставку Товара счетом, счет – фактурой, товарной накладной и Актом приема-передачи Товара.</w:t>
      </w:r>
      <w:r/>
    </w:p>
    <w:p>
      <w:pPr>
        <w:widowControl w:val="false"/>
        <w:pBdr/>
        <w:spacing/>
        <w:ind w:firstLine="709"/>
        <w:jc w:val="both"/>
        <w:rPr>
          <w:bCs/>
        </w:rPr>
      </w:pPr>
      <w:r>
        <w:t xml:space="preserve">3.3.12. </w:t>
      </w:r>
      <w:r>
        <w:rPr>
          <w:bCs/>
        </w:rPr>
        <w:t xml:space="preserve">Поставить Товар в упаковке, которая бы обеспечивала его сохранность, товарный вид, предохраняла от всякого рода повреждений при перевозке различными видами транспорта.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3.3.13. Зам</w:t>
      </w:r>
      <w:r>
        <w:rPr>
          <w:bCs/>
        </w:rPr>
        <w:t xml:space="preserve">енить Товар ввиду его ненадлежащего качества, в случае обнаружения в поставленном Товаре недостатков, недостач (некомплектности) или иных несоответствий условиям Контракта, в течение 5-и рабочих дней с момента уведомления его об этом со стороны Заказчика. </w:t>
      </w:r>
      <w:r>
        <w:rPr>
          <w:bCs/>
        </w:rPr>
      </w:r>
      <w:r>
        <w:rPr>
          <w:bCs/>
        </w:rPr>
      </w:r>
    </w:p>
    <w:p>
      <w:pPr>
        <w:widowControl w:val="false"/>
        <w:pBdr/>
        <w:spacing/>
        <w:ind w:firstLine="709"/>
        <w:jc w:val="both"/>
        <w:rPr/>
      </w:pPr>
      <w:r>
        <w:t xml:space="preserve">3.3.14. Передать Заказчику надлежаще оформленные документы: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- </w:t>
      </w:r>
      <w:r>
        <w:t xml:space="preserve">товарные </w:t>
      </w:r>
      <w:r>
        <w:t xml:space="preserve"> накладные</w:t>
      </w:r>
      <w:r>
        <w:t xml:space="preserve">, оформленные в установленном порядке;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- счет;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- счета-фактуры (для плательщиков НДС);</w:t>
      </w:r>
      <w:r/>
    </w:p>
    <w:p>
      <w:pPr>
        <w:widowControl w:val="false"/>
        <w:pBdr/>
        <w:spacing/>
        <w:ind w:firstLine="709"/>
        <w:jc w:val="both"/>
        <w:rPr>
          <w:bCs/>
        </w:rPr>
      </w:pPr>
      <w:r>
        <w:t xml:space="preserve">- копии сертификатов соответствия, гигиенические сертификаты и прочие относящиеся к товару документы</w:t>
      </w:r>
      <w:r>
        <w:rPr>
          <w:bCs/>
        </w:rPr>
        <w:t xml:space="preserve">.</w:t>
      </w:r>
      <w:r>
        <w:rPr>
          <w:bCs/>
        </w:rPr>
      </w:r>
      <w:r>
        <w:rPr>
          <w:bCs/>
        </w:rPr>
      </w:r>
    </w:p>
    <w:p>
      <w:pPr>
        <w:widowControl w:val="false"/>
        <w:pBdr/>
        <w:spacing/>
        <w:ind w:firstLine="567"/>
        <w:jc w:val="both"/>
        <w:rPr/>
      </w:pPr>
      <w:r>
        <w:t xml:space="preserve">  -  акт приемки-передачи товара.</w:t>
      </w:r>
      <w:r/>
    </w:p>
    <w:p>
      <w:pPr>
        <w:widowControl w:val="false"/>
        <w:pBdr/>
        <w:spacing/>
        <w:ind w:firstLine="709"/>
        <w:jc w:val="both"/>
        <w:rPr>
          <w:bCs/>
        </w:rPr>
      </w:pPr>
      <w:r>
        <w:rPr>
          <w:bCs/>
        </w:rPr>
        <w:t xml:space="preserve">3.3.15. Поставщик гарантирует качество поставляемого Товара в пределах гарантийного срока, установленного производителем, с момента передачи Товара по акту приёма-передачи (в документах на Товар, предусматривающих гарантийный срок).  </w:t>
      </w:r>
      <w:r>
        <w:rPr>
          <w:bCs/>
        </w:rPr>
        <w:t xml:space="preserve">На </w:t>
      </w:r>
      <w:r>
        <w:rPr>
          <w:bCs/>
        </w:rPr>
        <w:t xml:space="preserve">Товары,  предусматривающие</w:t>
      </w:r>
      <w:r>
        <w:rPr>
          <w:bCs/>
        </w:rPr>
        <w:t xml:space="preserve">  срок годности, Поставщик обязуется поставить Товар с остаточным сроком годности не менее 12 мес. от срока, установленного производителем, на момент поставки Товара.</w:t>
      </w:r>
      <w:r>
        <w:rPr>
          <w:bCs/>
        </w:rPr>
      </w:r>
      <w:r>
        <w:rPr>
          <w:bCs/>
        </w:rPr>
      </w:r>
    </w:p>
    <w:p>
      <w:pPr>
        <w:widowControl w:val="false"/>
        <w:pBdr/>
        <w:spacing/>
        <w:ind w:firstLine="709"/>
        <w:jc w:val="both"/>
        <w:rPr>
          <w:i/>
        </w:rPr>
      </w:pPr>
      <w:r>
        <w:rPr>
          <w:i/>
        </w:rPr>
        <w:t xml:space="preserve">3.4. Поставщик имеет право:</w:t>
      </w:r>
      <w:r>
        <w:rPr>
          <w:i/>
        </w:rPr>
      </w:r>
      <w:r>
        <w:rPr>
          <w:i/>
        </w:rPr>
      </w:r>
    </w:p>
    <w:p>
      <w:pPr>
        <w:widowControl w:val="false"/>
        <w:pBdr/>
        <w:spacing/>
        <w:ind w:firstLine="709"/>
        <w:jc w:val="both"/>
        <w:rPr/>
      </w:pPr>
      <w:r>
        <w:t xml:space="preserve">3.4.1. Требовать от Заказчика подписания документов об исполнении им обязательств по контракту.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3.4.2. Требовать от Заказчика оплаты по настоящему Контракту в случае полного исполнения обязательств по настоящему Контракту.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3.4.3. Поставщик вправе осуществить досрочную поставку товара по согласованию с Заказчиком.</w:t>
      </w:r>
      <w:r/>
    </w:p>
    <w:p>
      <w:pPr>
        <w:widowControl w:val="false"/>
        <w:pBdr/>
        <w:spacing/>
        <w:ind w:firstLine="709"/>
        <w:jc w:val="both"/>
        <w:rPr/>
      </w:pPr>
      <w:r/>
      <w:r/>
    </w:p>
    <w:p>
      <w:pPr>
        <w:pStyle w:val="926"/>
        <w:widowControl w:val="false"/>
        <w:numPr>
          <w:ilvl w:val="0"/>
          <w:numId w:val="2"/>
        </w:numPr>
        <w:pBdr/>
        <w:spacing/>
        <w:ind/>
        <w:jc w:val="center"/>
        <w:rPr>
          <w:b/>
        </w:rPr>
      </w:pPr>
      <w:r>
        <w:rPr>
          <w:b/>
        </w:rPr>
        <w:t xml:space="preserve">ЦЕНА КОНТРАКТА И ПОРЯДОК РАСЧЁТОВ</w:t>
      </w:r>
      <w:r>
        <w:rPr>
          <w:b/>
        </w:rPr>
      </w:r>
      <w:r>
        <w:rPr>
          <w:b/>
        </w:rPr>
      </w:r>
    </w:p>
    <w:p>
      <w:pPr>
        <w:pStyle w:val="926"/>
        <w:widowControl w:val="false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4.1. Цена по настоящему ко</w:t>
      </w:r>
      <w:r>
        <w:rPr>
          <w:bCs/>
        </w:rPr>
        <w:t xml:space="preserve">нтракту</w:t>
      </w:r>
      <w:r>
        <w:rPr>
          <w:bCs/>
        </w:rPr>
        <w:t xml:space="preserve"> составляет </w:t>
      </w:r>
      <w:r>
        <w:rPr>
          <w:bCs/>
        </w:rPr>
        <w:t xml:space="preserve">_______</w:t>
      </w:r>
      <w:r>
        <w:rPr>
          <w:bCs/>
        </w:rPr>
        <w:t xml:space="preserve"> рублей (</w:t>
      </w:r>
      <w:r>
        <w:rPr>
          <w:bCs/>
        </w:rPr>
        <w:t xml:space="preserve">____________ рублей _______ копеек</w:t>
      </w:r>
      <w:r>
        <w:rPr>
          <w:bCs/>
        </w:rPr>
        <w:t xml:space="preserve">), </w:t>
      </w:r>
      <w:r>
        <w:rPr>
          <w:bCs/>
        </w:rPr>
        <w:t xml:space="preserve">НДС не облагается</w:t>
      </w:r>
      <w:r>
        <w:rPr>
          <w:bCs/>
        </w:rPr>
        <w:t xml:space="preserve">.</w:t>
      </w:r>
      <w:r>
        <w:rPr>
          <w:bCs/>
        </w:rPr>
      </w:r>
      <w:r>
        <w:rPr>
          <w:bCs/>
        </w:rPr>
      </w:r>
    </w:p>
    <w:p>
      <w:pPr>
        <w:widowControl w:val="false"/>
        <w:pBdr/>
        <w:spacing/>
        <w:ind w:firstLine="709"/>
        <w:contextualSpacing w:val="true"/>
        <w:jc w:val="both"/>
        <w:rPr/>
      </w:pPr>
      <w:r>
        <w:rPr>
          <w:bCs/>
        </w:rPr>
        <w:t xml:space="preserve">4.2. Цена контракта является твёрдой и определена на весь срок действия контракта, </w:t>
      </w:r>
      <w:r>
        <w:t xml:space="preserve">но может быть снижена по соглашению сторон </w:t>
      </w:r>
      <w:r>
        <w:t xml:space="preserve">без изменения</w:t>
      </w:r>
      <w:r>
        <w:t xml:space="preserve"> предусмотренных контрактом количества</w:t>
      </w:r>
      <w:r>
        <w:t xml:space="preserve">, качества</w:t>
      </w:r>
      <w:r>
        <w:t xml:space="preserve"> поставляемого товара и иных условий контракта.</w:t>
      </w:r>
      <w:r/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4.3. В стоимость товара входит стоимость тары и упаковки, не являющимися возвратными, стоимость доставки, разгрузки, подъёма на этаж, а также уплата налогов и других платежей.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Налоги и сборы, взимаемые с Поставщика в связи с исполнением настоящего </w:t>
      </w:r>
      <w:r>
        <w:rPr>
          <w:bCs/>
        </w:rPr>
        <w:t xml:space="preserve">контракта,  включены</w:t>
      </w:r>
      <w:r>
        <w:rPr>
          <w:bCs/>
        </w:rPr>
        <w:t xml:space="preserve"> в цену контракта и оплачиваются поставщиком.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4.4. По предложению Заказчика возможно увеличение предусмотренного контрактом количества товара не более чем на десять процентов </w:t>
      </w:r>
      <w:r>
        <w:rPr>
          <w:bCs/>
        </w:rPr>
        <w:t xml:space="preserve">или уменьшение предусмотренного контрактом количества поставляемого товара не более чем на десять процентов. При этом по соглашению сторон допускается изменение с учётом положений бюджетного законодательства РФ цены контракта пропорционально дополнительном</w:t>
      </w:r>
      <w:r>
        <w:rPr>
          <w:bCs/>
        </w:rPr>
        <w:t xml:space="preserve">у количеству товара исходя из установленной в контракте цены единицы товара, но не более чем на десять процентов цены контракта. При уменьшении предусмотренного контрактом количества товара Стороны обязаны уменьшить цену контракта исходя из единицы товара.</w:t>
      </w:r>
      <w:r>
        <w:rPr>
          <w:bCs/>
        </w:rPr>
      </w:r>
      <w:r>
        <w:rPr>
          <w:bCs/>
        </w:rPr>
      </w:r>
    </w:p>
    <w:p>
      <w:pPr>
        <w:pBdr/>
        <w:spacing/>
        <w:ind/>
        <w:rPr>
          <w:color w:val="ff0000"/>
        </w:rPr>
      </w:pPr>
      <w:r>
        <w:rPr>
          <w:bCs/>
        </w:rPr>
        <w:t xml:space="preserve">           </w:t>
      </w:r>
      <w:r>
        <w:rPr>
          <w:bCs/>
        </w:rPr>
        <w:t xml:space="preserve">4.5. </w:t>
      </w:r>
      <w:r>
        <w:rPr>
          <w:color w:val="000000"/>
        </w:rPr>
        <w:t xml:space="preserve">Оплата товара </w:t>
      </w:r>
      <w:r>
        <w:rPr>
          <w:color w:val="000000"/>
        </w:rPr>
        <w:t xml:space="preserve">осуществляется </w:t>
      </w:r>
      <w:r>
        <w:rPr>
          <w:color w:val="000000"/>
        </w:rPr>
        <w:t xml:space="preserve"> Заказчиком</w:t>
      </w:r>
      <w:r>
        <w:rPr>
          <w:color w:val="000000"/>
        </w:rPr>
        <w:t xml:space="preserve"> </w:t>
      </w:r>
      <w:r>
        <w:rPr>
          <w:color w:val="000000"/>
        </w:rPr>
        <w:t xml:space="preserve">по казначейской системе оплаты в безналичной форме, в один этап</w:t>
      </w:r>
      <w:r>
        <w:rPr>
          <w:color w:val="000000"/>
        </w:rPr>
        <w:t xml:space="preserve"> по факту поставки товара</w:t>
      </w:r>
      <w:r>
        <w:rPr>
          <w:color w:val="000000"/>
        </w:rPr>
        <w:t xml:space="preserve">, путём перечисления денежных средств на расчётный счёт Поставщика не более чем в течение 30 дней с момента подписания акта приёма - передачи товара согласно графика приё</w:t>
      </w:r>
      <w:r>
        <w:rPr>
          <w:color w:val="000000"/>
        </w:rPr>
        <w:t xml:space="preserve">ма по</w:t>
      </w:r>
      <w:r>
        <w:rPr>
          <w:color w:val="000000"/>
        </w:rPr>
        <w:t xml:space="preserve">ручений на оплату расходов.</w:t>
      </w:r>
      <w:r>
        <w:rPr>
          <w:color w:val="ff0000"/>
        </w:rPr>
      </w:r>
      <w:r>
        <w:rPr>
          <w:color w:val="ff0000"/>
        </w:rPr>
      </w:r>
    </w:p>
    <w:p>
      <w:pPr>
        <w:widowControl w:val="false"/>
        <w:pBdr/>
        <w:tabs>
          <w:tab w:val="left" w:leader="none" w:pos="0"/>
        </w:tabs>
        <w:spacing/>
        <w:ind w:firstLine="709"/>
        <w:jc w:val="both"/>
        <w:rPr>
          <w:bCs/>
        </w:rPr>
      </w:pPr>
      <w:r>
        <w:rPr>
          <w:color w:val="000000"/>
        </w:rPr>
        <w:t xml:space="preserve">4.6. Основанием для оплаты поставленного товара является акт приёма-передачи товара, товарные накладные, счета-фактуры</w:t>
      </w:r>
      <w:r>
        <w:rPr>
          <w:color w:val="000000"/>
        </w:rPr>
        <w:t xml:space="preserve"> (для плательщиков НДС)</w:t>
      </w:r>
      <w:r>
        <w:rPr>
          <w:color w:val="000000"/>
        </w:rPr>
        <w:t xml:space="preserve">, подписанные Поставщиком и </w:t>
      </w:r>
      <w:r>
        <w:rPr>
          <w:color w:val="000000"/>
        </w:rPr>
        <w:t xml:space="preserve">Заказчиком </w:t>
      </w:r>
      <w:r>
        <w:rPr>
          <w:bCs/>
        </w:rPr>
        <w:t xml:space="preserve">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4.7. Авансирование по контракту не предусмотрено.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/>
      </w:pPr>
      <w:r>
        <w:rPr>
          <w:bCs/>
        </w:rPr>
        <w:t xml:space="preserve">4.</w:t>
      </w:r>
      <w:r>
        <w:rPr>
          <w:bCs/>
        </w:rPr>
        <w:t xml:space="preserve">8.Товар</w:t>
      </w:r>
      <w:r>
        <w:rPr>
          <w:bCs/>
        </w:rPr>
        <w:t xml:space="preserve">, поставленный Поставщиком с отклонениями от требований спецификации или иными недостатками, не подлежит оплате Заказчиком до устранения Поставщиком обнаруженных недостатков.</w:t>
      </w:r>
      <w:r>
        <w:t xml:space="preserve"> </w:t>
      </w:r>
      <w:r/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4.9.</w:t>
      </w:r>
      <w:r>
        <w:rPr>
          <w:bCs/>
        </w:rPr>
        <w:t xml:space="preserve"> </w:t>
      </w:r>
      <w:r>
        <w:rPr>
          <w:bCs/>
        </w:rPr>
        <w:t xml:space="preserve">Источник финансирования</w:t>
      </w:r>
      <w:r>
        <w:rPr>
          <w:bCs/>
        </w:rPr>
        <w:t xml:space="preserve">: </w:t>
      </w:r>
      <w:r>
        <w:rPr>
          <w:bCs/>
        </w:rPr>
        <w:t xml:space="preserve">внебюджетные средства</w:t>
      </w:r>
      <w:r>
        <w:rPr>
          <w:bCs/>
        </w:rPr>
        <w:t xml:space="preserve"> 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4.10. По окончании исполнения своих обязательств по контракту, стороны в течение 5 рабочих дней подписывают акт сверки.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/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26"/>
        <w:widowControl w:val="false"/>
        <w:numPr>
          <w:ilvl w:val="0"/>
          <w:numId w:val="2"/>
        </w:numPr>
        <w:pBdr/>
        <w:spacing/>
        <w:ind/>
        <w:jc w:val="center"/>
        <w:rPr>
          <w:b/>
        </w:rPr>
      </w:pPr>
      <w:r>
        <w:rPr>
          <w:b/>
        </w:rPr>
        <w:t xml:space="preserve">ПОРЯДОК СДАЧИ-ПРИЁМКИ</w:t>
      </w:r>
      <w:r>
        <w:rPr>
          <w:b/>
        </w:rPr>
      </w:r>
      <w:r>
        <w:rPr>
          <w:b/>
        </w:rPr>
      </w:r>
    </w:p>
    <w:p>
      <w:pPr>
        <w:pStyle w:val="926"/>
        <w:widowControl w:val="false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5.1</w:t>
      </w:r>
      <w:r>
        <w:rPr>
          <w:bCs/>
        </w:rPr>
        <w:t xml:space="preserve">. Доставка, погрузо-разгрузочные работы Товара производится силами и средствами Поставщика. 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/>
        <w:jc w:val="both"/>
        <w:rPr>
          <w:bCs/>
        </w:rPr>
      </w:pPr>
      <w:r>
        <w:rPr>
          <w:bCs/>
        </w:rPr>
        <w:t xml:space="preserve">            5.2</w:t>
      </w:r>
      <w:r>
        <w:rPr>
          <w:bCs/>
        </w:rPr>
        <w:t xml:space="preserve">. </w:t>
      </w:r>
      <w:r>
        <w:rPr>
          <w:bCs/>
        </w:rPr>
        <w:t xml:space="preserve">При осуществлении приемки Товара Заказчик обязан осмотреть Товар, проверить е</w:t>
      </w:r>
      <w:r>
        <w:rPr>
          <w:bCs/>
        </w:rPr>
        <w:t xml:space="preserve">го количество и качество, сопроводительные документы на Товар, совершить другие необходимые действия, обеспечивающие принятие товара. Приемка поставленного Товара осуществляется в ходе передачи Товара Заказчику в Месте доставки и включает в себя следующее: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/>
        <w:jc w:val="both"/>
        <w:rPr>
          <w:bCs/>
        </w:rPr>
      </w:pPr>
      <w:r>
        <w:rPr>
          <w:bCs/>
        </w:rPr>
        <w:t xml:space="preserve">- проверку по упаковочным листам номенклатуры, комплектности и </w:t>
      </w:r>
      <w:r>
        <w:rPr>
          <w:bCs/>
        </w:rPr>
        <w:t xml:space="preserve">характеристики  поставленного</w:t>
      </w:r>
      <w:r>
        <w:rPr>
          <w:bCs/>
        </w:rPr>
        <w:t xml:space="preserve"> Товара на соответствие Спецификации товара (приложение </w:t>
      </w:r>
      <w:r>
        <w:rPr>
          <w:bCs/>
        </w:rPr>
        <w:t xml:space="preserve">№2</w:t>
      </w:r>
      <w:r>
        <w:rPr>
          <w:bCs/>
        </w:rPr>
        <w:t xml:space="preserve"> к Контракту).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/>
        <w:jc w:val="both"/>
        <w:rPr>
          <w:bCs/>
        </w:rPr>
      </w:pPr>
      <w:r>
        <w:rPr>
          <w:bCs/>
        </w:rPr>
        <w:t xml:space="preserve">- проверку полноты и правильности оформления комплекта сопроводительных документов в соответствии с условиями Контракта;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/>
        <w:jc w:val="both"/>
        <w:rPr>
          <w:bCs/>
        </w:rPr>
      </w:pPr>
      <w:r>
        <w:rPr>
          <w:bCs/>
        </w:rPr>
        <w:t xml:space="preserve">- контроль наличия/отсутствия внешних повреждений оригинальной упаковки Товара (при необходимости);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/>
        <w:jc w:val="both"/>
        <w:rPr>
          <w:bCs/>
        </w:rPr>
      </w:pPr>
      <w:r>
        <w:rPr>
          <w:bCs/>
        </w:rPr>
        <w:t xml:space="preserve">- проверку наличия необходимых документов (копий документов) на Товар.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5.4. По окончании поставки товара </w:t>
      </w:r>
      <w:r>
        <w:rPr>
          <w:bCs/>
        </w:rPr>
        <w:t xml:space="preserve">Поставщик  передаёт</w:t>
      </w:r>
      <w:r>
        <w:rPr>
          <w:bCs/>
        </w:rPr>
        <w:t xml:space="preserve"> Заказчику акт приёма-передачи товара, товарные  накладные, счета-фактуры.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5.</w:t>
      </w:r>
      <w:r>
        <w:rPr>
          <w:bCs/>
        </w:rPr>
        <w:t xml:space="preserve">5.Заказчик</w:t>
      </w:r>
      <w:r>
        <w:rPr>
          <w:bCs/>
        </w:rPr>
        <w:t xml:space="preserve">, приступает к проверке и приёмке  поставленного товара. Приёмка товара осуществляется в течение 3 рабочих дней. 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5.6. Для проверки поставленного Поставщиком товара, предусмотрен</w:t>
      </w:r>
      <w:r>
        <w:rPr>
          <w:bCs/>
        </w:rPr>
        <w:t xml:space="preserve">ного контрактом, в части его соответствия условиям контракта, заказчик проводит экспертизу. Экспертиза поставленного товара, предусмотренного контрактом, проводится Заказчиком своими силами, при этом Заказчик вправе принять решение о проведении экспертизы </w:t>
      </w:r>
      <w:r>
        <w:rPr>
          <w:bCs/>
        </w:rPr>
        <w:t xml:space="preserve">поставленного товара с привлечением экспертов, экспертных организаций.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5.7. Заказчик проводит экспертизу поставленного товара в течение 3 рабочих дней. По итогу проведения экспертизы поставленного товара Заказчик оформляет заключение по результатам экспертизы, которое утверждается заказчиком.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В случае, если по результатам такой экспертизы выявлено, что поставленный товар соответствует условиям контракта, а также соответствует техническим требованиям, Заказчик принимает поставленный товар путём подписания акта приёма-передачи товара.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5.8. При обнаружении Заказчиком в ходе проведения экспертизы поставленного товара недостатков, Заказчиком составляется рекламационный акт, в кот</w:t>
      </w:r>
      <w:r>
        <w:rPr>
          <w:bCs/>
        </w:rPr>
        <w:t xml:space="preserve">ором фиксируется перечень недостатков и сроки их устранения Поставщиком. Указанный рекламационный акт в тот же срок направляется заказчиком в адрес Поставщика, при этом заказчиком составляется мотивированный отказ от подписания акта приёма-передачи товара.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5.9. Поставщик обязан устранить все обнаруженные недостатки своими силами и за свой счёт в сроки, указанные в рекламационном акте.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5.10. После выполнения Поставщиком устранения недостатков поставленного товара Заказчик проводит </w:t>
      </w:r>
      <w:r>
        <w:rPr>
          <w:bCs/>
        </w:rPr>
        <w:t xml:space="preserve">экспертизу  поставленного</w:t>
      </w:r>
      <w:r>
        <w:rPr>
          <w:bCs/>
        </w:rPr>
        <w:t xml:space="preserve"> товара в порядке, установленном п. 5.5-5.8 настоящего раздела.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5.11. Устранение Поставщиком в установленные сроки выявленных недостатков не освобождает его от уплаты неустойки, штрафа, пени, предусмотренных настоящим контрактом. 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5.12. Заказчик вправе отказаться от приёмки товара в случае обнаружения недостатков, которые исключают его эксплуатацию и не могут быть устранены Поставщиком.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5.13. Риски случайной гибели или случайного повреждения товара, а также бремя его содержания переходят от поставщика к Заказчику с момента приёма товара.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5.14. Если Заказчиком принято решение о проведении экспертизы поставленного товара с привлечением экспертов, экспертных организаций, Заказчик </w:t>
      </w:r>
      <w:r>
        <w:rPr>
          <w:bCs/>
        </w:rPr>
        <w:t xml:space="preserve">принимает  поставленный</w:t>
      </w:r>
      <w:r>
        <w:rPr>
          <w:bCs/>
        </w:rPr>
        <w:t xml:space="preserve"> товар путём подписания акта при</w:t>
      </w:r>
      <w:r>
        <w:rPr>
          <w:bCs/>
        </w:rPr>
        <w:t xml:space="preserve">ёма-передачи товара только по результатам экспертизы поставленного товара, если в заключении эксперта, экспертной организации установлено соответствие  поставленного товара условиям контракта и технических требований. В противном случае Заказчик осуществля</w:t>
      </w:r>
      <w:r>
        <w:rPr>
          <w:bCs/>
        </w:rPr>
        <w:t xml:space="preserve">ет действия, установленные </w:t>
      </w:r>
      <w:r>
        <w:rPr>
          <w:bCs/>
        </w:rPr>
        <w:t xml:space="preserve">п.9.4</w:t>
      </w:r>
      <w:r>
        <w:rPr>
          <w:bCs/>
        </w:rPr>
        <w:t xml:space="preserve">  настоящего</w:t>
      </w:r>
      <w:r>
        <w:rPr>
          <w:bCs/>
        </w:rPr>
        <w:t xml:space="preserve"> Контракта.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5.15. По окончании сдачи-приемки товара, при условии отсутствия претензий к товару со стороны Заказчика, Заказчик подписывает оформленную Поставщиком товарную накладную.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5.16. Внесение изменений в текст товарной накладной в одностороннем порядке после их подписания представителями Сторон не допускается. Внесение любых исправлений может осуществляться только по согласованию Сторон.</w:t>
      </w:r>
      <w:r>
        <w:rPr>
          <w:bCs/>
        </w:rPr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 w:firstLine="709"/>
        <w:jc w:val="both"/>
        <w:rPr>
          <w:bCs/>
        </w:rPr>
      </w:pPr>
      <w:r>
        <w:rPr>
          <w:bCs/>
        </w:rPr>
        <w:t xml:space="preserve">5.17. Право владения, пользования и распоряжения Товаром переходит от Поставщика к Заказчику после подписания Сторонами Акта приёма передачи товара.</w:t>
      </w:r>
      <w:r>
        <w:rPr>
          <w:bCs/>
        </w:rPr>
      </w:r>
      <w:r>
        <w:rPr>
          <w:bCs/>
        </w:rPr>
      </w:r>
    </w:p>
    <w:p>
      <w:pPr>
        <w:widowControl w:val="false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26"/>
        <w:widowControl w:val="false"/>
        <w:numPr>
          <w:ilvl w:val="0"/>
          <w:numId w:val="2"/>
        </w:numPr>
        <w:pBdr/>
        <w:spacing/>
        <w:ind/>
        <w:jc w:val="center"/>
        <w:rPr>
          <w:b/>
        </w:rPr>
      </w:pPr>
      <w:r>
        <w:rPr>
          <w:b/>
        </w:rPr>
        <w:t xml:space="preserve">ОТВЕТСТВЕННОСТЬ СТОРОН</w:t>
      </w:r>
      <w:r>
        <w:rPr>
          <w:b/>
        </w:rPr>
      </w:r>
      <w:r>
        <w:rPr>
          <w:b/>
        </w:rPr>
      </w:r>
    </w:p>
    <w:p>
      <w:pPr>
        <w:pStyle w:val="926"/>
        <w:widowControl w:val="false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           6</w:t>
      </w:r>
      <w:r>
        <w:t xml:space="preserve">.1.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</w:t>
      </w:r>
      <w:r>
        <w:t xml:space="preserve">Российской Федерации, Федеральным законом от 05.04.2013 г. №44 – 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30.08.2017 N 1042. 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Указанные в настоящем разделе неустойка (пеня, штраф) взимаются за каждое нарушение в отдельности.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6</w:t>
      </w:r>
      <w:r>
        <w:t xml:space="preserve">.2. Ответственность Заказчика: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6</w:t>
      </w:r>
      <w:r>
        <w:t xml:space="preserve">.2.1. В случае просрочки исполнения Заказчиком обязательств, предусмотренных контрактом, Поставщик вправе потребовать уплаты пеней. Пеня начисляется за каждый день просрочки исполнения обязательства, предусмотрен</w:t>
      </w:r>
      <w:r>
        <w:t xml:space="preserve">ного контрактом, начиная со дня, следующего после дня истечения установленного контрактом срока исполнения обязательства. Пеня устанавливается контрактом в размере 1/300 ключевой ставки ЦБ РФ, действующей на дату уплаты пени, от не уплаченной в срок суммы.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6</w:t>
      </w:r>
      <w:r>
        <w:t xml:space="preserve">.2.2.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потребовать уплаты штрафа.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Размер штрафа устанавливается в размере 1000 рублей. 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6</w:t>
      </w:r>
      <w:r>
        <w:t xml:space="preserve">.3 Ответственность Поставщика: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6</w:t>
      </w:r>
      <w:r>
        <w:t xml:space="preserve">.3.1. В случае просрочки исполнения Поставщиком обязательств (в том числе гарантийного обязательства), предусмотренных контрактом</w:t>
      </w:r>
      <w:r>
        <w:t xml:space="preserve">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 с указанием реквизитов для перечисления денежных средств.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6</w:t>
      </w:r>
      <w:r>
        <w:t xml:space="preserve">.3.2. Пеня за проср</w:t>
      </w:r>
      <w:r>
        <w:t xml:space="preserve">очку исполнения обязательств (в том числе гарантийного обязательства) начисляется за каждый день просрочки исполнения Поставщиком обязательства, предусмотренного контрактом, в том числе за нарушение сроков поставки товара, предусмотренных п. 2.1 контракта.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6</w:t>
      </w:r>
      <w:r>
        <w:t xml:space="preserve">.3.3. Пеня начисляется за каждый день просрочки исполнения Поставщиком обязательства, предусмотренного контрактом, и устанавливается в размере одной трехсотой  ключевой ставки   ЦБ РФ   от цены контракта (о</w:t>
      </w:r>
      <w:r>
        <w:t xml:space="preserve">тдельного этапа исполнения контракта),  действующей на дату уплаты  пени,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Поставщиком, н</w:t>
      </w:r>
      <w:r>
        <w:t xml:space="preserve">ачиная со дня, следующего после дня истечения установленного контрактом срока исполнения обязательства, сроков устранения обнаруженных недостатков, за исключением случаев, если законодательством Российской Федерации установлен иной порядок начисления пени.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6</w:t>
      </w:r>
      <w:r>
        <w:t xml:space="preserve">.3.4. За каждый факт неисполнения или ненадлежащего исполнения Поставщиком обязательств, предусмотренных контрактом, за ис</w:t>
      </w:r>
      <w:r>
        <w:t xml:space="preserve">ключением просрочки исполнения обязательств (в том числе гарантийных обязательств), предусмотренных контрактом. Размер штрафа устанавливается (за исключением случаев, предусмотренных п. 7.3.5, настоящего раздела) в размере 10 % от цены контракта (этапа) и </w:t>
      </w:r>
      <w:r>
        <w:t xml:space="preserve">составляет  </w:t>
      </w:r>
      <w:r>
        <w:t xml:space="preserve">1</w:t>
      </w:r>
      <w:r>
        <w:t xml:space="preserve"> 000,00</w:t>
      </w:r>
      <w:r>
        <w:t xml:space="preserve"> рублей, за исключением случаев, если законодательством Российской Федерации установлен иной порядок начисления штрафов.  Штрафы начисляются за каждое нарушение в отдельности.  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6</w:t>
      </w:r>
      <w:r>
        <w:t xml:space="preserve">.3.5. За каждый факт неисполнения или ненадлежащего исполнения Поставщиком,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</w:t>
      </w:r>
      <w:r>
        <w:t xml:space="preserve">1000  рублей</w:t>
      </w:r>
      <w:r>
        <w:t xml:space="preserve">.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6</w:t>
      </w:r>
      <w:r>
        <w:t xml:space="preserve">.4.   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 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   6</w:t>
      </w:r>
      <w:r>
        <w:t xml:space="preserve">.5. Поставщик несёт ответственность за действия третьих лиц, привлечённых им к исполнению обязательств по контракту.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   6</w:t>
      </w:r>
      <w:r>
        <w:t xml:space="preserve">.6. Уплата пени (неустойки) за просрочку или иное ненадлежащее исполнение обязательств по Контракту, не освобождает Поставщика от исполнения этих обязательств по Контракту.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   6</w:t>
      </w:r>
      <w:r>
        <w:t xml:space="preserve">.7. В случае неуплаты Поставщиком неустойки (штрафа, пени) в срок, установленный в претензии Заказчика, исполнение обязательства Поставщика по Контракту по </w:t>
      </w:r>
      <w:r>
        <w:t xml:space="preserve">перечислению неустойки (штрафа, пени) в доход бюджета Санкт-Петербурга осуществляется Заказчиком в следующем порядке: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6</w:t>
      </w:r>
      <w:r>
        <w:t xml:space="preserve">.7.1. Начисление по исполнению денежного обязательства по Контракту производится на основании акта сдачи-приемки товара, содержащего сведения об исполнении обязательства, о принятых товарах по исполнению Контракта, включая сумму неустойки (пени, штрафа). 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6</w:t>
      </w:r>
      <w:r>
        <w:t xml:space="preserve">.7.2. Оплата по Контракту осуществляется путем выплаты Поставщику по контракту суммы, уменьшенной на сумму неустойки (пени, штрафа), которая подлежит п</w:t>
      </w:r>
      <w:r>
        <w:t xml:space="preserve">еречислению в установленном порядке в доход бюджета Санкт-Петербурга на основании платежного документа, оформленного Заказчиком, с указанием Поставщика, за которого осуществляется перечисление неустойки (пени, штрафа) в соответствии с условиями Контракта. 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6</w:t>
      </w:r>
      <w:r>
        <w:t xml:space="preserve">.8. В случае неиспо</w:t>
      </w:r>
      <w:r>
        <w:t xml:space="preserve">лнения, либо ненадлежащего исполнения Поставщиком обязательств по Контракту Заказчик производит оплату по Контракту в размере за вычетом суммы неустойки (штрафа, пеней), подлежащей уплате Поставщиком в соответствии с условиями ответственности по Контракту.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6</w:t>
      </w:r>
      <w:r>
        <w:t xml:space="preserve">.9. В случае ненадлежащего исполнения, просрочки исполнения Поставщиком обязательств по Контракту Заказчик вправе произвести перечисление д</w:t>
      </w:r>
      <w:r>
        <w:t xml:space="preserve">енежных средств в оплату обязательств по Контракту в сумме, уменьшенной на размер неустойки (штрафов), начисленной Заказчиком, в соответствии с пунктами 7.3.1. – 7.3.5. Контракта, после направления в адрес Поставщика уведомления с расчётом суммы неустойки.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6</w:t>
      </w:r>
      <w:r>
        <w:t xml:space="preserve">.10. Подписанием настоящего Контракта Поставщик подтверждает свое соглас</w:t>
      </w:r>
      <w:r>
        <w:t xml:space="preserve">ие на оплату по контракту за вычетом суммы неустойки, взимаемой Заказчиком, в соответствии с пунктами 7.3.1. – 7.3.5. Контракта. После оплаты по Контракту в соответствии с условиями настоящего раздела Стороны обязуются подписать акт сверки расчетов.       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   6</w:t>
      </w:r>
      <w:r>
        <w:t xml:space="preserve">.11.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 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>
        <w:t xml:space="preserve">   6</w:t>
      </w:r>
      <w:r>
        <w:t xml:space="preserve">.12. Общая сумма начисленных штрафов за ненадлежащее исполнение Заказчиком обязательств, предусмотренных контрактом, не может превышать цену контракта. </w:t>
      </w:r>
      <w:r/>
    </w:p>
    <w:p>
      <w:pPr>
        <w:widowControl w:val="false"/>
        <w:pBdr/>
        <w:tabs>
          <w:tab w:val="left" w:leader="none" w:pos="900"/>
        </w:tabs>
        <w:spacing/>
        <w:ind/>
        <w:jc w:val="both"/>
        <w:rPr/>
      </w:pPr>
      <w:r/>
      <w:r/>
    </w:p>
    <w:p>
      <w:pPr>
        <w:widowControl w:val="false"/>
        <w:pBdr/>
        <w:spacing/>
        <w:ind w:firstLine="709"/>
        <w:jc w:val="center"/>
        <w:rPr>
          <w:b/>
        </w:rPr>
      </w:pPr>
      <w:r>
        <w:rPr>
          <w:b/>
        </w:rPr>
        <w:t xml:space="preserve">7</w:t>
      </w:r>
      <w:r>
        <w:rPr>
          <w:b/>
        </w:rPr>
        <w:t xml:space="preserve">. ОБСТОЯТЕЛЬСТВА НЕПРЕОДОЛИМОЙ СИЛЫ</w:t>
      </w:r>
      <w:r>
        <w:rPr>
          <w:b/>
        </w:rPr>
      </w:r>
      <w:r>
        <w:rPr>
          <w:b/>
        </w:rPr>
      </w:r>
    </w:p>
    <w:p>
      <w:pPr>
        <w:widowControl w:val="false"/>
        <w:pBdr/>
        <w:spacing/>
        <w:ind w:firstLine="539"/>
        <w:jc w:val="both"/>
        <w:rPr/>
      </w:pPr>
      <w:r>
        <w:t xml:space="preserve">7</w:t>
      </w:r>
      <w:r>
        <w:t xml:space="preserve">.1. Стороны освобождаются от ответственности за полное или частичное неисполнение обязательств по настоящему контракту, если это неисполнение явилось следствием обстоятельств непреодолимой си</w:t>
      </w:r>
      <w:r>
        <w:t xml:space="preserve">лы, возникших после его заключения, в результате событий чрезвычайного характера, наступление которых Сторона, не исполнившая полностью или частично обязательства по Контракту, не могла не предвидеть, не предотвратить разумными методами и в разумные сроки.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7</w:t>
      </w:r>
      <w:r>
        <w:t xml:space="preserve">.2. При наступлении указанных в пункте 8.1. обстоятельств, Сторона по настоящему </w:t>
      </w:r>
      <w:r>
        <w:t xml:space="preserve">контракту, для которой создалась невозможность исполнения обязательств по Контракту,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обстоятельств.</w:t>
      </w:r>
      <w:r/>
    </w:p>
    <w:p>
      <w:pPr>
        <w:widowControl w:val="false"/>
        <w:pBdr/>
        <w:spacing/>
        <w:ind w:firstLine="539"/>
        <w:jc w:val="both"/>
        <w:rPr/>
      </w:pPr>
      <w:r/>
      <w:r/>
    </w:p>
    <w:p>
      <w:pPr>
        <w:pStyle w:val="913"/>
        <w:numPr>
          <w:ilvl w:val="0"/>
          <w:numId w:val="2"/>
        </w:numPr>
        <w:pBdr/>
        <w:spacing/>
        <w:ind/>
        <w:jc w:val="center"/>
        <w:rPr>
          <w:b/>
          <w:bCs/>
          <w:caps/>
        </w:rPr>
      </w:pPr>
      <w:r>
        <w:rPr>
          <w:b/>
          <w:bCs/>
          <w:caps/>
        </w:rPr>
        <w:t xml:space="preserve">Срок ДЕЙСТВИЯ контракта, порядок его РАСТОРЖЕНИЯ</w:t>
      </w:r>
      <w:r>
        <w:rPr>
          <w:b/>
          <w:bCs/>
          <w:caps/>
        </w:rPr>
        <w:t xml:space="preserve"> </w:t>
      </w:r>
      <w:r>
        <w:rPr>
          <w:b/>
          <w:bCs/>
          <w:caps/>
        </w:rPr>
        <w:t xml:space="preserve">и  изменения</w:t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913"/>
        <w:numPr>
          <w:ilvl w:val="0"/>
          <w:numId w:val="0"/>
        </w:numPr>
        <w:pBdr/>
        <w:spacing/>
        <w:ind w:left="720"/>
        <w:rPr>
          <w:b/>
          <w:bCs/>
          <w:caps/>
        </w:rPr>
      </w:pPr>
      <w:r>
        <w:rPr>
          <w:b/>
          <w:bCs/>
          <w:caps/>
        </w:rPr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.1. Контракт </w:t>
      </w:r>
      <w:r>
        <w:t xml:space="preserve">вступает в силу с момента подписания сторонами и </w:t>
      </w:r>
      <w:r>
        <w:t xml:space="preserve">действует </w:t>
      </w:r>
      <w:r>
        <w:t xml:space="preserve">по </w:t>
      </w:r>
      <w:r>
        <w:t xml:space="preserve">31</w:t>
      </w:r>
      <w:r>
        <w:t xml:space="preserve">.</w:t>
      </w:r>
      <w:r>
        <w:t xml:space="preserve">12.202</w:t>
      </w:r>
      <w:r>
        <w:t xml:space="preserve">6 </w:t>
      </w:r>
      <w:r>
        <w:t xml:space="preserve">года.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.2. Информация о настоящем контракте подлежит включению в реестр контрактов, заключённых заказчиками. 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.3. Контракт может быть расторгнут по соглашению Сторон, по решению суда или в </w:t>
      </w:r>
      <w:r>
        <w:t xml:space="preserve">связи с односторонним отказом Стороны контракта от исполнения контракта в соответствии с гражданским законодательством.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 8</w:t>
      </w:r>
      <w:r>
        <w:t xml:space="preserve">.4</w:t>
      </w:r>
      <w:r>
        <w:t xml:space="preserve">.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обязательств, а также в случаях, предусмотренных контрактом: 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-если поставщик после заключения контракта отказался от поставки товара; 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-если Поставщик не поставил Товар в течение 7 дней после срока, указанного в п.2.1 контракта; 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-если Поставщик отказался от замены товара ненадлежащего качества в срок, указанный п. 3.3.13 контракта; 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-если Поставщиком поставлен Товар ненадлежащего качества в соответствии с заключением Заказчика, либо эксп</w:t>
      </w:r>
      <w:r>
        <w:t xml:space="preserve">ерта или экспертной организации; 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- в иных случаях, предусмотренных соглашением сторон или действующим законодательством РФ.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.5</w:t>
      </w:r>
      <w:r>
        <w:t xml:space="preserve">. Решение Заказчика об одностороннем отказе от исполнения контракта не позднее чем в течение 3 (трёх) рабочих дней с даты принятия </w:t>
      </w:r>
      <w:r>
        <w:t xml:space="preserve">указанного решения</w:t>
      </w:r>
      <w:r>
        <w:t xml:space="preserve"> направляется Поставщику по почте заказным письмом с уведомлением о вручении по адресу Поставщика, указанному в контракте, а также </w:t>
      </w:r>
      <w:r>
        <w:t xml:space="preserve">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</w:t>
      </w:r>
      <w:r>
        <w:t xml:space="preserve">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 </w:t>
      </w:r>
      <w:r>
        <w:t xml:space="preserve">уведомления либо дата получения Заказчиком информации об отсутствии Поставщика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30 (</w:t>
      </w:r>
      <w:r>
        <w:t xml:space="preserve">тридцати) дней с даты направления</w:t>
      </w:r>
      <w:r>
        <w:t xml:space="preserve"> решения Заказчика об одностороннем</w:t>
      </w:r>
      <w:r>
        <w:t xml:space="preserve"> отказе от исполнения контракта</w:t>
      </w:r>
      <w:r>
        <w:t xml:space="preserve">.  </w:t>
      </w:r>
      <w:r/>
    </w:p>
    <w:p>
      <w:pPr>
        <w:pBdr/>
        <w:spacing/>
        <w:ind w:firstLine="567"/>
        <w:jc w:val="both"/>
        <w:rPr/>
      </w:pPr>
      <w:r>
        <w:t xml:space="preserve">8</w:t>
      </w:r>
      <w:r>
        <w:t xml:space="preserve">.6</w:t>
      </w:r>
      <w:r>
        <w:t xml:space="preserve">. Решение Заказчика об одностороннем отказе от исполнения контракта вступает в силу, и контракт считается расторгнутым через 10 (десять) дней с даты надлежащего уведомления Заказчиком Поставщика об одностороннем отказе от исполнения контракта.</w:t>
      </w:r>
      <w:r/>
    </w:p>
    <w:p>
      <w:pPr>
        <w:pBdr/>
        <w:spacing/>
        <w:ind w:firstLine="567"/>
        <w:jc w:val="both"/>
        <w:rPr/>
      </w:pPr>
      <w:r>
        <w:t xml:space="preserve">8</w:t>
      </w:r>
      <w:r>
        <w:t xml:space="preserve">.7</w:t>
      </w:r>
      <w:r>
        <w:t xml:space="preserve">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</w:t>
      </w:r>
      <w:r>
        <w:t xml:space="preserve">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экспертизы.</w:t>
      </w:r>
      <w:r/>
    </w:p>
    <w:p>
      <w:pPr>
        <w:pBdr/>
        <w:spacing/>
        <w:ind w:firstLine="708"/>
        <w:jc w:val="both"/>
        <w:rPr/>
      </w:pPr>
      <w:r>
        <w:t xml:space="preserve">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.8.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 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.9. Решение поставщика </w:t>
      </w:r>
      <w:r>
        <w:t xml:space="preserve">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</w:t>
      </w:r>
      <w:r>
        <w:t xml:space="preserve">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поставщиком,  подтверждения о его вручении заказчику. Выполнение </w:t>
      </w:r>
      <w:r>
        <w:t xml:space="preserve">поставщиком,  требований</w:t>
      </w:r>
      <w:r>
        <w:t xml:space="preserve"> </w:t>
      </w:r>
      <w:r>
        <w:t xml:space="preserve">настоящей части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</w:t>
      </w:r>
      <w:r>
        <w:t xml:space="preserve">поставщиком  подтверждения</w:t>
      </w:r>
      <w:r>
        <w:t xml:space="preserve"> о вручении заказчику указанного уведомления. 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 8</w:t>
      </w:r>
      <w:r>
        <w:t xml:space="preserve">.10.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.11. Поставщик   обязан отменить не вступившее в силу решение об одностороннем отказе от испол</w:t>
      </w:r>
      <w:r>
        <w:t xml:space="preserve">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 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</w:t>
      </w:r>
      <w:r>
        <w:t xml:space="preserve">12.При</w:t>
      </w:r>
      <w:r>
        <w:t xml:space="preserve"> расторжении контракта в связи с односторонним отказом стороны контракта от </w:t>
      </w:r>
      <w:r>
        <w:t xml:space="preserve">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 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.13. По соглашению сторон Контракт </w:t>
      </w:r>
      <w:r>
        <w:t xml:space="preserve">расторгается с момента подписания соглашения о расторжении Контракта Сторонами. Уведомление с соглашением о расторжении Контракта может быть направлено почтой или иной связью, позволяющей достоверно установить, что документ исходил от Стороны по Контракту.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.14. В случае одностороннего отказа от исполнения Контракта, либо расторжения Контракта, стоимость поставленного Товара стоимость поставленного товара на момент его </w:t>
      </w:r>
      <w:r>
        <w:t xml:space="preserve">расторжения,  подлежит</w:t>
      </w:r>
      <w:r>
        <w:t xml:space="preserve"> оплате, если его качество удовлетворяет требованиям Заказчика, и он принят по акту приема-передачи.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.15. 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.15.1. По соглашению Сторон цена Контракта может быть снижена без изменения предусмотренного Контрактом количества, качества товара и иных условий Контракта.   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.15.2. По предложению Заказчика возможно увеличение предусмотренного Контрактом количества товара не более чем на десять процентов </w:t>
      </w:r>
      <w:r>
        <w:t xml:space="preserve">или уменьшение предусмотренного Контрактом количества поставляемого товара не более чем на десять процентов. При этом по соглашению сторон допускается изменение с учётом положений бюджетного законодательства РФ цены Контракта пропорционально дополнительном</w:t>
      </w:r>
      <w:r>
        <w:t xml:space="preserve">у количеству товара исходя из установленной в Контракте цены единицы товара, но не более чем на десять процентов цены Контракта. При уменьшении предусмотренного Контрактом количества товара Стороны обязаны уменьшить цену Контракта исходя из единицы товара.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 8</w:t>
      </w:r>
      <w:r>
        <w:t xml:space="preserve">.15.3. При исполнении контракта (за исключением случаев, которые предусмотрены нормативными правовыми актами, принятыми в соответствии с частью 6 статьи14 Федерального закона от 5 апреля 2013 г. № 44 – ФЗ «О контрактной с</w:t>
      </w:r>
      <w:r>
        <w:t xml:space="preserve">истеме в сфере закупок товаров, работ, услуг для обеспечения государственных и муниципальных нужд»)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</w:t>
      </w:r>
      <w:r>
        <w:t xml:space="preserve">го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.16. Пр</w:t>
      </w:r>
      <w:r>
        <w:t xml:space="preserve">и исполнении Контракта не допускается перемена Поставщика, за исключением случая, если новый Поставщик является правопреемником Поставщика по настоящему Контракту вследствие реорганизации юридического лица в форме преобразования, слияния или присоединения.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.17. В случае перемены Заказчика права и обязанности Заказчика, предусмотренные Контрактом, переходят к новому заказчику.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.18. Информация об изменении Контракта размещается Заказчиком в единой информационной системе в течение 5 рабочих дней с даты изменения Контракта. 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.19. Информация о </w:t>
      </w:r>
      <w:r>
        <w:t xml:space="preserve">Поставщике, с которым Контракт был расторгнут в связи с односторонним отказом Заказчика от исполнения Контракта, включается в установленном Федеральным законом от 05.04.2013 N 44-ФЗ порядке в реестр недобросовестных поставщиков (подрядчиков, исполнителей).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.20. Информация о расторжении Контракта, размещается Заказчиком в единой информационной системе в течение 5 рабочих дней с даты расторжения Контракта.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.21. Прекращение срока действия Контракта не освобождает Стороны от ответственности за нарушение его условий.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8</w:t>
      </w:r>
      <w:r>
        <w:t xml:space="preserve">.22. Прекращение действия Контракта не влечет за собой прекращения действия обязательств </w:t>
      </w:r>
      <w:r>
        <w:t xml:space="preserve">по Контракту</w:t>
      </w:r>
      <w:r>
        <w:t xml:space="preserve"> и они действуют до полного их исполнения.</w:t>
      </w:r>
      <w:r/>
    </w:p>
    <w:p>
      <w:pPr>
        <w:widowControl w:val="false"/>
        <w:pBdr/>
        <w:spacing/>
        <w:ind w:firstLine="539"/>
        <w:jc w:val="both"/>
        <w:rPr>
          <w:color w:val="ff0000"/>
        </w:rPr>
      </w:pPr>
      <w:r>
        <w:rPr>
          <w:color w:val="ff0000"/>
        </w:rPr>
        <w:t xml:space="preserve">                     </w:t>
      </w:r>
      <w:r>
        <w:rPr>
          <w:color w:val="ff0000"/>
        </w:rPr>
      </w:r>
      <w:r>
        <w:rPr>
          <w:color w:val="ff0000"/>
        </w:rPr>
      </w:r>
    </w:p>
    <w:p>
      <w:pPr>
        <w:pStyle w:val="926"/>
        <w:widowControl w:val="false"/>
        <w:numPr>
          <w:ilvl w:val="0"/>
          <w:numId w:val="2"/>
        </w:numPr>
        <w:pBdr/>
        <w:spacing/>
        <w:ind/>
        <w:jc w:val="both"/>
        <w:rPr>
          <w:b/>
        </w:rPr>
      </w:pPr>
      <w:r>
        <w:rPr>
          <w:b/>
        </w:rPr>
        <w:t xml:space="preserve">АНТИКОРРУПЦИОННЫЕ УСЛОВИЯ </w:t>
      </w:r>
      <w:r>
        <w:rPr>
          <w:b/>
        </w:rPr>
      </w:r>
      <w:r>
        <w:rPr>
          <w:b/>
        </w:rPr>
      </w:r>
    </w:p>
    <w:p>
      <w:pPr>
        <w:pStyle w:val="926"/>
        <w:widowControl w:val="false"/>
        <w:pBdr/>
        <w:spacing/>
        <w:ind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false"/>
        <w:pBdr/>
        <w:spacing/>
        <w:ind w:firstLine="539"/>
        <w:jc w:val="both"/>
        <w:rPr/>
      </w:pPr>
      <w:r>
        <w:t xml:space="preserve">9</w:t>
      </w:r>
      <w:r>
        <w:t xml:space="preserve"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</w:t>
      </w:r>
      <w:r>
        <w:t xml:space="preserve">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- платить или предлагать уплатить денежные средства или предоставить иные ценности, безвозмездно выполнить ра</w:t>
      </w:r>
      <w:r>
        <w:t xml:space="preserve">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  <w:r/>
    </w:p>
    <w:p>
      <w:pPr>
        <w:widowControl w:val="false"/>
        <w:pBdr/>
        <w:spacing/>
        <w:ind w:firstLine="539"/>
        <w:jc w:val="both"/>
        <w:rPr/>
      </w:pPr>
      <w:r>
        <w:t xml:space="preserve">- не совершать иных действий, нарушающих антикоррупционное законодательство Российской Федерации. </w:t>
      </w:r>
      <w:r/>
    </w:p>
    <w:p>
      <w:pPr>
        <w:widowControl w:val="false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26"/>
        <w:widowControl w:val="false"/>
        <w:numPr>
          <w:ilvl w:val="0"/>
          <w:numId w:val="2"/>
        </w:numPr>
        <w:pBdr/>
        <w:spacing/>
        <w:ind/>
        <w:jc w:val="center"/>
        <w:rPr>
          <w:b/>
          <w:bCs/>
          <w:caps/>
        </w:rPr>
      </w:pPr>
      <w:r>
        <w:rPr>
          <w:b/>
          <w:bCs/>
          <w:caps/>
        </w:rPr>
        <w:t xml:space="preserve">Прочие условия</w:t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926"/>
        <w:widowControl w:val="false"/>
        <w:pBdr/>
        <w:spacing/>
        <w:ind/>
        <w:rPr>
          <w:b/>
          <w:bCs/>
          <w:caps/>
        </w:rPr>
      </w:pPr>
      <w:r>
        <w:rPr>
          <w:b/>
          <w:bCs/>
          <w:caps/>
        </w:rPr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widowControl w:val="false"/>
        <w:pBdr/>
        <w:spacing/>
        <w:ind w:firstLine="709"/>
        <w:jc w:val="both"/>
        <w:rPr/>
      </w:pPr>
      <w:r>
        <w:t xml:space="preserve">10</w:t>
      </w:r>
      <w:r>
        <w:t xml:space="preserve">.1. Споры, возникающие при исполнении настоящего Контракта, урегулируются путем переговоров. При </w:t>
      </w:r>
      <w:r>
        <w:t xml:space="preserve">не достижении</w:t>
      </w:r>
      <w:r>
        <w:t xml:space="preserve"> Сторонами согласия спор может быть передан на рассмотрение Арбитражного суда города Санкт-Петербурга и Ленинградской области.</w:t>
      </w:r>
      <w:r/>
    </w:p>
    <w:p>
      <w:pPr>
        <w:widowControl w:val="false"/>
        <w:pBdr/>
        <w:spacing/>
        <w:ind w:firstLine="709"/>
        <w:jc w:val="both"/>
        <w:rPr>
          <w:bCs/>
        </w:rPr>
      </w:pPr>
      <w:r>
        <w:t xml:space="preserve">10</w:t>
      </w:r>
      <w:r>
        <w:t xml:space="preserve">.2. Любые изменения и дополнения к настоящему Контракту действительны, если они совершены в письменной форме, подписаны обеими Сторонами и внесены </w:t>
      </w:r>
      <w:r>
        <w:rPr>
          <w:bCs/>
        </w:rPr>
        <w:t xml:space="preserve">в Реестр контрактов, заключенных заказчиками.</w:t>
      </w:r>
      <w:r>
        <w:rPr>
          <w:bCs/>
        </w:rPr>
      </w:r>
      <w:r>
        <w:rPr>
          <w:bCs/>
        </w:rPr>
      </w:r>
    </w:p>
    <w:p>
      <w:pPr>
        <w:widowControl w:val="false"/>
        <w:pBdr/>
        <w:spacing/>
        <w:ind w:firstLine="709"/>
        <w:jc w:val="both"/>
        <w:rPr/>
      </w:pPr>
      <w:r>
        <w:t xml:space="preserve">10</w:t>
      </w:r>
      <w:r>
        <w:t xml:space="preserve">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10</w:t>
      </w:r>
      <w:r>
        <w:t xml:space="preserve">.4. Все, что не урегулировано настоящим Контрактом, регулируется действующим гражданским законодательством РФ.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10</w:t>
      </w:r>
      <w:r>
        <w:t xml:space="preserve">.5. Настоящий Контракт составлен в двух экземплярах, имеющих одинаковую юридическую силу для обеих сторон. 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10</w:t>
      </w:r>
      <w:r>
        <w:t xml:space="preserve">.</w:t>
      </w:r>
      <w:r>
        <w:t xml:space="preserve">6.Настоящий</w:t>
      </w:r>
      <w:r>
        <w:t xml:space="preserve"> Контракт составлен в форме электронного документа, подписанного электронными цифровыми подписями уп</w:t>
      </w:r>
      <w:r>
        <w:t xml:space="preserve">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</w:t>
      </w:r>
      <w:r>
        <w:t xml:space="preserve">собственноручной подписи лица в документе на бумажном носителе, заверенном печатью.</w:t>
      </w:r>
      <w:r/>
    </w:p>
    <w:p>
      <w:pPr>
        <w:widowControl w:val="false"/>
        <w:pBdr/>
        <w:spacing/>
        <w:ind/>
        <w:jc w:val="both"/>
        <w:rPr/>
      </w:pPr>
      <w:r>
        <w:t xml:space="preserve">          10</w:t>
      </w:r>
      <w:r>
        <w:t xml:space="preserve">.8. К настоящему Контракту прилагаются и являются его неотъемлемой частью: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      - Приложение № 1 «</w:t>
      </w:r>
      <w:r>
        <w:t xml:space="preserve">Техническое задание</w:t>
      </w:r>
      <w:r>
        <w:t xml:space="preserve">».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      -</w:t>
      </w:r>
      <w:r>
        <w:t xml:space="preserve"> </w:t>
      </w:r>
      <w:r>
        <w:t xml:space="preserve">Приложение № </w:t>
      </w:r>
      <w:r>
        <w:t xml:space="preserve">2</w:t>
      </w:r>
      <w:r>
        <w:t xml:space="preserve"> «Спецификация т</w:t>
      </w:r>
      <w:r>
        <w:t xml:space="preserve">овара</w:t>
      </w:r>
      <w:r/>
    </w:p>
    <w:p>
      <w:pPr>
        <w:widowControl w:val="false"/>
        <w:pBdr/>
        <w:spacing/>
        <w:ind w:firstLine="709"/>
        <w:jc w:val="both"/>
        <w:rPr/>
      </w:pPr>
      <w:r/>
      <w:r/>
    </w:p>
    <w:p>
      <w:pPr>
        <w:pStyle w:val="913"/>
        <w:pBdr/>
        <w:spacing/>
        <w:ind w:firstLine="539"/>
        <w:jc w:val="center"/>
        <w:rPr>
          <w:b/>
          <w:bCs/>
          <w:caps/>
        </w:rPr>
      </w:pPr>
      <w:r>
        <w:rPr>
          <w:b/>
          <w:bCs/>
          <w:caps/>
        </w:rPr>
        <w:t xml:space="preserve">11</w:t>
      </w:r>
      <w:r>
        <w:rPr>
          <w:b/>
          <w:bCs/>
          <w:caps/>
        </w:rPr>
        <w:t xml:space="preserve">. МЕСТО НАХОЖДЕНИЯ (адреса)</w:t>
      </w:r>
      <w:r>
        <w:rPr>
          <w:b/>
          <w:bCs/>
          <w:caps/>
        </w:rPr>
        <w:t xml:space="preserve"> БАНКОВСКИЕ РЕКВИЗИТЫ</w:t>
      </w:r>
      <w:r>
        <w:rPr>
          <w:b/>
          <w:bCs/>
          <w:caps/>
        </w:rPr>
        <w:t xml:space="preserve">, подписи</w:t>
      </w:r>
      <w:r>
        <w:rPr>
          <w:b/>
          <w:bCs/>
          <w:caps/>
        </w:rPr>
        <w:t xml:space="preserve"> СТОРОН</w:t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913"/>
        <w:pBdr/>
        <w:spacing/>
        <w:ind w:firstLine="540"/>
        <w:jc w:val="center"/>
        <w:rPr>
          <w:b/>
          <w:bCs/>
          <w:caps/>
        </w:rPr>
      </w:pPr>
      <w:r>
        <w:rPr>
          <w:b/>
          <w:bCs/>
          <w:caps/>
        </w:rPr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913"/>
        <w:pBdr/>
        <w:spacing/>
        <w:ind w:firstLine="540"/>
        <w:jc w:val="center"/>
        <w:rPr>
          <w:b/>
          <w:bCs/>
          <w:caps/>
        </w:rPr>
      </w:pPr>
      <w:r>
        <w:rPr>
          <w:b/>
          <w:bCs/>
          <w:caps/>
        </w:rPr>
      </w:r>
      <w:r>
        <w:rPr>
          <w:b/>
          <w:bCs/>
          <w:caps/>
        </w:rPr>
      </w:r>
      <w:r>
        <w:rPr>
          <w:b/>
          <w:bCs/>
          <w:caps/>
        </w:rPr>
      </w:r>
    </w:p>
    <w:tbl>
      <w:tblPr>
        <w:tblInd w:w="2" w:type="dxa"/>
        <w:tblW w:w="9498" w:type="dxa"/>
        <w:tblBorders/>
        <w:tblLayout w:type="fixed"/>
        <w:tblLook w:val="0000" w:firstRow="0" w:lastRow="0" w:firstColumn="0" w:lastColumn="0" w:noHBand="0" w:noVBand="0"/>
      </w:tblPr>
      <w:tblGrid>
        <w:gridCol w:w="4458"/>
        <w:gridCol w:w="504"/>
        <w:gridCol w:w="4536"/>
      </w:tblGrid>
      <w:tr>
        <w:trPr>
          <w:trHeight w:val="387"/>
        </w:trPr>
        <w:tc>
          <w:tcPr>
            <w:tcBorders>
              <w:right w:val="single" w:color="auto" w:sz="4" w:space="0"/>
            </w:tcBorders>
            <w:tcW w:w="4458" w:type="dxa"/>
            <w:textDirection w:val="lrTb"/>
            <w:noWrap w:val="false"/>
          </w:tcPr>
          <w:tbl>
            <w:tblPr>
              <w:tblInd w:w="2" w:type="dxa"/>
              <w:tblW w:w="9498" w:type="dxa"/>
              <w:tblBorders/>
              <w:tblLayout w:type="fixed"/>
              <w:tblLook w:val="0000" w:firstRow="0" w:lastRow="0" w:firstColumn="0" w:lastColumn="0" w:noHBand="0" w:noVBand="0"/>
            </w:tblPr>
            <w:tblGrid>
              <w:gridCol w:w="4458"/>
              <w:gridCol w:w="504"/>
              <w:gridCol w:w="4536"/>
            </w:tblGrid>
            <w:tr>
              <w:trPr>
                <w:trHeight w:val="387"/>
              </w:trPr>
              <w:tc>
                <w:tcPr>
                  <w:tcBorders>
                    <w:right w:val="single" w:color="auto" w:sz="4" w:space="0"/>
                  </w:tcBorders>
                  <w:tcW w:w="4458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ЗАКАЗЧИК</w:t>
                  </w:r>
                  <w:r>
                    <w:rPr>
                      <w:b/>
                      <w:bCs/>
                    </w:rPr>
                  </w:r>
                  <w:r>
                    <w:rPr>
                      <w:b/>
                      <w:bCs/>
                    </w:rPr>
                  </w:r>
                </w:p>
                <w:p w14:paraId="7BE12214">
                  <w:pPr>
                    <w:pStyle w:val="923"/>
                    <w:pBdr/>
                    <w:spacing/>
                    <w:ind/>
                    <w:rPr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ГБДОУ детский сад № 20 Приморского района Санкт-Петербурга</w:t>
                  </w:r>
                  <w:r/>
                  <w:r/>
                </w:p>
                <w:p w14:paraId="3FE6E03D">
                  <w:pPr>
                    <w:pStyle w:val="923"/>
                    <w:pBdr/>
                    <w:spacing/>
                    <w:ind/>
                    <w:rPr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r>
                  <w:r/>
                  <w:r/>
                </w:p>
                <w:p w14:paraId="6DBA0853">
                  <w:pPr>
                    <w:pStyle w:val="923"/>
                    <w:pBdr/>
                    <w:spacing/>
                    <w:ind/>
                    <w:rPr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ИНН/КПП 7814046825/781401001</w:t>
                  </w:r>
                  <w:r/>
                  <w:r/>
                </w:p>
                <w:p w14:paraId="5C8D821D">
                  <w:pPr>
                    <w:pStyle w:val="923"/>
                    <w:pBdr/>
                    <w:spacing/>
                    <w:ind/>
                    <w:rPr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ОГРН 1027807590249</w:t>
                  </w:r>
                  <w:r/>
                  <w:r/>
                </w:p>
                <w:p w14:paraId="2F93B93D">
                  <w:pPr>
                    <w:pStyle w:val="923"/>
                    <w:pBdr/>
                    <w:spacing/>
                    <w:ind/>
                    <w:rPr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ОКЦ № 1 СЗГУ Банка России//УФК по г.Санкт-Петербургу, г Санкт-Петербург</w:t>
                  </w:r>
                  <w:r/>
                  <w:r/>
                </w:p>
                <w:p w14:paraId="7BA9BC11">
                  <w:pPr>
                    <w:pStyle w:val="923"/>
                    <w:pBdr/>
                    <w:spacing/>
                    <w:ind/>
                    <w:rPr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БИК 014030106</w:t>
                  </w:r>
                  <w:r/>
                  <w:r/>
                </w:p>
                <w:p w14:paraId="5C944E11">
                  <w:pPr>
                    <w:pStyle w:val="923"/>
                    <w:pBdr/>
                    <w:spacing/>
                    <w:ind/>
                    <w:rPr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Л/с 0641076 в Комитете финансов Санкт-Петербурга</w:t>
                  </w:r>
                  <w:r/>
                  <w:r/>
                </w:p>
                <w:p w14:paraId="7FF515B1">
                  <w:pPr>
                    <w:pStyle w:val="923"/>
                    <w:pBdr/>
                    <w:spacing/>
                    <w:ind/>
                    <w:rPr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Р/с 03224643400000007200</w:t>
                  </w:r>
                  <w:r/>
                  <w:r/>
                </w:p>
                <w:p w14:paraId="1E673E7A">
                  <w:pPr>
                    <w:pStyle w:val="923"/>
                    <w:pBdr/>
                    <w:spacing/>
                    <w:ind/>
                    <w:rPr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К/с 40102810945370000005</w:t>
                  </w:r>
                  <w:r/>
                  <w:r/>
                </w:p>
                <w:p w14:paraId="0368FDC5">
                  <w:pPr>
                    <w:pStyle w:val="923"/>
                    <w:pBdr/>
                    <w:spacing/>
                    <w:ind/>
                    <w:rPr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Адрес: 197183, Санкт-Петербург, ул.Дибуновская, д.10, лит.А</w:t>
                  </w:r>
                  <w:r/>
                  <w:r/>
                </w:p>
                <w:p w14:paraId="0B22462C">
                  <w:pPr>
                    <w:pStyle w:val="923"/>
                    <w:pBdr/>
                    <w:spacing/>
                    <w:ind/>
                    <w:rPr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Телефон:  (812) 246-37-60</w:t>
                  </w:r>
                  <w:r/>
                  <w:r/>
                </w:p>
                <w:p w14:paraId="20952151">
                  <w:pPr>
                    <w:pStyle w:val="923"/>
                    <w:pBdr/>
                    <w:spacing/>
                    <w:ind/>
                    <w:rPr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E-mail: primdou-20@mail.ru</w:t>
                  </w:r>
                  <w:r/>
                  <w:r/>
                </w:p>
                <w:p>
                  <w:pPr>
                    <w:pStyle w:val="923"/>
                    <w:pBdr/>
                    <w:spacing/>
                    <w:ind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r>
                </w:p>
                <w:p>
                  <w:pPr>
                    <w:pStyle w:val="923"/>
                    <w:pBdr/>
                    <w:spacing/>
                    <w:ind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r>
                </w:p>
                <w:p>
                  <w:pPr>
                    <w:pStyle w:val="923"/>
                    <w:pBdr/>
                    <w:spacing/>
                    <w:ind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r>
                </w:p>
                <w:p>
                  <w:pPr>
                    <w:pStyle w:val="923"/>
                    <w:pBdr/>
                    <w:spacing/>
                    <w:ind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Заведующий ГБДОУ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r>
                </w:p>
                <w:p>
                  <w:pPr>
                    <w:pStyle w:val="923"/>
                    <w:pBdr/>
                    <w:spacing/>
                    <w:ind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детский сад №20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r>
                </w:p>
                <w:p>
                  <w:pPr>
                    <w:pStyle w:val="923"/>
                    <w:pBdr/>
                    <w:spacing/>
                    <w:ind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r>
                </w:p>
                <w:p>
                  <w:pPr>
                    <w:pStyle w:val="923"/>
                    <w:pBdr/>
                    <w:spacing/>
                    <w:ind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__________________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Ю.В.Скорбящева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r>
                </w:p>
                <w:p>
                  <w:pPr>
                    <w:pBdr/>
                    <w:spacing/>
                    <w:ind/>
                    <w:rPr>
                      <w:lang w:eastAsia="ar-SA"/>
                    </w:rPr>
                  </w:pPr>
                  <w:r>
                    <w:rPr>
                      <w:lang w:eastAsia="ar-SA"/>
                    </w:rPr>
                    <w:t xml:space="preserve">/Подписано ЭЦП/</w:t>
                  </w:r>
                  <w:r>
                    <w:rPr>
                      <w:lang w:eastAsia="ar-SA"/>
                    </w:rPr>
                  </w:r>
                  <w:r>
                    <w:rPr>
                      <w:lang w:eastAsia="ar-SA"/>
                    </w:rPr>
                  </w:r>
                </w:p>
              </w:tc>
              <w:tc>
                <w:tcPr>
                  <w:tcBorders>
                    <w:left w:val="single" w:color="auto" w:sz="4" w:space="0"/>
                  </w:tcBorders>
                  <w:tcW w:w="504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/>
                  </w:pPr>
                  <w:r/>
                  <w:r/>
                </w:p>
                <w:p>
                  <w:pPr>
                    <w:pBdr/>
                    <w:spacing/>
                    <w:ind/>
                    <w:rPr/>
                  </w:pPr>
                  <w:r/>
                  <w:r/>
                </w:p>
                <w:p>
                  <w:pPr>
                    <w:pBdr/>
                    <w:spacing/>
                    <w:ind/>
                    <w:rPr/>
                  </w:pPr>
                  <w:r/>
                  <w:r/>
                </w:p>
                <w:p>
                  <w:pPr>
                    <w:pBdr/>
                    <w:spacing/>
                    <w:ind/>
                    <w:rPr/>
                  </w:pPr>
                  <w:r/>
                  <w:r/>
                </w:p>
                <w:p>
                  <w:pPr>
                    <w:pBdr/>
                    <w:spacing/>
                    <w:ind/>
                    <w:rPr/>
                  </w:pPr>
                  <w:r/>
                  <w:r/>
                </w:p>
                <w:p>
                  <w:pPr>
                    <w:pBdr/>
                    <w:spacing/>
                    <w:ind/>
                    <w:rPr/>
                  </w:pPr>
                  <w:r/>
                  <w:r/>
                </w:p>
                <w:p>
                  <w:pPr>
                    <w:pBdr/>
                    <w:spacing/>
                    <w:ind/>
                    <w:rPr/>
                  </w:pPr>
                  <w:r/>
                  <w:r/>
                </w:p>
                <w:p>
                  <w:pPr>
                    <w:pBdr/>
                    <w:spacing/>
                    <w:ind/>
                    <w:rPr/>
                  </w:pPr>
                  <w:r/>
                  <w:r/>
                </w:p>
                <w:p>
                  <w:pPr>
                    <w:pBdr/>
                    <w:spacing/>
                    <w:ind/>
                    <w:rPr/>
                  </w:pPr>
                  <w:r/>
                  <w:r/>
                </w:p>
                <w:p>
                  <w:pPr>
                    <w:pBdr/>
                    <w:spacing/>
                    <w:ind/>
                    <w:rPr/>
                  </w:pPr>
                  <w:r/>
                  <w:r/>
                </w:p>
                <w:p>
                  <w:pPr>
                    <w:pBdr/>
                    <w:spacing/>
                    <w:ind/>
                    <w:rPr/>
                  </w:pPr>
                  <w:r/>
                  <w:r/>
                </w:p>
                <w:p>
                  <w:pPr>
                    <w:pBdr/>
                    <w:spacing/>
                    <w:ind/>
                    <w:rPr/>
                  </w:pPr>
                  <w:r/>
                  <w:r/>
                </w:p>
                <w:p>
                  <w:pPr>
                    <w:pBdr/>
                    <w:spacing/>
                    <w:ind/>
                    <w:jc w:val="center"/>
                    <w:rPr/>
                  </w:pPr>
                  <w:r/>
                  <w:r/>
                </w:p>
              </w:tc>
              <w:tc>
                <w:tcPr>
                  <w:tcBorders/>
                  <w:tcW w:w="4536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jc w:val="center"/>
                    <w:rPr/>
                  </w:pPr>
                  <w:r>
                    <w:rPr>
                      <w:b/>
                      <w:bCs/>
                      <w:caps/>
                    </w:rPr>
                    <w:t xml:space="preserve">ПОставщИК</w:t>
                  </w:r>
                  <w:r>
                    <w:t xml:space="preserve">:</w:t>
                  </w:r>
                  <w:r>
                    <w:tab/>
                  </w:r>
                  <w:r/>
                </w:p>
                <w:p>
                  <w:pPr>
                    <w:pBdr/>
                    <w:spacing/>
                    <w:ind w:right="-567"/>
                    <w:rPr/>
                  </w:pPr>
                  <w:r>
                    <w:t xml:space="preserve">ООО "Рубин"</w:t>
                  </w:r>
                  <w:r/>
                </w:p>
                <w:p>
                  <w:pPr>
                    <w:pBdr/>
                    <w:spacing/>
                    <w:ind w:right="-567"/>
                    <w:rPr/>
                  </w:pPr>
                  <w:r>
                    <w:t xml:space="preserve">ИНН 7804422608</w:t>
                  </w:r>
                  <w:r/>
                </w:p>
                <w:p>
                  <w:pPr>
                    <w:pBdr/>
                    <w:spacing/>
                    <w:ind w:right="-567"/>
                    <w:rPr/>
                  </w:pPr>
                  <w:r>
                    <w:t xml:space="preserve">КПП 780401001</w:t>
                  </w:r>
                  <w:r/>
                </w:p>
                <w:p>
                  <w:pPr>
                    <w:pBdr/>
                    <w:spacing/>
                    <w:ind w:right="-567"/>
                    <w:rPr/>
                  </w:pPr>
                  <w:r>
                    <w:t xml:space="preserve">ОКОПФ 12300</w:t>
                  </w:r>
                  <w:r/>
                </w:p>
                <w:p>
                  <w:pPr>
                    <w:pBdr/>
                    <w:spacing/>
                    <w:ind w:right="-567"/>
                    <w:rPr/>
                  </w:pPr>
                  <w:r>
                    <w:t xml:space="preserve">ОГРН 1097847264602</w:t>
                  </w:r>
                  <w:r/>
                </w:p>
                <w:p>
                  <w:pPr>
                    <w:pBdr/>
                    <w:spacing/>
                    <w:ind w:right="-567"/>
                    <w:rPr/>
                  </w:pPr>
                  <w:r>
                    <w:t xml:space="preserve">ОКПО 62998316</w:t>
                  </w:r>
                  <w:r/>
                </w:p>
                <w:p>
                  <w:pPr>
                    <w:pBdr/>
                    <w:spacing/>
                    <w:ind w:right="-567"/>
                    <w:rPr/>
                  </w:pPr>
                  <w:r>
                    <w:t xml:space="preserve">Дата постановки в налоговый орган </w:t>
                  </w:r>
                  <w:r/>
                </w:p>
                <w:p>
                  <w:pPr>
                    <w:pBdr/>
                    <w:spacing/>
                    <w:ind w:right="-567"/>
                    <w:rPr/>
                  </w:pPr>
                  <w:r>
                    <w:t xml:space="preserve">29.09.2009</w:t>
                  </w:r>
                  <w:r/>
                </w:p>
                <w:p>
                  <w:pPr>
                    <w:pBdr/>
                    <w:spacing/>
                    <w:ind w:right="-567"/>
                    <w:rPr/>
                  </w:pPr>
                  <w:r>
                    <w:t xml:space="preserve">Почтовый адрес</w:t>
                  </w:r>
                  <w:r/>
                </w:p>
                <w:p>
                  <w:pPr>
                    <w:pBdr/>
                    <w:spacing/>
                    <w:ind w:right="-567"/>
                    <w:rPr/>
                  </w:pPr>
                  <w:r>
                    <w:t xml:space="preserve">195220, Российская Федерация, Санкт-Петербург г., Калининский, Санкт-Петербург, Санкт-Петербург, Бутлерова, 18, -, 36</w:t>
                  </w:r>
                  <w:r/>
                </w:p>
                <w:p>
                  <w:pPr>
                    <w:pBdr/>
                    <w:spacing/>
                    <w:ind w:right="-567"/>
                    <w:rPr/>
                  </w:pPr>
                  <w:r>
                    <w:t xml:space="preserve">Местонахождение</w:t>
                  </w:r>
                  <w:r/>
                </w:p>
                <w:p>
                  <w:pPr>
                    <w:pBdr/>
                    <w:spacing/>
                    <w:ind w:right="-567"/>
                    <w:rPr/>
                  </w:pPr>
                  <w:r>
                    <w:t xml:space="preserve">195220, Российская Федерация, Санкт-Петербург г., Калининский, Санкт-Петербург, Санкт-Петербург, Бутлерова, 18, -, 36</w:t>
                  </w:r>
                  <w:r/>
                </w:p>
                <w:p>
                  <w:pPr>
                    <w:pBdr/>
                    <w:spacing/>
                    <w:ind w:right="-567"/>
                    <w:rPr/>
                  </w:pPr>
                  <w:r>
                    <w:t xml:space="preserve">Телефон 79219515762</w:t>
                  </w:r>
                  <w:r/>
                </w:p>
                <w:p>
                  <w:pPr>
                    <w:pBdr/>
                    <w:spacing/>
                    <w:ind w:right="-567"/>
                    <w:rPr/>
                  </w:pPr>
                  <w:r>
                    <w:t xml:space="preserve">Факс 79219515762</w:t>
                  </w:r>
                  <w:r/>
                </w:p>
                <w:p>
                  <w:pPr>
                    <w:pBdr/>
                    <w:spacing/>
                    <w:ind w:right="-567"/>
                    <w:rPr/>
                  </w:pPr>
                  <w:r>
                    <w:t xml:space="preserve">Электронная почта tenders2015@mail.ru</w:t>
                  </w:r>
                  <w:r/>
                </w:p>
                <w:p>
                  <w:pPr>
                    <w:pBdr/>
                    <w:spacing/>
                    <w:ind w:right="-567"/>
                    <w:rPr/>
                  </w:pPr>
                  <w:r>
                    <w:t xml:space="preserve">Контактное лицо</w:t>
                  </w:r>
                  <w:r/>
                </w:p>
                <w:p>
                  <w:pPr>
                    <w:pBdr/>
                    <w:spacing/>
                    <w:ind w:right="-567"/>
                    <w:rPr/>
                  </w:pPr>
                  <w:r>
                    <w:t xml:space="preserve">Костин Александр Васильевич</w:t>
                  </w:r>
                  <w:r/>
                </w:p>
                <w:p>
                  <w:pPr>
                    <w:pBdr/>
                    <w:spacing/>
                    <w:ind w:right="-567"/>
                    <w:rPr/>
                  </w:pPr>
                  <w:r/>
                  <w:r/>
                </w:p>
                <w:p>
                  <w:pPr>
                    <w:keepNext w:val="true"/>
                    <w:keepLines w:val="true"/>
                    <w:pBdr/>
                    <w:spacing/>
                    <w:ind/>
                    <w:jc w:val="both"/>
                    <w:rPr/>
                  </w:pPr>
                  <w:r>
                    <w:t xml:space="preserve">Директор</w:t>
                  </w:r>
                  <w:r/>
                </w:p>
                <w:p>
                  <w:pPr>
                    <w:keepNext w:val="true"/>
                    <w:keepLines w:val="true"/>
                    <w:pBdr/>
                    <w:spacing/>
                    <w:ind/>
                    <w:jc w:val="both"/>
                    <w:rPr/>
                  </w:pPr>
                  <w:r/>
                  <w:r/>
                </w:p>
                <w:p>
                  <w:pPr>
                    <w:keepNext w:val="true"/>
                    <w:keepLines w:val="true"/>
                    <w:pBdr/>
                    <w:spacing/>
                    <w:ind/>
                    <w:jc w:val="both"/>
                    <w:rPr/>
                  </w:pPr>
                  <w:r>
                    <w:t xml:space="preserve">____________</w:t>
                  </w:r>
                  <w:r>
                    <w:t xml:space="preserve">А.В.Костин</w:t>
                  </w:r>
                  <w:r/>
                </w:p>
              </w:tc>
            </w:tr>
          </w:tbl>
          <w:p>
            <w:pPr>
              <w:pStyle w:val="923"/>
              <w:pBdr/>
              <w:spacing/>
              <w:ind/>
              <w:rPr/>
            </w:pPr>
            <w:r/>
            <w:r/>
          </w:p>
        </w:tc>
        <w:tc>
          <w:tcPr>
            <w:tcBorders>
              <w:left w:val="single" w:color="auto" w:sz="4" w:space="0"/>
            </w:tcBorders>
            <w:tcW w:w="50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/>
            <w:r/>
          </w:p>
        </w:tc>
        <w:tc>
          <w:tcPr>
            <w:tcBorders/>
            <w:tcW w:w="4536" w:type="dxa"/>
            <w:textDirection w:val="lrTb"/>
            <w:noWrap w:val="false"/>
          </w:tcPr>
          <w:p>
            <w:pPr>
              <w:keepNext w:val="true"/>
              <w:keepLines w:val="true"/>
              <w:pBdr/>
              <w:spacing/>
              <w:ind/>
              <w:jc w:val="both"/>
              <w:rPr>
                <w:lang w:eastAsia="ar-SA"/>
              </w:rPr>
            </w:pPr>
            <w:r>
              <w:rPr>
                <w:b/>
                <w:bCs/>
                <w:caps/>
              </w:rPr>
              <w:t xml:space="preserve">ПОставщИК</w:t>
            </w:r>
            <w:r>
              <w:t xml:space="preserve">: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keepNext w:val="true"/>
              <w:keepLines w:val="true"/>
              <w:pBdr/>
              <w:spacing/>
              <w:ind/>
              <w:jc w:val="both"/>
              <w:rPr/>
            </w:pPr>
            <w:r/>
            <w:r/>
          </w:p>
          <w:p>
            <w:pPr>
              <w:keepNext w:val="true"/>
              <w:keepLines w:val="true"/>
              <w:pBdr/>
              <w:spacing/>
              <w:ind/>
              <w:jc w:val="both"/>
              <w:rPr/>
            </w:pPr>
            <w:r/>
            <w:r/>
          </w:p>
          <w:p>
            <w:pPr>
              <w:keepNext w:val="true"/>
              <w:keepLines w:val="true"/>
              <w:pBdr/>
              <w:spacing/>
              <w:ind/>
              <w:jc w:val="both"/>
              <w:rPr/>
            </w:pPr>
            <w:r/>
            <w:r/>
          </w:p>
          <w:p>
            <w:pPr>
              <w:keepNext w:val="true"/>
              <w:keepLines w:val="true"/>
              <w:pBdr/>
              <w:spacing/>
              <w:ind/>
              <w:jc w:val="both"/>
              <w:rPr/>
            </w:pPr>
            <w:r/>
            <w:r/>
          </w:p>
          <w:p>
            <w:pPr>
              <w:keepNext w:val="true"/>
              <w:keepLines w:val="true"/>
              <w:pBdr/>
              <w:spacing/>
              <w:ind/>
              <w:jc w:val="both"/>
              <w:rPr/>
            </w:pPr>
            <w:r/>
            <w:r/>
          </w:p>
        </w:tc>
      </w:tr>
    </w:tbl>
    <w:p>
      <w:pPr>
        <w:pStyle w:val="913"/>
        <w:pBdr/>
        <w:spacing/>
        <w:ind/>
        <w:jc w:val="center"/>
        <w:rPr/>
      </w:pPr>
      <w:r>
        <w:t xml:space="preserve">/Подписано </w:t>
      </w:r>
      <w:r>
        <w:t xml:space="preserve">эцп</w:t>
      </w:r>
      <w:r>
        <w:t xml:space="preserve">/</w:t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 w14:paraId="5A96948A">
      <w:pPr>
        <w:pBdr/>
        <w:spacing/>
        <w:ind/>
        <w:rPr/>
      </w:pPr>
      <w:r/>
      <w:r/>
      <w:r/>
    </w:p>
    <w:p w14:paraId="01EF0CE7">
      <w:pPr>
        <w:pBdr/>
        <w:spacing/>
        <w:ind/>
        <w:rPr/>
      </w:pPr>
      <w:r/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widowControl w:val="false"/>
        <w:pBdr/>
        <w:spacing/>
        <w:ind/>
        <w:jc w:val="right"/>
        <w:outlineLvl w:val="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Приложение  №</w:t>
      </w:r>
      <w:r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1</w:t>
      </w:r>
      <w:r>
        <w:rPr>
          <w:bCs/>
          <w:sz w:val="20"/>
          <w:szCs w:val="20"/>
        </w:rPr>
        <w:br/>
      </w:r>
      <w:r>
        <w:rPr>
          <w:bCs/>
          <w:sz w:val="20"/>
          <w:szCs w:val="20"/>
        </w:rPr>
        <w:t xml:space="preserve"> к контракту </w:t>
      </w:r>
      <w:r>
        <w:rPr>
          <w:bCs/>
          <w:sz w:val="20"/>
          <w:szCs w:val="20"/>
        </w:rPr>
        <w:t xml:space="preserve">№</w:t>
      </w:r>
      <w:r>
        <w:rPr>
          <w:bCs/>
          <w:sz w:val="20"/>
          <w:szCs w:val="20"/>
        </w:rPr>
        <w:t xml:space="preserve">_________ </w:t>
      </w:r>
      <w:r>
        <w:rPr>
          <w:bCs/>
          <w:sz w:val="20"/>
          <w:szCs w:val="20"/>
        </w:rPr>
        <w:t xml:space="preserve">от </w:t>
      </w:r>
      <w:r>
        <w:rPr>
          <w:bCs/>
          <w:sz w:val="20"/>
          <w:szCs w:val="20"/>
        </w:rPr>
        <w:t xml:space="preserve">__________</w:t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jc w:val="center"/>
        <w:rPr>
          <w:b/>
        </w:rPr>
      </w:pPr>
      <w:r>
        <w:rPr>
          <w:b/>
        </w:rPr>
        <w:t xml:space="preserve">Техническое задание</w:t>
      </w:r>
      <w:r>
        <w:rPr>
          <w:b/>
        </w:rPr>
        <w:t xml:space="preserve">.</w:t>
      </w:r>
      <w:r>
        <w:rPr>
          <w:b/>
        </w:rPr>
      </w:r>
      <w:r>
        <w:rPr>
          <w:b/>
        </w:rPr>
      </w:r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keepLines w:val="true"/>
        <w:pBdr/>
        <w:spacing/>
        <w:ind w:firstLine="468"/>
        <w:jc w:val="center"/>
        <w:rPr>
          <w:b/>
          <w:lang w:eastAsia="ar-SA"/>
        </w:rPr>
      </w:pPr>
      <w:r>
        <w:rPr>
          <w:b/>
          <w:lang w:eastAsia="ar-SA"/>
        </w:rPr>
        <w:t xml:space="preserve">1. Предмет закупки, начальная (максимальная) цена контракта</w:t>
      </w:r>
      <w:r>
        <w:rPr>
          <w:b/>
          <w:lang w:eastAsia="ar-SA"/>
        </w:rPr>
      </w:r>
      <w:r>
        <w:rPr>
          <w:b/>
          <w:lang w:eastAsia="ar-SA"/>
        </w:rPr>
      </w:r>
    </w:p>
    <w:p>
      <w:pPr>
        <w:pBdr/>
        <w:spacing/>
        <w:ind/>
        <w:jc w:val="both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926"/>
        <w:numPr>
          <w:ilvl w:val="1"/>
          <w:numId w:val="5"/>
        </w:numPr>
        <w:pBdr/>
        <w:spacing/>
        <w:ind/>
        <w:jc w:val="both"/>
        <w:rPr/>
      </w:pPr>
      <w:r>
        <w:t xml:space="preserve">Предметом настоящего Контракта являетс</w:t>
      </w:r>
      <w:r>
        <w:t xml:space="preserve">я поставка воды </w:t>
      </w:r>
      <w:r>
        <w:t xml:space="preserve">бутилированной</w:t>
      </w:r>
      <w:r>
        <w:t xml:space="preserve">  (</w:t>
      </w:r>
      <w:r>
        <w:t xml:space="preserve">далее-товар) для нужд </w:t>
      </w:r>
      <w:r>
        <w:t xml:space="preserve">ГБДОУ детского сада №20 Приморского района Санкт-Петербурга в 2026 году</w:t>
      </w:r>
      <w:r>
        <w:t xml:space="preserve"> </w:t>
      </w:r>
      <w:r/>
    </w:p>
    <w:p>
      <w:pPr>
        <w:pBdr/>
        <w:spacing w:after="60"/>
        <w:ind w:firstLine="567"/>
        <w:jc w:val="center"/>
        <w:rPr>
          <w:b/>
          <w:color w:val="000000"/>
          <w:lang w:eastAsia="ar-SA"/>
        </w:rPr>
      </w:pPr>
      <w:r>
        <w:rPr>
          <w:b/>
          <w:color w:val="000000"/>
          <w:lang w:eastAsia="ar-SA"/>
        </w:rPr>
        <w:t xml:space="preserve">2</w:t>
      </w:r>
      <w:r>
        <w:rPr>
          <w:color w:val="000000"/>
          <w:lang w:eastAsia="ar-SA"/>
        </w:rPr>
        <w:t xml:space="preserve">. </w:t>
      </w:r>
      <w:r>
        <w:rPr>
          <w:b/>
          <w:color w:val="000000"/>
          <w:lang w:eastAsia="ar-SA"/>
        </w:rPr>
        <w:t xml:space="preserve">Цели и правовое основание для оказания услуг</w:t>
      </w:r>
      <w:r>
        <w:rPr>
          <w:b/>
          <w:color w:val="000000"/>
          <w:lang w:eastAsia="ar-SA"/>
        </w:rPr>
      </w:r>
      <w:r>
        <w:rPr>
          <w:b/>
          <w:color w:val="000000"/>
          <w:lang w:eastAsia="ar-SA"/>
        </w:rPr>
      </w:r>
    </w:p>
    <w:p>
      <w:pPr>
        <w:pBdr/>
        <w:tabs>
          <w:tab w:val="left" w:leader="none" w:pos="0"/>
        </w:tabs>
        <w:spacing w:after="60"/>
        <w:ind/>
        <w:jc w:val="both"/>
        <w:rPr/>
      </w:pPr>
      <w:r>
        <w:rPr>
          <w:color w:val="000000"/>
          <w:lang w:eastAsia="ar-SA"/>
        </w:rPr>
        <w:t xml:space="preserve">2.1</w:t>
      </w:r>
      <w:r>
        <w:rPr>
          <w:color w:val="000000"/>
          <w:lang w:eastAsia="ar-SA"/>
        </w:rPr>
        <w:t xml:space="preserve">. </w:t>
      </w:r>
      <w:r>
        <w:t xml:space="preserve">Целями данной закупки является обеспечение </w:t>
      </w:r>
      <w:r>
        <w:t xml:space="preserve">ГБДОУ детского сада №20 Приморского района Санкт-Петербурга</w:t>
      </w:r>
      <w:r>
        <w:t xml:space="preserve"> </w:t>
      </w:r>
      <w:r>
        <w:t xml:space="preserve">водой бутилированной</w:t>
      </w:r>
      <w:r>
        <w:t xml:space="preserve">.</w:t>
      </w:r>
      <w:r/>
    </w:p>
    <w:p>
      <w:pPr>
        <w:pBdr/>
        <w:spacing w:after="60"/>
        <w:ind/>
        <w:jc w:val="both"/>
        <w:rPr>
          <w:lang w:eastAsia="ar-SA"/>
        </w:rPr>
      </w:pPr>
      <w:r>
        <w:rPr>
          <w:color w:val="000000"/>
          <w:lang w:eastAsia="ar-SA"/>
        </w:rPr>
        <w:t xml:space="preserve">2.</w:t>
      </w:r>
      <w:r>
        <w:rPr>
          <w:color w:val="000000"/>
          <w:lang w:eastAsia="ar-SA"/>
        </w:rPr>
        <w:t xml:space="preserve">2.</w:t>
      </w:r>
      <w:r>
        <w:rPr>
          <w:color w:val="000000"/>
          <w:lang w:eastAsia="ar-SA"/>
        </w:rPr>
        <w:t xml:space="preserve"> Основанием для закупки услуг является </w:t>
      </w:r>
      <w:r>
        <w:rPr>
          <w:bCs/>
          <w:color w:val="000000"/>
          <w:lang w:eastAsia="ar-SA"/>
        </w:rPr>
        <w:t xml:space="preserve">Закон Санкт-Петербурга </w:t>
      </w:r>
      <w:r>
        <w:rPr>
          <w:lang w:eastAsia="ar-SA"/>
        </w:rPr>
      </w:r>
      <w:r>
        <w:rPr>
          <w:lang w:eastAsia="ar-SA"/>
        </w:rPr>
      </w:r>
    </w:p>
    <w:p>
      <w:pPr>
        <w:pBdr/>
        <w:spacing w:after="60"/>
        <w:ind w:firstLine="567"/>
        <w:jc w:val="center"/>
        <w:rPr>
          <w:b/>
          <w:color w:val="000000"/>
          <w:lang w:eastAsia="ar-SA"/>
        </w:rPr>
      </w:pPr>
      <w:r>
        <w:rPr>
          <w:b/>
          <w:color w:val="000000"/>
          <w:lang w:eastAsia="ar-SA"/>
        </w:rPr>
        <w:t xml:space="preserve">3. Источник финансирования государственного заказа </w:t>
      </w:r>
      <w:r>
        <w:rPr>
          <w:b/>
          <w:color w:val="000000"/>
          <w:lang w:eastAsia="ar-SA"/>
        </w:rPr>
      </w:r>
      <w:r>
        <w:rPr>
          <w:b/>
          <w:color w:val="000000"/>
          <w:lang w:eastAsia="ar-SA"/>
        </w:rPr>
      </w:r>
    </w:p>
    <w:p>
      <w:pPr>
        <w:pBdr/>
        <w:spacing w:after="60"/>
        <w:ind w:firstLine="567"/>
        <w:jc w:val="center"/>
        <w:rPr>
          <w:b/>
          <w:color w:val="000000"/>
          <w:lang w:eastAsia="ar-SA"/>
        </w:rPr>
      </w:pPr>
      <w:r>
        <w:rPr>
          <w:b/>
          <w:color w:val="000000"/>
          <w:lang w:eastAsia="ar-SA"/>
        </w:rPr>
        <w:t xml:space="preserve">Санкт-Петербурга</w:t>
      </w:r>
      <w:r>
        <w:rPr>
          <w:b/>
          <w:color w:val="000000"/>
          <w:lang w:eastAsia="ar-SA"/>
        </w:rPr>
      </w:r>
      <w:r>
        <w:rPr>
          <w:b/>
          <w:color w:val="000000"/>
          <w:lang w:eastAsia="ar-SA"/>
        </w:rPr>
      </w:r>
    </w:p>
    <w:p>
      <w:pPr>
        <w:widowControl w:val="false"/>
        <w:pBdr/>
        <w:tabs>
          <w:tab w:val="left" w:leader="none" w:pos="900"/>
        </w:tabs>
        <w:spacing/>
        <w:ind/>
        <w:jc w:val="both"/>
        <w:rPr>
          <w:bCs/>
        </w:rPr>
      </w:pPr>
      <w:r>
        <w:rPr>
          <w:bCs/>
        </w:rPr>
        <w:t xml:space="preserve">3.1. </w:t>
      </w:r>
      <w:r>
        <w:rPr>
          <w:bCs/>
        </w:rPr>
        <w:t xml:space="preserve">Источник финансирования: </w:t>
      </w:r>
      <w:r>
        <w:rPr>
          <w:bCs/>
        </w:rPr>
        <w:t xml:space="preserve">внебюджетные средства</w:t>
      </w:r>
      <w:r>
        <w:rPr>
          <w:bCs/>
        </w:rPr>
        <w:t xml:space="preserve"> </w:t>
      </w:r>
      <w:r>
        <w:rPr>
          <w:bCs/>
        </w:rPr>
      </w:r>
    </w:p>
    <w:p>
      <w:pPr>
        <w:widowControl w:val="false"/>
        <w:pBdr/>
        <w:tabs>
          <w:tab w:val="left" w:leader="none" w:pos="900"/>
        </w:tabs>
        <w:spacing/>
        <w:ind/>
        <w:jc w:val="center"/>
        <w:rPr>
          <w:b/>
        </w:rPr>
      </w:pPr>
      <w:r>
        <w:rPr>
          <w:b/>
        </w:rPr>
        <w:t xml:space="preserve">4 Срок поставки товара</w:t>
      </w:r>
      <w:r>
        <w:rPr>
          <w:b/>
        </w:rPr>
      </w:r>
      <w:r>
        <w:rPr>
          <w:b/>
        </w:rPr>
      </w:r>
    </w:p>
    <w:p>
      <w:pPr>
        <w:pBdr/>
        <w:spacing/>
        <w:ind/>
        <w:jc w:val="both"/>
        <w:rPr/>
      </w:pPr>
      <w:r>
        <w:t xml:space="preserve">4</w:t>
      </w:r>
      <w:r>
        <w:t xml:space="preserve">.1. </w:t>
      </w:r>
      <w:r>
        <w:t xml:space="preserve">Поставка Товара осуществляется ежемесячно партиями по заявкам Заказчика по рабочим дням.</w:t>
      </w:r>
      <w:r/>
    </w:p>
    <w:p w14:paraId="6D77B76C">
      <w:pPr>
        <w:widowControl w:val="false"/>
        <w:pBdr/>
        <w:tabs>
          <w:tab w:val="left" w:leader="none" w:pos="426"/>
        </w:tabs>
        <w:spacing/>
        <w:ind w:right="-5"/>
        <w:jc w:val="both"/>
        <w:rPr>
          <w:rFonts w:eastAsia="Calibri"/>
          <w:sz w:val="22"/>
          <w:szCs w:val="22"/>
        </w:rPr>
      </w:pPr>
      <w:r>
        <w:t xml:space="preserve">4</w:t>
      </w:r>
      <w:r>
        <w:t xml:space="preserve">.2. Место поставки товара: </w:t>
      </w:r>
      <w:r>
        <w:t xml:space="preserve">ГБДОУ детского сада №20</w:t>
      </w:r>
      <w:r>
        <w:t xml:space="preserve">.                                                                   </w:t>
      </w:r>
      <w:r>
        <w:t xml:space="preserve">  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  <w:t xml:space="preserve">-с даты подписания контракта по 31.05.202</w:t>
      </w:r>
      <w:r>
        <w:rPr>
          <w:rFonts w:eastAsia="Calibri"/>
          <w:sz w:val="22"/>
          <w:szCs w:val="22"/>
        </w:rPr>
        <w:t xml:space="preserve">6 Санкт-Петербург, ул. Дибуновская, д.10, лит А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 w14:paraId="2EF55884">
      <w:pPr>
        <w:widowControl w:val="false"/>
        <w:pBdr/>
        <w:tabs>
          <w:tab w:val="left" w:leader="none" w:pos="426"/>
        </w:tabs>
        <w:spacing/>
        <w:ind w:right="-5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-с 01.06.202</w:t>
      </w:r>
      <w:r>
        <w:rPr>
          <w:rFonts w:eastAsia="Calibri"/>
          <w:sz w:val="22"/>
          <w:szCs w:val="22"/>
        </w:rPr>
        <w:t xml:space="preserve">6 по 31.08.202</w:t>
      </w:r>
      <w:r>
        <w:rPr>
          <w:rFonts w:eastAsia="Calibri"/>
          <w:sz w:val="22"/>
          <w:szCs w:val="22"/>
        </w:rPr>
        <w:t xml:space="preserve">6 Санкт-Петербург, пос. Солнечное, </w:t>
      </w:r>
      <w:r>
        <w:rPr>
          <w:rFonts w:eastAsia="Calibri"/>
          <w:sz w:val="22"/>
          <w:szCs w:val="22"/>
        </w:rPr>
        <w:t xml:space="preserve">ул</w:t>
      </w:r>
      <w:r>
        <w:rPr>
          <w:rFonts w:eastAsia="Calibri"/>
          <w:sz w:val="22"/>
          <w:szCs w:val="22"/>
        </w:rPr>
        <w:t xml:space="preserve"> Дачная, д.2, лит А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 w14:paraId="6B857250">
      <w:pPr>
        <w:widowControl w:val="false"/>
        <w:pBdr/>
        <w:tabs>
          <w:tab w:val="left" w:leader="none" w:pos="426"/>
        </w:tabs>
        <w:spacing/>
        <w:ind w:right="-5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-с 01.09.202</w:t>
      </w:r>
      <w:r>
        <w:rPr>
          <w:rFonts w:eastAsia="Calibri"/>
          <w:sz w:val="22"/>
          <w:szCs w:val="22"/>
        </w:rPr>
        <w:t xml:space="preserve">6 по 31.12.202</w:t>
      </w:r>
      <w:r>
        <w:rPr>
          <w:rFonts w:eastAsia="Calibri"/>
          <w:sz w:val="22"/>
          <w:szCs w:val="22"/>
        </w:rPr>
        <w:t xml:space="preserve">6 Санкт-Петербург, ул. Дибуновская, д.10, лит А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 w14:paraId="0C019292">
      <w:pPr>
        <w:widowControl w:val="false"/>
        <w:pBdr/>
        <w:tabs>
          <w:tab w:val="left" w:leader="none" w:pos="426"/>
        </w:tabs>
        <w:spacing/>
        <w:ind w:right="-5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-с даты подписания контракта по </w:t>
      </w:r>
      <w:r>
        <w:rPr>
          <w:rFonts w:eastAsia="Calibri"/>
          <w:sz w:val="22"/>
          <w:szCs w:val="22"/>
        </w:rPr>
        <w:t xml:space="preserve">31.05.202</w:t>
      </w:r>
      <w:r>
        <w:rPr>
          <w:rFonts w:eastAsia="Calibri"/>
          <w:sz w:val="22"/>
          <w:szCs w:val="22"/>
        </w:rPr>
        <w:t xml:space="preserve">6</w:t>
      </w:r>
      <w:r>
        <w:rPr>
          <w:rFonts w:eastAsia="Calibri"/>
          <w:sz w:val="22"/>
          <w:szCs w:val="22"/>
        </w:rPr>
        <w:t xml:space="preserve"> Санкт-Петербург, ул. Савушкина, д.49, лит А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 w14:paraId="70AF4F2E">
      <w:pPr>
        <w:widowControl w:val="false"/>
        <w:pBdr/>
        <w:tabs>
          <w:tab w:val="left" w:leader="none" w:pos="426"/>
        </w:tabs>
        <w:spacing/>
        <w:ind w:right="-5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- с 01.09.202</w:t>
      </w:r>
      <w:r>
        <w:rPr>
          <w:rFonts w:eastAsia="Calibri"/>
          <w:sz w:val="22"/>
          <w:szCs w:val="22"/>
        </w:rPr>
        <w:t xml:space="preserve">6 по 31.12.202</w:t>
      </w:r>
      <w:r>
        <w:rPr>
          <w:rFonts w:eastAsia="Calibri"/>
          <w:sz w:val="22"/>
          <w:szCs w:val="22"/>
        </w:rPr>
        <w:t xml:space="preserve">6 Санкт-Петербург, ул. Савушкина, д.49, лит А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  <w:r/>
      <w:r>
        <w:rPr>
          <w:rFonts w:eastAsia="Calibri"/>
          <w:sz w:val="22"/>
          <w:szCs w:val="22"/>
        </w:rPr>
      </w:r>
      <w:r/>
      <w:r>
        <w:rPr>
          <w:rFonts w:eastAsia="Calibri"/>
          <w:sz w:val="22"/>
          <w:szCs w:val="22"/>
        </w:rPr>
      </w:r>
    </w:p>
    <w:p>
      <w:pPr>
        <w:pBdr/>
        <w:spacing/>
        <w:ind/>
        <w:rPr/>
      </w:pPr>
      <w:r>
        <w:t xml:space="preserve">4</w:t>
      </w:r>
      <w:r>
        <w:t xml:space="preserve">.3. Время поставки: по рабочим дням с 9:00 до 17:00 (перерыв на обед с 13:00 до 14:00), дата по согласованию с Заказчиком.</w:t>
      </w:r>
      <w:r/>
    </w:p>
    <w:p>
      <w:pPr>
        <w:pBdr/>
        <w:spacing/>
        <w:ind/>
        <w:rPr/>
      </w:pPr>
      <w:r>
        <w:t xml:space="preserve">4</w:t>
      </w:r>
      <w:r>
        <w:t xml:space="preserve">.4. Контактное лицо: </w:t>
      </w:r>
      <w:r>
        <w:t xml:space="preserve">Сергеева Ольга Ивановна</w:t>
      </w:r>
      <w:r>
        <w:t xml:space="preserve"> </w:t>
      </w:r>
      <w:r/>
      <w:r/>
      <w:r/>
    </w:p>
    <w:p>
      <w:pPr>
        <w:pBdr/>
        <w:spacing/>
        <w:ind w:firstLine="567"/>
        <w:jc w:val="center"/>
        <w:rPr>
          <w:b/>
        </w:rPr>
      </w:pPr>
      <w:r>
        <w:rPr>
          <w:b/>
          <w:bCs/>
        </w:rPr>
        <w:t xml:space="preserve">5</w:t>
      </w:r>
      <w:r>
        <w:rPr>
          <w:b/>
          <w:bCs/>
        </w:rPr>
        <w:t xml:space="preserve">. </w:t>
      </w:r>
      <w:r>
        <w:rPr>
          <w:b/>
        </w:rPr>
        <w:t xml:space="preserve">Технические характеристики (потребительские свойства) товара</w:t>
      </w:r>
      <w:r>
        <w:rPr>
          <w:b/>
        </w:rPr>
      </w:r>
      <w:r>
        <w:rPr>
          <w:b/>
        </w:rPr>
      </w:r>
    </w:p>
    <w:p>
      <w:pPr>
        <w:pBdr/>
        <w:spacing/>
        <w:ind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tbl>
      <w:tblPr>
        <w:jc w:val="center"/>
        <w:tblW w:w="106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A0" w:firstRow="1" w:lastRow="0" w:firstColumn="1" w:lastColumn="0" w:noHBand="0" w:noVBand="0"/>
      </w:tblPr>
      <w:tblGrid>
        <w:gridCol w:w="397"/>
        <w:gridCol w:w="1874"/>
        <w:gridCol w:w="1080"/>
        <w:gridCol w:w="2725"/>
        <w:gridCol w:w="1542"/>
        <w:gridCol w:w="668"/>
        <w:gridCol w:w="732"/>
        <w:gridCol w:w="1662"/>
      </w:tblGrid>
      <w:tr>
        <w:trPr>
          <w:jc w:val="center"/>
          <w:trHeight w:val="469"/>
        </w:trPr>
        <w:tc>
          <w:tcPr>
            <w:tcBorders/>
            <w:tcW w:w="424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№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/>
            <w:tcW w:w="173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товара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/>
            <w:tcW w:w="108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Единица измерения товара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/>
            <w:tcW w:w="2854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Показатель (характеристика) товара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/>
            <w:tcW w:w="1555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Единица измерения характеристики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Borders/>
            <w:tcW w:w="298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Требования к значениям показателей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rPr>
          <w:jc w:val="center"/>
          <w:trHeight w:val="315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/>
            <w:tcW w:w="285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/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Borders/>
            <w:tcW w:w="185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Минимальное значение показателя и/или максимальное значение показателя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/>
            <w:tcW w:w="112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Показатели, (характеристики) значения которых не могут изменяться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rPr>
          <w:jc w:val="center"/>
          <w:trHeight w:val="568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/>
            <w:tcW w:w="285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/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476"/>
              </w:tabs>
              <w:spacing/>
              <w:ind w:left="-4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менее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476"/>
              </w:tabs>
              <w:spacing/>
              <w:ind w:left="-4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более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/>
            <w:tcW w:w="1128" w:type="dxa"/>
            <w:vAlign w:val="center"/>
            <w:vMerge w:val="continue"/>
            <w:textDirection w:val="lrTb"/>
            <w:noWrap w:val="false"/>
          </w:tcPr>
          <w:p>
            <w:pPr>
              <w:pBdr/>
              <w:tabs>
                <w:tab w:val="left" w:leader="none" w:pos="476"/>
              </w:tabs>
              <w:spacing/>
              <w:ind w:left="-4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rPr>
          <w:jc w:val="center"/>
          <w:trHeight w:val="315"/>
        </w:trPr>
        <w:tc>
          <w:tcPr>
            <w:tcBorders/>
            <w:tcW w:w="42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/>
            <w:tcW w:w="173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/>
            <w:tcW w:w="108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/>
            <w:tcW w:w="155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476"/>
              </w:tabs>
              <w:spacing/>
              <w:ind w:left="-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476"/>
              </w:tabs>
              <w:spacing/>
              <w:ind w:left="-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/>
            <w:tcW w:w="1128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476"/>
              </w:tabs>
              <w:spacing/>
              <w:ind w:left="-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rPr>
          <w:jc w:val="center"/>
          <w:trHeight w:val="156"/>
        </w:trPr>
        <w:tc>
          <w:tcPr>
            <w:tcBorders/>
            <w:tcW w:w="424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Вода питьевая,</w:t>
            </w:r>
            <w:r/>
          </w:p>
          <w:p>
            <w:pPr>
              <w:pBdr/>
              <w:spacing/>
              <w:ind/>
              <w:rPr/>
            </w:pPr>
            <w:r>
              <w:t xml:space="preserve">артезианская,</w:t>
            </w:r>
            <w:r/>
          </w:p>
          <w:p>
            <w:pPr>
              <w:pBdr/>
              <w:spacing/>
              <w:ind/>
              <w:rPr>
                <w:color w:val="000000"/>
              </w:rPr>
            </w:pPr>
            <w:r>
              <w:t xml:space="preserve">негазированная, бутилированная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Бут.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Органолептические:</w:t>
            </w:r>
            <w:r/>
          </w:p>
        </w:tc>
        <w:tc>
          <w:tcPr>
            <w:tcBorders/>
            <w:tcW w:w="1555" w:type="dxa"/>
            <w:vAlign w:val="center"/>
            <w:textDirection w:val="btLr"/>
            <w:noWrap w:val="false"/>
          </w:tcPr>
          <w:p>
            <w:pPr>
              <w:pBdr/>
              <w:tabs>
                <w:tab w:val="left" w:leader="none" w:pos="389"/>
              </w:tabs>
              <w:spacing/>
              <w:ind/>
              <w:jc w:val="center"/>
              <w:rPr/>
            </w:pPr>
            <w:r/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/>
            </w:pPr>
            <w:r/>
            <w:r/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/>
            </w:pPr>
            <w:r/>
            <w:r/>
          </w:p>
        </w:tc>
        <w:tc>
          <w:tcPr>
            <w:tcBorders/>
            <w:tcW w:w="1128" w:type="dxa"/>
            <w:vAlign w:val="center"/>
            <w:textDirection w:val="lrTb"/>
            <w:noWrap w:val="false"/>
          </w:tcPr>
          <w:p>
            <w:pPr>
              <w:pBdr/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jc w:val="center"/>
          <w:trHeight w:val="194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- запах при 20° С 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балл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0,0</w:t>
            </w:r>
            <w:r/>
          </w:p>
        </w:tc>
      </w:tr>
      <w:tr>
        <w:trPr>
          <w:jc w:val="center"/>
          <w:trHeight w:val="231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- при нагревании до 60° С 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балл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0,0</w:t>
            </w:r>
            <w:r/>
          </w:p>
        </w:tc>
      </w:tr>
      <w:tr>
        <w:trPr>
          <w:jc w:val="center"/>
          <w:trHeight w:val="60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- привкус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балл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0,0</w:t>
            </w:r>
            <w:r/>
          </w:p>
        </w:tc>
      </w:tr>
      <w:tr>
        <w:trPr>
          <w:jc w:val="center"/>
          <w:trHeight w:val="216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- водородный показатель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ед.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6,5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8,5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</w:tr>
      <w:tr>
        <w:trPr>
          <w:jc w:val="center"/>
          <w:trHeight w:val="60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- цветность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град.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5</w:t>
            </w:r>
            <w:r/>
          </w:p>
        </w:tc>
      </w:tr>
      <w:tr>
        <w:trPr>
          <w:jc w:val="center"/>
          <w:trHeight w:val="169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- мутность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ЕМФ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</w:tr>
      <w:tr>
        <w:trPr>
          <w:jc w:val="center"/>
          <w:trHeight w:val="140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Бактериологические: 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</w:tr>
      <w:tr>
        <w:trPr>
          <w:jc w:val="center"/>
          <w:trHeight w:val="82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ОМЧ при температуре 37° С 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КОЕ/мл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</w:tr>
      <w:tr>
        <w:trPr>
          <w:jc w:val="center"/>
          <w:trHeight w:val="203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ОМЧ при температуре 22° С 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КОЕ/мл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</w:tr>
      <w:tr>
        <w:trPr>
          <w:jc w:val="center"/>
          <w:trHeight w:val="146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Общие </w:t>
            </w:r>
            <w:r>
              <w:t xml:space="preserve">колиформные</w:t>
            </w:r>
            <w:r>
              <w:t xml:space="preserve"> бактерии 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КОЕ/100 мл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отсутствие в 300 мл</w:t>
            </w:r>
            <w:r/>
          </w:p>
        </w:tc>
      </w:tr>
      <w:tr>
        <w:trPr>
          <w:jc w:val="center"/>
          <w:trHeight w:val="73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Глюкозоположительные</w:t>
            </w:r>
            <w:r>
              <w:t xml:space="preserve"> 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КОЕ/100 мл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отсутствие в 300 мл</w:t>
            </w:r>
            <w:r/>
          </w:p>
        </w:tc>
      </w:tr>
      <w:tr>
        <w:trPr>
          <w:jc w:val="center"/>
          <w:trHeight w:val="196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Pseudomonas</w:t>
            </w:r>
            <w:r>
              <w:t xml:space="preserve"> </w:t>
            </w:r>
            <w:r>
              <w:t xml:space="preserve">aeruginosa</w:t>
            </w:r>
            <w:r>
              <w:t xml:space="preserve"> 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КОЕ/100 мл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отсутствие в 1000 мл</w:t>
            </w:r>
            <w:r/>
          </w:p>
        </w:tc>
      </w:tr>
      <w:tr>
        <w:trPr>
          <w:jc w:val="center"/>
          <w:trHeight w:val="138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Показатели органического загрязнения: 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</w:tr>
      <w:tr>
        <w:trPr>
          <w:jc w:val="center"/>
          <w:trHeight w:val="120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Окисляемость </w:t>
            </w:r>
            <w:r>
              <w:t xml:space="preserve">перманганатная</w:t>
            </w:r>
            <w:r>
              <w:t xml:space="preserve"> 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мг O2/л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</w:tr>
      <w:tr>
        <w:trPr>
          <w:jc w:val="center"/>
          <w:trHeight w:val="241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Содержание реагентов: 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</w:tr>
      <w:tr>
        <w:trPr>
          <w:jc w:val="center"/>
          <w:trHeight w:val="129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озон 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мг/л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</w:tr>
      <w:tr>
        <w:trPr>
          <w:jc w:val="center"/>
          <w:trHeight w:val="72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серебро 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мг/л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0,025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</w:tr>
      <w:tr>
        <w:trPr>
          <w:jc w:val="center"/>
          <w:trHeight w:val="60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йодид - ион 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мкг/л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125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</w:tr>
      <w:tr>
        <w:trPr>
          <w:jc w:val="center"/>
          <w:trHeight w:val="169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фторид - ион 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мг/л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1,5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</w:tr>
      <w:tr>
        <w:trPr>
          <w:jc w:val="center"/>
          <w:trHeight w:val="169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диоксид углерода 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%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0,4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</w:tr>
      <w:tr>
        <w:trPr>
          <w:jc w:val="center"/>
          <w:trHeight w:val="111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Жесткость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мг-</w:t>
            </w:r>
            <w:r>
              <w:t xml:space="preserve">экв</w:t>
            </w:r>
            <w:r>
              <w:t xml:space="preserve">/л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</w:tr>
      <w:tr>
        <w:trPr>
          <w:jc w:val="center"/>
          <w:trHeight w:val="60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vAlign w:val="center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Щелочность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мг-</w:t>
            </w:r>
            <w:r>
              <w:t xml:space="preserve">экв</w:t>
            </w:r>
            <w:r>
              <w:t xml:space="preserve">/л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6,5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</w:tr>
      <w:tr>
        <w:trPr>
          <w:jc w:val="center"/>
          <w:trHeight w:val="60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Объем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л</w:t>
            </w:r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19(±0,1)</w:t>
            </w:r>
            <w:r/>
          </w:p>
        </w:tc>
      </w:tr>
      <w:tr>
        <w:trPr>
          <w:jc w:val="center"/>
          <w:trHeight w:val="60"/>
        </w:trPr>
        <w:tc>
          <w:tcPr>
            <w:tcBorders/>
            <w:tcW w:w="424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738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0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2854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Упаковка </w:t>
            </w:r>
            <w:r/>
          </w:p>
        </w:tc>
        <w:tc>
          <w:tcPr>
            <w:tcBorders/>
            <w:tcW w:w="1555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/>
            <w:r/>
          </w:p>
        </w:tc>
        <w:tc>
          <w:tcPr>
            <w:tcBorders/>
            <w:tcW w:w="925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92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89"/>
                <w:tab w:val="left" w:leader="none" w:pos="476"/>
              </w:tabs>
              <w:spacing/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/>
            <w:tcW w:w="1128" w:type="dxa"/>
            <w:textDirection w:val="lrTb"/>
            <w:noWrap w:val="false"/>
          </w:tcPr>
          <w:p>
            <w:pPr>
              <w:pBdr/>
              <w:spacing w:after="100" w:afterAutospacing="1" w:before="100" w:beforeAutospacing="1"/>
              <w:ind/>
              <w:rPr/>
            </w:pPr>
            <w:r>
              <w:t xml:space="preserve">пластиковая бутыль</w:t>
            </w:r>
            <w:r/>
          </w:p>
        </w:tc>
      </w:tr>
    </w:tbl>
    <w:p>
      <w:pPr>
        <w:pBdr/>
        <w:spacing/>
        <w:ind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926"/>
        <w:numPr>
          <w:ilvl w:val="0"/>
          <w:numId w:val="3"/>
        </w:numPr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Сопроводительные документы.</w:t>
      </w:r>
      <w:r>
        <w:rPr>
          <w:b/>
          <w:bCs/>
        </w:rPr>
      </w:r>
      <w:r>
        <w:rPr>
          <w:b/>
          <w:bCs/>
        </w:rPr>
      </w:r>
    </w:p>
    <w:p>
      <w:pPr>
        <w:widowControl w:val="false"/>
        <w:pBdr/>
        <w:spacing/>
        <w:ind w:firstLine="709"/>
        <w:jc w:val="both"/>
        <w:rPr/>
      </w:pPr>
      <w:r>
        <w:t xml:space="preserve">6.</w:t>
      </w:r>
      <w:r>
        <w:t xml:space="preserve">1.</w:t>
      </w:r>
      <w:r>
        <w:t xml:space="preserve">Одновременно</w:t>
      </w:r>
      <w:r>
        <w:t xml:space="preserve"> с товаром Поставщик представляет Заказчику </w:t>
      </w:r>
      <w:r>
        <w:t xml:space="preserve">- товарные  накладные, оформленные в установленном порядке;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- счет;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- счета-фактуры (для плательщиков НДС);</w:t>
      </w:r>
      <w:r/>
    </w:p>
    <w:p>
      <w:pPr>
        <w:widowControl w:val="false"/>
        <w:pBdr/>
        <w:spacing/>
        <w:ind w:firstLine="709"/>
        <w:jc w:val="both"/>
        <w:rPr>
          <w:bCs/>
        </w:rPr>
      </w:pPr>
      <w:r>
        <w:t xml:space="preserve">- копии сертификатов соответствия, гигиенические сертификаты и прочие относящиеся к товару документы</w:t>
      </w:r>
      <w:r>
        <w:rPr>
          <w:bCs/>
        </w:rPr>
        <w:t xml:space="preserve">.</w:t>
      </w:r>
      <w:r>
        <w:rPr>
          <w:bCs/>
        </w:rPr>
      </w:r>
      <w:r>
        <w:rPr>
          <w:bCs/>
        </w:rPr>
      </w:r>
    </w:p>
    <w:p>
      <w:pPr>
        <w:widowControl w:val="false"/>
        <w:pBdr/>
        <w:spacing/>
        <w:ind w:firstLine="567"/>
        <w:jc w:val="both"/>
        <w:rPr/>
      </w:pPr>
      <w:r>
        <w:t xml:space="preserve">  -  акт приемки-передачи товара.</w:t>
      </w:r>
      <w:r/>
    </w:p>
    <w:tbl>
      <w:tblPr>
        <w:tblInd w:w="2" w:type="dxa"/>
        <w:tblW w:w="9498" w:type="dxa"/>
        <w:tblBorders/>
        <w:tblLayout w:type="fixed"/>
        <w:tblLook w:val="0000" w:firstRow="0" w:lastRow="0" w:firstColumn="0" w:lastColumn="0" w:noHBand="0" w:noVBand="0"/>
      </w:tblPr>
      <w:tblGrid>
        <w:gridCol w:w="4458"/>
        <w:gridCol w:w="504"/>
        <w:gridCol w:w="4536"/>
      </w:tblGrid>
      <w:tr>
        <w:trPr>
          <w:trHeight w:val="387"/>
        </w:trPr>
        <w:tc>
          <w:tcPr>
            <w:tcBorders>
              <w:right w:val="single" w:color="auto" w:sz="4" w:space="0"/>
            </w:tcBorders>
            <w:tcW w:w="4458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ЗАКАЗЧИК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pStyle w:val="92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 ГБДОУ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детский сад №20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Ю.В.Скорбящева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Bdr/>
              <w:spacing/>
              <w:ind/>
              <w:rPr>
                <w:lang w:eastAsia="ar-SA"/>
              </w:rPr>
            </w:pPr>
            <w:r>
              <w:rPr>
                <w:lang w:eastAsia="ar-SA"/>
              </w:rPr>
              <w:t xml:space="preserve">/Подписано ЭЦП/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</w:tc>
        <w:tc>
          <w:tcPr>
            <w:tcBorders>
              <w:left w:val="single" w:color="auto" w:sz="4" w:space="0"/>
            </w:tcBorders>
            <w:tcW w:w="50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jc w:val="center"/>
              <w:rPr/>
            </w:pPr>
            <w:r/>
            <w:r/>
          </w:p>
        </w:tc>
        <w:tc>
          <w:tcPr>
            <w:tcBorders/>
            <w:tcW w:w="4536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bCs/>
                <w:caps/>
              </w:rPr>
              <w:t xml:space="preserve">ПОставщИК</w:t>
            </w:r>
            <w:r>
              <w:t xml:space="preserve">:</w:t>
            </w:r>
            <w:r>
              <w:tab/>
            </w:r>
            <w:r/>
          </w:p>
          <w:p>
            <w:pPr>
              <w:pBdr/>
              <w:spacing/>
              <w:ind w:right="-567"/>
              <w:rPr/>
            </w:pPr>
            <w:r/>
            <w:r/>
          </w:p>
          <w:p>
            <w:pPr>
              <w:keepNext w:val="true"/>
              <w:keepLines w:val="true"/>
              <w:pBdr/>
              <w:spacing/>
              <w:ind/>
              <w:jc w:val="both"/>
              <w:rPr/>
            </w:pPr>
            <w:r>
              <w:t xml:space="preserve">Директор</w:t>
            </w:r>
            <w:r/>
          </w:p>
          <w:p>
            <w:pPr>
              <w:keepNext w:val="true"/>
              <w:keepLines w:val="true"/>
              <w:pBdr/>
              <w:spacing/>
              <w:ind/>
              <w:jc w:val="both"/>
              <w:rPr/>
            </w:pPr>
            <w:r/>
            <w:r/>
          </w:p>
          <w:p>
            <w:pPr>
              <w:keepNext w:val="true"/>
              <w:keepLines w:val="true"/>
              <w:pBdr/>
              <w:spacing/>
              <w:ind/>
              <w:jc w:val="both"/>
              <w:rPr/>
            </w:pPr>
            <w:r>
              <w:t xml:space="preserve">____________</w:t>
            </w:r>
            <w:r/>
          </w:p>
          <w:p>
            <w:pPr>
              <w:pBdr/>
              <w:spacing/>
              <w:ind/>
              <w:rPr/>
            </w:pPr>
            <w:r>
              <w:rPr>
                <w:lang w:eastAsia="ar-SA"/>
              </w:rPr>
              <w:t xml:space="preserve">/Подписано ЭЦП/</w:t>
            </w:r>
            <w:r/>
          </w:p>
        </w:tc>
      </w:tr>
    </w:tbl>
    <w:p>
      <w:pPr>
        <w:pBdr/>
        <w:tabs>
          <w:tab w:val="left" w:leader="none" w:pos="1905"/>
        </w:tabs>
        <w:spacing/>
        <w:ind/>
        <w:rPr/>
      </w:pPr>
      <w:r/>
      <w:r/>
    </w:p>
    <w:p>
      <w:pPr>
        <w:widowControl w:val="false"/>
        <w:pBdr/>
        <w:spacing/>
        <w:ind/>
        <w:outlineLvl w:val="0"/>
        <w:rPr>
          <w:bCs/>
          <w:sz w:val="20"/>
          <w:szCs w:val="20"/>
        </w:rPr>
        <w:sectPr>
          <w:headerReference w:type="default" r:id="rId9"/>
          <w:footnotePr/>
          <w:endnotePr/>
          <w:type w:val="nextPage"/>
          <w:pgSz w:h="16837" w:orient="portrait" w:w="11905"/>
          <w:pgMar w:top="1134" w:right="850" w:bottom="1134" w:left="1701" w:header="720" w:footer="278" w:gutter="0"/>
          <w:cols w:num="1" w:sep="0" w:space="720" w:equalWidth="1"/>
        </w:sect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widowControl w:val="false"/>
        <w:pBdr/>
        <w:spacing/>
        <w:ind/>
        <w:jc w:val="right"/>
        <w:outlineLvl w:val="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Приложение  № </w:t>
      </w:r>
      <w:r>
        <w:rPr>
          <w:bCs/>
          <w:sz w:val="20"/>
          <w:szCs w:val="20"/>
        </w:rPr>
        <w:t xml:space="preserve">2</w:t>
      </w:r>
      <w:r>
        <w:rPr>
          <w:bCs/>
          <w:sz w:val="20"/>
          <w:szCs w:val="20"/>
        </w:rPr>
        <w:br/>
      </w:r>
      <w:r>
        <w:rPr>
          <w:bCs/>
          <w:sz w:val="20"/>
          <w:szCs w:val="20"/>
        </w:rPr>
        <w:t xml:space="preserve"> к контракту </w:t>
      </w:r>
      <w:r>
        <w:rPr>
          <w:bCs/>
          <w:sz w:val="20"/>
          <w:szCs w:val="20"/>
        </w:rPr>
        <w:t xml:space="preserve">№</w:t>
      </w:r>
      <w:r>
        <w:rPr>
          <w:bCs/>
          <w:sz w:val="20"/>
          <w:szCs w:val="20"/>
        </w:rPr>
        <w:t xml:space="preserve">________</w:t>
      </w:r>
      <w:r>
        <w:rPr>
          <w:bCs/>
          <w:sz w:val="20"/>
          <w:szCs w:val="20"/>
        </w:rPr>
        <w:t xml:space="preserve"> от</w:t>
      </w:r>
      <w:r>
        <w:rPr>
          <w:bCs/>
          <w:sz w:val="20"/>
          <w:szCs w:val="20"/>
        </w:rPr>
        <w:t xml:space="preserve"> ______</w:t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widowControl w:val="false"/>
        <w:pBdr/>
        <w:spacing/>
        <w:ind/>
        <w:jc w:val="right"/>
        <w:outlineLvl w:val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false"/>
        <w:pBdr/>
        <w:spacing/>
        <w:ind/>
        <w:jc w:val="center"/>
        <w:outlineLvl w:val="0"/>
        <w:rPr>
          <w:b/>
        </w:rPr>
      </w:pPr>
      <w:r>
        <w:rPr>
          <w:b/>
        </w:rPr>
        <w:t xml:space="preserve">Спецификация товара </w:t>
      </w:r>
      <w:r>
        <w:rPr>
          <w:b/>
        </w:rPr>
      </w:r>
      <w:r>
        <w:rPr>
          <w:b/>
        </w:rPr>
      </w:r>
    </w:p>
    <w:p>
      <w:pPr>
        <w:widowControl w:val="false"/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Ind w:w="-465" w:type="dxa"/>
        <w:tblW w:w="15771" w:type="dxa"/>
        <w:tblCellMar>
          <w:left w:w="55" w:type="dxa"/>
          <w:top w:w="55" w:type="dxa"/>
          <w:right w:w="55" w:type="dxa"/>
          <w:bottom w:w="55" w:type="dxa"/>
        </w:tblCellMar>
        <w:tblBorders/>
        <w:tblLayout w:type="fixed"/>
        <w:tblLook w:val="0000" w:firstRow="0" w:lastRow="0" w:firstColumn="0" w:lastColumn="0" w:noHBand="0" w:noVBand="0"/>
      </w:tblPr>
      <w:tblGrid>
        <w:gridCol w:w="613"/>
        <w:gridCol w:w="8921"/>
        <w:gridCol w:w="1560"/>
        <w:gridCol w:w="850"/>
        <w:gridCol w:w="992"/>
        <w:gridCol w:w="993"/>
        <w:gridCol w:w="1842"/>
      </w:tblGrid>
      <w:tr>
        <w:trPr>
          <w:trHeight w:val="277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tcW w:w="613" w:type="dxa"/>
            <w:textDirection w:val="lrTb"/>
            <w:noWrap w:val="false"/>
          </w:tcPr>
          <w:p>
            <w:pPr>
              <w:pStyle w:val="918"/>
              <w:pBdr/>
              <w:spacing w:before="240"/>
              <w:ind/>
              <w:jc w:val="center"/>
              <w:rPr/>
            </w:pPr>
            <w:r>
              <w:t xml:space="preserve">№ п/п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tcW w:w="8921" w:type="dxa"/>
            <w:textDirection w:val="lrTb"/>
            <w:noWrap w:val="false"/>
          </w:tcPr>
          <w:p>
            <w:pPr>
              <w:pStyle w:val="918"/>
              <w:pBdr/>
              <w:spacing w:before="240"/>
              <w:ind/>
              <w:jc w:val="center"/>
              <w:rPr/>
            </w:pPr>
            <w:r>
              <w:t xml:space="preserve">Наименование, технические характеристики товара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560" w:type="dxa"/>
            <w:textDirection w:val="lrTb"/>
            <w:noWrap w:val="false"/>
          </w:tcPr>
          <w:p>
            <w:pPr>
              <w:pStyle w:val="918"/>
              <w:pBdr/>
              <w:spacing w:before="240"/>
              <w:ind/>
              <w:jc w:val="center"/>
              <w:rPr/>
            </w:pPr>
            <w:r>
              <w:t xml:space="preserve">Страна происхождения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tcW w:w="850" w:type="dxa"/>
            <w:textDirection w:val="lrTb"/>
            <w:noWrap w:val="false"/>
          </w:tcPr>
          <w:p>
            <w:pPr>
              <w:pStyle w:val="918"/>
              <w:pBdr/>
              <w:spacing w:before="240"/>
              <w:ind/>
              <w:jc w:val="center"/>
              <w:rPr/>
            </w:pPr>
            <w:r>
              <w:t xml:space="preserve">Ед. измерения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tcW w:w="992" w:type="dxa"/>
            <w:textDirection w:val="lrTb"/>
            <w:noWrap w:val="false"/>
          </w:tcPr>
          <w:p>
            <w:pPr>
              <w:pStyle w:val="918"/>
              <w:pBdr/>
              <w:spacing w:before="240"/>
              <w:ind/>
              <w:jc w:val="center"/>
              <w:rPr/>
            </w:pPr>
            <w:r>
              <w:t xml:space="preserve">Количество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tcW w:w="993" w:type="dxa"/>
            <w:textDirection w:val="lrTb"/>
            <w:noWrap w:val="false"/>
          </w:tcPr>
          <w:p>
            <w:pPr>
              <w:pStyle w:val="918"/>
              <w:pBdr/>
              <w:spacing w:before="240"/>
              <w:ind/>
              <w:jc w:val="center"/>
              <w:rPr/>
            </w:pPr>
            <w:r>
              <w:t xml:space="preserve">Цена за ед.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842" w:type="dxa"/>
            <w:textDirection w:val="lrTb"/>
            <w:noWrap w:val="false"/>
          </w:tcPr>
          <w:p>
            <w:pPr>
              <w:pStyle w:val="918"/>
              <w:pBdr/>
              <w:spacing w:before="240"/>
              <w:ind/>
              <w:jc w:val="center"/>
              <w:rPr/>
            </w:pPr>
            <w:r>
              <w:t xml:space="preserve">Сумма, руб.</w:t>
            </w:r>
            <w:r/>
          </w:p>
        </w:tc>
      </w:tr>
      <w:tr>
        <w:trPr>
          <w:trHeight w:val="6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3" w:type="dxa"/>
            <w:textDirection w:val="lrTb"/>
            <w:noWrap w:val="false"/>
          </w:tcPr>
          <w:p>
            <w:pPr>
              <w:widowControl w:val="false"/>
              <w:pBdr/>
              <w:spacing w:before="240"/>
              <w:ind/>
              <w:rPr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2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Бутилированная вода «</w:t>
            </w:r>
            <w:r>
              <w:t xml:space="preserve">Вартемяжская</w:t>
            </w:r>
            <w:r>
              <w:t xml:space="preserve">»» 19 л. Уточняющие характеристики: Вода питьевая, артезианская, бутилированная, первой категории, прозрачного цвета, без осадка, негазированная, упакована в бутыли из химически безвредного пластика по 19 литров</w:t>
            </w:r>
            <w:r>
              <w:t xml:space="preserve">. .</w:t>
            </w:r>
            <w:r>
              <w:t xml:space="preserve"> Бутыли завернуты в индивидуальный пакет майку. Артезианская скважина № 1414, глубина 180 </w:t>
            </w:r>
            <w:r>
              <w:t xml:space="preserve">метров..</w:t>
            </w:r>
            <w:r>
              <w:t xml:space="preserve"> Безопасная</w:t>
            </w:r>
            <w:r>
              <w:t xml:space="preserve"> для здоровья и полностью соответствует критериям благоприятности органолептических свойств, безопасности в эпидемическом и радиационном отношении, безвредности химического состава и стабильно сохраняющая свои высокие питьевые свойства в течение всего срок</w:t>
            </w:r>
            <w:r>
              <w:t xml:space="preserve">а годности при соблюдении условий хранения, указанных на этикетке. Не содержит токсичные элементы. Пригодна для использования в сыром виде, для употребления в качестве напитка и приготовления пищи. Вода соответствует стандартам качества и требованиям норма</w:t>
            </w:r>
            <w:r>
              <w:t xml:space="preserve">тивных документов: - ТУ 11.07.11-001- 41286327-2019 «Вода питьевая артезианская», СанПиН 2.1.4.1116-02 - ГОСТ 32220-2013 «Вода питьевая, расфасованная в емкости. Общие технические условия» - Единые санитарно-эпидемиологические и гигиенические требования к </w:t>
            </w:r>
            <w:r>
              <w:t xml:space="preserve">товарам, подлежащим санитарно-эпидемиологическому надзору (контролю) (Утверждены Решением Комиссии таможенного союза от 28.05.2010 № 299), - ТР ТС 021/2011, - ТР ТС 022/2011, - ТР ЕАЭС 044/2017, что подтверждено декларацией о соответствии таможенного союза</w:t>
            </w:r>
            <w:r>
              <w:t xml:space="preserve">. ,</w:t>
            </w:r>
            <w:r>
              <w:t xml:space="preserve"> Поставляемый товар промаркирован знаками соответствия. Знак соответствия нанесен на этикетку. Этикетка содер</w:t>
            </w:r>
            <w:r>
              <w:t xml:space="preserve">жит информацию о ТУ ее источнике, производителе с указанием юридического адреса, основном составе, объеме, дате розлива, сроке и условиях хранения, подтверждении соответствия. Разлив воды осуществляется в заводских условиях. Бутыли, в которых поставляется </w:t>
            </w:r>
            <w:r>
              <w:t xml:space="preserve">вода, являются оборотной (обменной) Тарой и принадлежат </w:t>
            </w:r>
            <w:r>
              <w:t xml:space="preserve">Поставщику..</w:t>
            </w:r>
            <w:r>
              <w:t xml:space="preserve"> Срок годности питьевой воды составляет 12 месяцев.</w:t>
            </w:r>
            <w:r/>
          </w:p>
        </w:tc>
        <w:tc>
          <w:tcPr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560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Россия</w:t>
            </w:r>
            <w:r/>
          </w:p>
        </w:tc>
        <w:tc>
          <w:tcPr>
            <w:tcBorders>
              <w:left w:val="single" w:color="000000" w:sz="2" w:space="0"/>
              <w:bottom w:val="single" w:color="000000" w:sz="2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t xml:space="preserve">Бут.</w:t>
            </w:r>
            <w:r/>
          </w:p>
        </w:tc>
        <w:tc>
          <w:tcPr>
            <w:tcBorders>
              <w:left w:val="single" w:color="000000" w:sz="2" w:space="0"/>
              <w:bottom w:val="single" w:color="000000" w:sz="2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18"/>
              <w:pBdr/>
              <w:spacing w:before="240"/>
              <w:ind/>
              <w:rPr>
                <w:lang w:eastAsia="ru-RU"/>
              </w:rPr>
            </w:pPr>
            <w:r>
              <w:rPr>
                <w:lang w:eastAsia="ru-RU"/>
              </w:rPr>
              <w:t xml:space="preserve">   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left w:val="single" w:color="000000" w:sz="2" w:space="0"/>
              <w:bottom w:val="single" w:color="000000" w:sz="2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918"/>
              <w:pBdr/>
              <w:spacing w:before="240"/>
              <w:ind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918"/>
              <w:pBdr/>
              <w:spacing w:before="240"/>
              <w:ind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rPr>
          <w:trHeight w:val="587"/>
        </w:trPr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29" w:type="dxa"/>
            <w:textDirection w:val="lrTb"/>
            <w:noWrap w:val="false"/>
          </w:tcPr>
          <w:p>
            <w:pPr>
              <w:pStyle w:val="918"/>
              <w:pBdr/>
              <w:spacing w:before="240"/>
              <w:ind/>
              <w:jc w:val="right"/>
              <w:rPr/>
            </w:pPr>
            <w:r>
              <w:t xml:space="preserve">Итого:</w:t>
            </w:r>
            <w:r/>
          </w:p>
          <w:p>
            <w:pPr>
              <w:pStyle w:val="918"/>
              <w:pBdr/>
              <w:spacing w:before="240"/>
              <w:ind/>
              <w:jc w:val="right"/>
              <w:rPr/>
            </w:pPr>
            <w:r>
              <w:t xml:space="preserve">С НДС: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918"/>
              <w:pBdr/>
              <w:spacing w:before="240"/>
              <w:ind/>
              <w:rPr/>
            </w:pPr>
            <w:r>
              <w:t xml:space="preserve">НДС не облагается</w:t>
            </w:r>
            <w:r/>
          </w:p>
        </w:tc>
      </w:tr>
    </w:tbl>
    <w:p>
      <w:pPr>
        <w:pStyle w:val="913"/>
        <w:pBdr/>
        <w:spacing/>
        <w:ind/>
        <w:rPr/>
      </w:pPr>
      <w:r/>
      <w:r/>
    </w:p>
    <w:p>
      <w:pPr>
        <w:pStyle w:val="917"/>
        <w:pBdr/>
        <w:spacing/>
        <w: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Ind w:w="2" w:type="dxa"/>
        <w:tblW w:w="9498" w:type="dxa"/>
        <w:tblBorders/>
        <w:tblLayout w:type="fixed"/>
        <w:tblLook w:val="0000" w:firstRow="0" w:lastRow="0" w:firstColumn="0" w:lastColumn="0" w:noHBand="0" w:noVBand="0"/>
      </w:tblPr>
      <w:tblGrid>
        <w:gridCol w:w="4458"/>
        <w:gridCol w:w="504"/>
        <w:gridCol w:w="4536"/>
      </w:tblGrid>
      <w:tr>
        <w:trPr>
          <w:trHeight w:val="387"/>
        </w:trPr>
        <w:tc>
          <w:tcPr>
            <w:tcBorders>
              <w:right w:val="single" w:color="auto" w:sz="4" w:space="0"/>
            </w:tcBorders>
            <w:tcW w:w="4458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ЗАКАЗЧИК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pStyle w:val="92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 ГБДОУ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детский сад №20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Ю.В.Скорбящева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Bdr/>
              <w:spacing/>
              <w:ind/>
              <w:rPr>
                <w:lang w:eastAsia="ar-SA"/>
              </w:rPr>
            </w:pPr>
            <w:r>
              <w:rPr>
                <w:lang w:eastAsia="ar-SA"/>
              </w:rPr>
              <w:t xml:space="preserve">/Подписано ЭЦП/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</w:tc>
        <w:tc>
          <w:tcPr>
            <w:tcBorders>
              <w:left w:val="single" w:color="auto" w:sz="4" w:space="0"/>
            </w:tcBorders>
            <w:tcW w:w="504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jc w:val="center"/>
              <w:rPr/>
            </w:pPr>
            <w:r/>
            <w:r/>
          </w:p>
        </w:tc>
        <w:tc>
          <w:tcPr>
            <w:tcBorders/>
            <w:tcW w:w="4536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b/>
                <w:bCs/>
                <w:caps/>
              </w:rPr>
              <w:t xml:space="preserve">ПОставщИК</w:t>
            </w:r>
            <w:r>
              <w:t xml:space="preserve">:</w:t>
            </w:r>
            <w:r>
              <w:tab/>
            </w:r>
            <w:r/>
          </w:p>
          <w:p>
            <w:pPr>
              <w:pBdr/>
              <w:spacing/>
              <w:ind w:right="-567"/>
              <w:rPr/>
            </w:pPr>
            <w:r/>
            <w:r/>
          </w:p>
          <w:p>
            <w:pPr>
              <w:keepNext w:val="true"/>
              <w:keepLines w:val="true"/>
              <w:pBdr/>
              <w:spacing/>
              <w:ind/>
              <w:jc w:val="both"/>
              <w:rPr/>
            </w:pPr>
            <w:r>
              <w:t xml:space="preserve">Директор</w:t>
            </w:r>
            <w:r/>
          </w:p>
          <w:p>
            <w:pPr>
              <w:keepNext w:val="true"/>
              <w:keepLines w:val="true"/>
              <w:pBdr/>
              <w:spacing/>
              <w:ind/>
              <w:jc w:val="both"/>
              <w:rPr/>
            </w:pPr>
            <w:r/>
            <w:r/>
          </w:p>
          <w:p>
            <w:pPr>
              <w:keepNext w:val="true"/>
              <w:keepLines w:val="true"/>
              <w:pBdr/>
              <w:spacing/>
              <w:ind/>
              <w:jc w:val="both"/>
              <w:rPr/>
            </w:pPr>
            <w:r>
              <w:t xml:space="preserve">____________</w:t>
            </w:r>
            <w:r/>
          </w:p>
          <w:p>
            <w:pPr>
              <w:pBdr/>
              <w:spacing/>
              <w:ind/>
              <w:rPr/>
            </w:pPr>
            <w:r>
              <w:rPr>
                <w:lang w:eastAsia="ar-SA"/>
              </w:rPr>
              <w:t xml:space="preserve">/Подписано ЭЦП/</w:t>
            </w:r>
            <w:r/>
          </w:p>
        </w:tc>
      </w:tr>
    </w:tbl>
    <w:p>
      <w:pPr>
        <w:pBdr/>
        <w:spacing/>
        <w:ind/>
        <w:rPr/>
      </w:pPr>
      <w:r/>
      <w:r/>
    </w:p>
    <w:sectPr>
      <w:footnotePr/>
      <w:endnotePr/>
      <w:type w:val="nextPage"/>
      <w:pgSz w:h="11905" w:orient="landscape" w:w="16837"/>
      <w:pgMar w:top="1701" w:right="1134" w:bottom="851" w:left="1134" w:header="720" w:footer="278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Tahoma">
    <w:panose1 w:val="020B0604030504040204"/>
  </w:font>
  <w:font w:name="Courier New">
    <w:panose1 w:val="02070309020205020404"/>
  </w:font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5"/>
      <w:framePr w:hAnchor="margin" w:vAnchor="text" w:wrap="auto" w:xAlign="center" w:y="1"/>
      <w:pBdr/>
      <w:spacing/>
      <w:ind/>
      <w:rPr>
        <w:rStyle w:val="912"/>
      </w:rPr>
    </w:pPr>
    <w:r>
      <w:rPr>
        <w:rStyle w:val="912"/>
      </w:rPr>
      <w:fldChar w:fldCharType="begin"/>
    </w:r>
    <w:r>
      <w:rPr>
        <w:rStyle w:val="912"/>
      </w:rPr>
      <w:instrText xml:space="preserve">PAGE  </w:instrText>
    </w:r>
    <w:r>
      <w:rPr>
        <w:rStyle w:val="912"/>
      </w:rPr>
      <w:fldChar w:fldCharType="separate"/>
    </w:r>
    <w:r>
      <w:rPr>
        <w:rStyle w:val="912"/>
      </w:rPr>
      <w:t xml:space="preserve">14</w:t>
    </w:r>
    <w:r>
      <w:rPr>
        <w:rStyle w:val="912"/>
      </w:rPr>
      <w:fldChar w:fldCharType="end"/>
    </w:r>
    <w:r>
      <w:rPr>
        <w:rStyle w:val="912"/>
      </w:rPr>
    </w:r>
    <w:r>
      <w:rPr>
        <w:rStyle w:val="912"/>
      </w:rPr>
    </w:r>
  </w:p>
  <w:p>
    <w:pPr>
      <w:pStyle w:val="915"/>
      <w:pBdr/>
      <w:spacing w:after="120"/>
      <w:ind/>
      <w:jc w:val="center"/>
      <w:rPr>
        <w:sz w:val="16"/>
        <w:szCs w:val="16"/>
      </w:rPr>
    </w:pPr>
    <w:r>
      <w:rPr>
        <w:sz w:val="16"/>
        <w:szCs w:val="16"/>
      </w:rPr>
    </w:r>
    <w:r>
      <w:rPr>
        <w:sz w:val="16"/>
        <w:szCs w:val="16"/>
      </w:rPr>
    </w:r>
    <w:r>
      <w:rPr>
        <w:sz w:val="16"/>
        <w:szCs w:val="16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1429"/>
        </w:tabs>
        <w:spacing/>
        <w:ind w:hanging="360" w:left="1429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1080"/>
        </w:tabs>
        <w:spacing/>
        <w:ind w:hanging="360" w:left="1080"/>
      </w:pPr>
      <w:rPr>
        <w:rFonts w:cs="Times New Roman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1440"/>
        </w:tabs>
        <w:spacing/>
        <w:ind w:hanging="360" w:left="1440"/>
      </w:pPr>
      <w:rPr>
        <w:rFonts w:cs="Times New Roman"/>
      </w:rPr>
      <w:start w:val="3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1800"/>
        </w:tabs>
        <w:spacing/>
        <w:ind w:hanging="360" w:left="1800"/>
      </w:pPr>
      <w:rPr>
        <w:rFonts w:cs="Times New Roman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2160"/>
        </w:tabs>
        <w:spacing/>
        <w:ind w:hanging="360" w:left="2160"/>
      </w:pPr>
      <w:rPr>
        <w:rFonts w:cs="Times New Roman"/>
      </w:rPr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2520"/>
        </w:tabs>
        <w:spacing/>
        <w:ind w:hanging="360" w:left="2520"/>
      </w:pPr>
      <w:rPr>
        <w:rFonts w:cs="Times New Roman"/>
      </w:rPr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2880"/>
        </w:tabs>
        <w:spacing/>
        <w:ind w:hanging="360" w:left="2880"/>
      </w:pPr>
      <w:rPr>
        <w:rFonts w:cs="Times New Roman"/>
      </w:rPr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3240"/>
        </w:tabs>
        <w:spacing/>
        <w:ind w:hanging="360" w:left="3240"/>
      </w:pPr>
      <w:rPr>
        <w:rFonts w:cs="Times New Roman"/>
      </w:rPr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3600"/>
        </w:tabs>
        <w:spacing/>
        <w:ind w:hanging="360" w:left="360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6"/>
      <w:suff w:val="tab"/>
    </w:lvl>
    <w:lvl w:ilvl="1">
      <w:isLgl w:val="true"/>
      <w:lvlJc w:val="left"/>
      <w:lvlText w:val="%1.%2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true"/>
      <w:lvlJc w:val="left"/>
      <w:lvlText w:val="%1.%2.%3."/>
      <w:numFmt w:val="decimal"/>
      <w:pPr>
        <w:pBdr/>
        <w:spacing/>
        <w:ind w:hanging="720" w:left="1080"/>
      </w:pPr>
      <w:rPr>
        <w:rFonts w:hint="default"/>
      </w:rPr>
      <w:start w:val="1"/>
      <w:suff w:val="tab"/>
    </w:lvl>
    <w:lvl w:ilvl="3">
      <w:isLgl w:val="true"/>
      <w:lvlJc w:val="left"/>
      <w:lvlText w:val="%1.%2.%3.%4."/>
      <w:numFmt w:val="decimal"/>
      <w:pPr>
        <w:pBdr/>
        <w:spacing/>
        <w:ind w:hanging="720" w:left="1080"/>
      </w:pPr>
      <w:rPr>
        <w:rFonts w:hint="default"/>
      </w:rPr>
      <w:start w:val="1"/>
      <w:suff w:val="tab"/>
    </w:lvl>
    <w:lvl w:ilvl="4">
      <w:isLgl w:val="true"/>
      <w:lvlJc w:val="left"/>
      <w:lvlText w:val="%1.%2.%3.%4.%5."/>
      <w:numFmt w:val="decimal"/>
      <w:pPr>
        <w:pBdr/>
        <w:spacing/>
        <w:ind w:hanging="1080" w:left="1440"/>
      </w:pPr>
      <w:rPr>
        <w:rFonts w:hint="default"/>
      </w:rPr>
      <w:start w:val="1"/>
      <w:suff w:val="tab"/>
    </w:lvl>
    <w:lvl w:ilvl="5">
      <w:isLgl w:val="true"/>
      <w:lvlJc w:val="left"/>
      <w:lvlText w:val="%1.%2.%3.%4.%5.%6."/>
      <w:numFmt w:val="decimal"/>
      <w:pPr>
        <w:pBdr/>
        <w:spacing/>
        <w:ind w:hanging="1080" w:left="1440"/>
      </w:pPr>
      <w:rPr>
        <w:rFonts w:hint="default"/>
      </w:rPr>
      <w:start w:val="1"/>
      <w:suff w:val="tab"/>
    </w:lvl>
    <w:lvl w:ilvl="6">
      <w:isLgl w:val="true"/>
      <w:lvlJc w:val="left"/>
      <w:lvlText w:val="%1.%2.%3.%4.%5.%6.%7."/>
      <w:numFmt w:val="decimal"/>
      <w:pPr>
        <w:pBdr/>
        <w:spacing/>
        <w:ind w:hanging="1440" w:left="1800"/>
      </w:pPr>
      <w:rPr>
        <w:rFonts w:hint="default"/>
      </w:rPr>
      <w:start w:val="1"/>
      <w:suff w:val="tab"/>
    </w:lvl>
    <w:lvl w:ilvl="7">
      <w:isLgl w:val="true"/>
      <w:lvlJc w:val="left"/>
      <w:lvlText w:val="%1.%2.%3.%4.%5.%6.%7.%8."/>
      <w:numFmt w:val="decimal"/>
      <w:pPr>
        <w:pBdr/>
        <w:spacing/>
        <w:ind w:hanging="1440" w:left="1800"/>
      </w:pPr>
      <w:rPr>
        <w:rFonts w:hint="default"/>
      </w:rPr>
      <w:start w:val="1"/>
      <w:suff w:val="tab"/>
    </w:lvl>
    <w:lvl w:ilvl="8">
      <w:isLgl w:val="true"/>
      <w:lvlJc w:val="left"/>
      <w:lvlText w:val="%1.%2.%3.%4.%5.%6.%7.%8.%9."/>
      <w:numFmt w:val="decimal"/>
      <w:pPr>
        <w:pBdr/>
        <w:spacing/>
        <w:ind w:hanging="1800" w:left="2160"/>
      </w:pPr>
      <w:rPr>
        <w:rFonts w:hint="default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1429"/>
        </w:tabs>
        <w:spacing/>
        <w:ind w:hanging="360" w:left="1429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149"/>
        </w:tabs>
        <w:spacing/>
        <w:ind w:hanging="360" w:left="2149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869"/>
        </w:tabs>
        <w:spacing/>
        <w:ind w:hanging="360" w:left="2869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589"/>
        </w:tabs>
        <w:spacing/>
        <w:ind w:hanging="360" w:left="3589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309"/>
        </w:tabs>
        <w:spacing/>
        <w:ind w:hanging="360" w:left="4309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5029"/>
        </w:tabs>
        <w:spacing/>
        <w:ind w:hanging="360" w:left="5029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749"/>
        </w:tabs>
        <w:spacing/>
        <w:ind w:hanging="360" w:left="5749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469"/>
        </w:tabs>
        <w:spacing/>
        <w:ind w:hanging="360" w:left="6469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189"/>
        </w:tabs>
        <w:spacing/>
        <w:ind w:hanging="360" w:left="7189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456" w:left="456"/>
      </w:pPr>
      <w:rPr>
        <w:rFonts w:hint="default"/>
        <w:color w:val="000000"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56" w:left="456"/>
      </w:pPr>
      <w:rPr>
        <w:rFonts w:hint="default"/>
        <w:color w:val="000000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720"/>
      </w:pPr>
      <w:rPr>
        <w:rFonts w:hint="default"/>
        <w:color w:val="000000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720"/>
      </w:pPr>
      <w:rPr>
        <w:rFonts w:hint="default"/>
        <w:color w:val="000000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1080"/>
      </w:pPr>
      <w:rPr>
        <w:rFonts w:hint="default"/>
        <w:color w:val="000000"/>
      </w:rPr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1080"/>
      </w:pPr>
      <w:rPr>
        <w:rFonts w:hint="default"/>
        <w:color w:val="000000"/>
      </w:rPr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1440"/>
      </w:pPr>
      <w:rPr>
        <w:rFonts w:hint="default"/>
        <w:color w:val="000000"/>
      </w:rPr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1440"/>
      </w:pPr>
      <w:rPr>
        <w:rFonts w:hint="default"/>
        <w:color w:val="000000"/>
      </w:rPr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1800"/>
      </w:pPr>
      <w:rPr>
        <w:rFonts w:hint="default"/>
        <w:color w:val="000000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899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1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3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5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77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49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1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3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59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 w:val="22"/>
        <w:szCs w:val="22"/>
        <w:lang w:val="ru-RU" w:eastAsia="ru-RU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6">
    <w:name w:val="Intense Emphasis"/>
    <w:basedOn w:val="9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9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9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909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909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9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909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88">
    <w:name w:val="FollowedHyperlink"/>
    <w:basedOn w:val="9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198">
    <w:name w:val="Placeholder Text"/>
    <w:basedOn w:val="909"/>
    <w:uiPriority w:val="99"/>
    <w:semiHidden/>
    <w:pPr>
      <w:pBdr/>
      <w:spacing/>
      <w:ind/>
    </w:pPr>
    <w:rPr>
      <w:color w:val="666666"/>
    </w:rPr>
  </w:style>
  <w:style w:type="paragraph" w:styleId="735">
    <w:name w:val="Heading 1"/>
    <w:basedOn w:val="908"/>
    <w:next w:val="908"/>
    <w:link w:val="736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36">
    <w:name w:val="Heading 1 Char"/>
    <w:basedOn w:val="909"/>
    <w:link w:val="735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37">
    <w:name w:val="Heading 2"/>
    <w:basedOn w:val="908"/>
    <w:next w:val="908"/>
    <w:link w:val="738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38">
    <w:name w:val="Heading 2 Char"/>
    <w:basedOn w:val="909"/>
    <w:link w:val="737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39">
    <w:name w:val="Heading 3"/>
    <w:basedOn w:val="908"/>
    <w:next w:val="908"/>
    <w:link w:val="740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40">
    <w:name w:val="Heading 3 Char"/>
    <w:basedOn w:val="909"/>
    <w:link w:val="739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41">
    <w:name w:val="Heading 4"/>
    <w:basedOn w:val="908"/>
    <w:next w:val="908"/>
    <w:link w:val="742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2">
    <w:name w:val="Heading 4 Char"/>
    <w:basedOn w:val="909"/>
    <w:link w:val="741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43">
    <w:name w:val="Heading 5"/>
    <w:basedOn w:val="908"/>
    <w:next w:val="908"/>
    <w:link w:val="744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4">
    <w:name w:val="Heading 5 Char"/>
    <w:basedOn w:val="909"/>
    <w:link w:val="743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45">
    <w:name w:val="Heading 6"/>
    <w:basedOn w:val="908"/>
    <w:next w:val="908"/>
    <w:link w:val="746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6">
    <w:name w:val="Heading 6 Char"/>
    <w:basedOn w:val="909"/>
    <w:link w:val="745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47">
    <w:name w:val="Heading 7"/>
    <w:basedOn w:val="908"/>
    <w:next w:val="908"/>
    <w:link w:val="748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8">
    <w:name w:val="Heading 7 Char"/>
    <w:basedOn w:val="909"/>
    <w:link w:val="747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9">
    <w:name w:val="Heading 8"/>
    <w:basedOn w:val="908"/>
    <w:next w:val="908"/>
    <w:link w:val="750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0">
    <w:name w:val="Heading 8 Char"/>
    <w:basedOn w:val="909"/>
    <w:link w:val="74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51">
    <w:name w:val="Heading 9"/>
    <w:basedOn w:val="908"/>
    <w:next w:val="908"/>
    <w:link w:val="752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>
    <w:name w:val="Heading 9 Char"/>
    <w:basedOn w:val="909"/>
    <w:link w:val="751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53">
    <w:name w:val="No Spacing"/>
    <w:uiPriority w:val="1"/>
    <w:qFormat/>
    <w:pPr>
      <w:pBdr/>
      <w:spacing w:after="0" w:before="0" w:line="240" w:lineRule="auto"/>
      <w:ind/>
    </w:pPr>
  </w:style>
  <w:style w:type="paragraph" w:styleId="754">
    <w:name w:val="Title"/>
    <w:basedOn w:val="908"/>
    <w:next w:val="908"/>
    <w:link w:val="75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55">
    <w:name w:val="Title Char"/>
    <w:basedOn w:val="909"/>
    <w:link w:val="754"/>
    <w:uiPriority w:val="10"/>
    <w:pPr>
      <w:pBdr/>
      <w:spacing/>
      <w:ind/>
    </w:pPr>
    <w:rPr>
      <w:sz w:val="48"/>
      <w:szCs w:val="48"/>
    </w:rPr>
  </w:style>
  <w:style w:type="paragraph" w:styleId="756">
    <w:name w:val="Subtitle"/>
    <w:basedOn w:val="908"/>
    <w:next w:val="908"/>
    <w:link w:val="75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57">
    <w:name w:val="Subtitle Char"/>
    <w:basedOn w:val="909"/>
    <w:link w:val="756"/>
    <w:uiPriority w:val="11"/>
    <w:pPr>
      <w:pBdr/>
      <w:spacing/>
      <w:ind/>
    </w:pPr>
    <w:rPr>
      <w:sz w:val="24"/>
      <w:szCs w:val="24"/>
    </w:rPr>
  </w:style>
  <w:style w:type="paragraph" w:styleId="758">
    <w:name w:val="Quote"/>
    <w:basedOn w:val="908"/>
    <w:next w:val="908"/>
    <w:link w:val="759"/>
    <w:uiPriority w:val="29"/>
    <w:qFormat/>
    <w:pPr>
      <w:pBdr/>
      <w:spacing/>
      <w:ind w:right="720" w:left="720"/>
    </w:pPr>
    <w:rPr>
      <w:i/>
    </w:rPr>
  </w:style>
  <w:style w:type="character" w:styleId="759">
    <w:name w:val="Quote Char"/>
    <w:link w:val="758"/>
    <w:uiPriority w:val="29"/>
    <w:pPr>
      <w:pBdr/>
      <w:spacing/>
      <w:ind/>
    </w:pPr>
    <w:rPr>
      <w:i/>
    </w:rPr>
  </w:style>
  <w:style w:type="paragraph" w:styleId="760">
    <w:name w:val="Intense Quote"/>
    <w:basedOn w:val="908"/>
    <w:next w:val="908"/>
    <w:link w:val="76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61">
    <w:name w:val="Intense Quote Char"/>
    <w:link w:val="760"/>
    <w:uiPriority w:val="30"/>
    <w:pPr>
      <w:pBdr/>
      <w:spacing/>
      <w:ind/>
    </w:pPr>
    <w:rPr>
      <w:i/>
    </w:rPr>
  </w:style>
  <w:style w:type="character" w:styleId="762">
    <w:name w:val="Header Char"/>
    <w:basedOn w:val="909"/>
    <w:link w:val="915"/>
    <w:uiPriority w:val="99"/>
    <w:pPr>
      <w:pBdr/>
      <w:spacing/>
      <w:ind/>
    </w:pPr>
  </w:style>
  <w:style w:type="paragraph" w:styleId="763">
    <w:name w:val="Footer"/>
    <w:basedOn w:val="908"/>
    <w:link w:val="766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64">
    <w:name w:val="Footer Char"/>
    <w:basedOn w:val="909"/>
    <w:link w:val="763"/>
    <w:uiPriority w:val="99"/>
    <w:pPr>
      <w:pBdr/>
      <w:spacing/>
      <w:ind/>
    </w:pPr>
  </w:style>
  <w:style w:type="paragraph" w:styleId="765">
    <w:name w:val="Caption"/>
    <w:basedOn w:val="908"/>
    <w:next w:val="908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66">
    <w:name w:val="Caption Char"/>
    <w:basedOn w:val="765"/>
    <w:link w:val="763"/>
    <w:uiPriority w:val="99"/>
    <w:pPr>
      <w:pBdr/>
      <w:spacing/>
      <w:ind/>
    </w:pPr>
  </w:style>
  <w:style w:type="table" w:styleId="767">
    <w:name w:val="Table Grid Light"/>
    <w:basedOn w:val="91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Plain Table 1"/>
    <w:basedOn w:val="91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Plain Table 2"/>
    <w:basedOn w:val="91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Plain Table 3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Plain Table 4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Plain Table 5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1 Light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1 Light - Accent 1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1 Light - Accent 2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1 Light - Accent 3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1 Light - Accent 4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1 Light - Accent 5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1 Light - Accent 6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2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2 - Accent 1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2 - Accent 2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2 - Accent 3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2 - Accent 4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2 - Accent 5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2 - Accent 6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3 - Accent 1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3 - Accent 2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3 - Accent 3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3 - Accent 4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3 - Accent 5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3 - Accent 6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4"/>
    <w:basedOn w:val="9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4 - Accent 1"/>
    <w:basedOn w:val="9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4 - Accent 2"/>
    <w:basedOn w:val="9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4 - Accent 3"/>
    <w:basedOn w:val="9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4 - Accent 4"/>
    <w:basedOn w:val="9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4 - Accent 5"/>
    <w:basedOn w:val="9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4 - Accent 6"/>
    <w:basedOn w:val="9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5 Dark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5 Dark- Accent 1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5 Dark - Accent 2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5 Dark - Accent 3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5 Dark- Accent 4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5 Dark - Accent 5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5 Dark - Accent 6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6 Colorful - Accent 1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6 Colorful - Accent 2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6 Colorful - Accent 3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6 Colorful - Accent 4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6 Colorful - Accent 5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6 Colorful - Accent 6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7 Colorful - Accent 1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7 Colorful - Accent 2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7 Colorful - Accent 3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7 Colorful - Accent 4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7 Colorful - Accent 5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7 Colorful - Accent 6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1 Light - Accent 1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1 Light - Accent 2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1 Light - Accent 3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1 Light - Accent 4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1 Light - Accent 5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1 Light - Accent 6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2 - Accent 1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2 - Accent 2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2 - Accent 3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2 - Accent 4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2 - Accent 5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2 - Accent 6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3 - Accent 1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3 - Accent 2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3 - Accent 3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3 - Accent 4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3 - Accent 5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3 - Accent 6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4 - Accent 1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4 - Accent 2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4 - Accent 3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4 - Accent 4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4 - Accent 5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4 - Accent 6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5 Dark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5 Dark - Accent 1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5 Dark - Accent 2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5 Dark - Accent 3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5 Dark - Accent 4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5 Dark - Accent 5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5 Dark - Accent 6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6 Colorful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6 Colorful - Accent 1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6 Colorful - Accent 2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6 Colorful - Accent 3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6 Colorful - Accent 4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6 Colorful - Accent 5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6 Colorful - Accent 6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7 Colorful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7 Colorful - Accent 1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7 Colorful - Accent 2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7 Colorful - Accent 3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7 Colorful - Accent 4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7 Colorful - Accent 5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7 Colorful - Accent 6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ned - Accent"/>
    <w:basedOn w:val="9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ned - Accent 1"/>
    <w:basedOn w:val="9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ned - Accent 2"/>
    <w:basedOn w:val="9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ned - Accent 3"/>
    <w:basedOn w:val="9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ned - Accent 4"/>
    <w:basedOn w:val="9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ned - Accent 5"/>
    <w:basedOn w:val="9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ned - Accent 6"/>
    <w:basedOn w:val="9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&amp; Lined - Accent"/>
    <w:basedOn w:val="9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&amp; Lined - Accent 1"/>
    <w:basedOn w:val="9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 &amp; Lined - Accent 2"/>
    <w:basedOn w:val="9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&amp; Lined - Accent 3"/>
    <w:basedOn w:val="9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&amp; Lined - Accent 4"/>
    <w:basedOn w:val="9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&amp; Lined - Accent 5"/>
    <w:basedOn w:val="9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&amp; Lined - Accent 6"/>
    <w:basedOn w:val="9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 - Accent 1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Bordered - Accent 2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Bordered - Accent 3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Bordered - Accent 4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Bordered - Accent 5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Bordered - Accent 6"/>
    <w:basedOn w:val="9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92">
    <w:name w:val="footnote text"/>
    <w:basedOn w:val="908"/>
    <w:link w:val="893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93">
    <w:name w:val="Footnote Text Char"/>
    <w:link w:val="892"/>
    <w:uiPriority w:val="99"/>
    <w:pPr>
      <w:pBdr/>
      <w:spacing/>
      <w:ind/>
    </w:pPr>
    <w:rPr>
      <w:sz w:val="18"/>
    </w:rPr>
  </w:style>
  <w:style w:type="paragraph" w:styleId="894">
    <w:name w:val="endnote text"/>
    <w:basedOn w:val="908"/>
    <w:link w:val="895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95">
    <w:name w:val="Endnote Text Char"/>
    <w:link w:val="894"/>
    <w:uiPriority w:val="99"/>
    <w:pPr>
      <w:pBdr/>
      <w:spacing/>
      <w:ind/>
    </w:pPr>
    <w:rPr>
      <w:sz w:val="20"/>
    </w:rPr>
  </w:style>
  <w:style w:type="character" w:styleId="896">
    <w:name w:val="endnote reference"/>
    <w:basedOn w:val="909"/>
    <w:uiPriority w:val="99"/>
    <w:semiHidden/>
    <w:unhideWhenUsed/>
    <w:pPr>
      <w:pBdr/>
      <w:spacing/>
      <w:ind/>
    </w:pPr>
    <w:rPr>
      <w:vertAlign w:val="superscript"/>
    </w:rPr>
  </w:style>
  <w:style w:type="paragraph" w:styleId="897">
    <w:name w:val="toc 1"/>
    <w:basedOn w:val="908"/>
    <w:next w:val="908"/>
    <w:uiPriority w:val="39"/>
    <w:unhideWhenUsed/>
    <w:pPr>
      <w:pBdr/>
      <w:spacing w:after="57"/>
      <w:ind w:right="0" w:firstLine="0" w:left="0"/>
    </w:pPr>
  </w:style>
  <w:style w:type="paragraph" w:styleId="898">
    <w:name w:val="toc 2"/>
    <w:basedOn w:val="908"/>
    <w:next w:val="908"/>
    <w:uiPriority w:val="39"/>
    <w:unhideWhenUsed/>
    <w:pPr>
      <w:pBdr/>
      <w:spacing w:after="57"/>
      <w:ind w:right="0" w:firstLine="0" w:left="283"/>
    </w:pPr>
  </w:style>
  <w:style w:type="paragraph" w:styleId="899">
    <w:name w:val="toc 3"/>
    <w:basedOn w:val="908"/>
    <w:next w:val="908"/>
    <w:uiPriority w:val="39"/>
    <w:unhideWhenUsed/>
    <w:pPr>
      <w:pBdr/>
      <w:spacing w:after="57"/>
      <w:ind w:right="0" w:firstLine="0" w:left="567"/>
    </w:pPr>
  </w:style>
  <w:style w:type="paragraph" w:styleId="900">
    <w:name w:val="toc 4"/>
    <w:basedOn w:val="908"/>
    <w:next w:val="908"/>
    <w:uiPriority w:val="39"/>
    <w:unhideWhenUsed/>
    <w:pPr>
      <w:pBdr/>
      <w:spacing w:after="57"/>
      <w:ind w:right="0" w:firstLine="0" w:left="850"/>
    </w:pPr>
  </w:style>
  <w:style w:type="paragraph" w:styleId="901">
    <w:name w:val="toc 5"/>
    <w:basedOn w:val="908"/>
    <w:next w:val="908"/>
    <w:uiPriority w:val="39"/>
    <w:unhideWhenUsed/>
    <w:pPr>
      <w:pBdr/>
      <w:spacing w:after="57"/>
      <w:ind w:right="0" w:firstLine="0" w:left="1134"/>
    </w:pPr>
  </w:style>
  <w:style w:type="paragraph" w:styleId="902">
    <w:name w:val="toc 6"/>
    <w:basedOn w:val="908"/>
    <w:next w:val="908"/>
    <w:uiPriority w:val="39"/>
    <w:unhideWhenUsed/>
    <w:pPr>
      <w:pBdr/>
      <w:spacing w:after="57"/>
      <w:ind w:right="0" w:firstLine="0" w:left="1417"/>
    </w:pPr>
  </w:style>
  <w:style w:type="paragraph" w:styleId="903">
    <w:name w:val="toc 7"/>
    <w:basedOn w:val="908"/>
    <w:next w:val="908"/>
    <w:uiPriority w:val="39"/>
    <w:unhideWhenUsed/>
    <w:pPr>
      <w:pBdr/>
      <w:spacing w:after="57"/>
      <w:ind w:right="0" w:firstLine="0" w:left="1701"/>
    </w:pPr>
  </w:style>
  <w:style w:type="paragraph" w:styleId="904">
    <w:name w:val="toc 8"/>
    <w:basedOn w:val="908"/>
    <w:next w:val="908"/>
    <w:uiPriority w:val="39"/>
    <w:unhideWhenUsed/>
    <w:pPr>
      <w:pBdr/>
      <w:spacing w:after="57"/>
      <w:ind w:right="0" w:firstLine="0" w:left="1984"/>
    </w:pPr>
  </w:style>
  <w:style w:type="paragraph" w:styleId="905">
    <w:name w:val="toc 9"/>
    <w:basedOn w:val="908"/>
    <w:next w:val="908"/>
    <w:uiPriority w:val="39"/>
    <w:unhideWhenUsed/>
    <w:pPr>
      <w:pBdr/>
      <w:spacing w:after="57"/>
      <w:ind w:right="0" w:firstLine="0" w:left="2268"/>
    </w:pPr>
  </w:style>
  <w:style w:type="paragraph" w:styleId="906">
    <w:name w:val="TOC Heading"/>
    <w:uiPriority w:val="39"/>
    <w:unhideWhenUsed/>
    <w:pPr>
      <w:pBdr/>
      <w:spacing/>
      <w:ind/>
    </w:pPr>
  </w:style>
  <w:style w:type="paragraph" w:styleId="907">
    <w:name w:val="table of figures"/>
    <w:basedOn w:val="908"/>
    <w:next w:val="908"/>
    <w:uiPriority w:val="99"/>
    <w:unhideWhenUsed/>
    <w:pPr>
      <w:pBdr/>
      <w:spacing w:after="0" w:afterAutospacing="0"/>
      <w:ind/>
    </w:pPr>
  </w:style>
  <w:style w:type="paragraph" w:styleId="908" w:default="1">
    <w:name w:val="Normal"/>
    <w:qFormat/>
    <w:pPr>
      <w:pBdr/>
      <w:spacing/>
      <w:ind/>
    </w:pPr>
    <w:rPr>
      <w:rFonts w:ascii="Times New Roman" w:hAnsi="Times New Roman" w:eastAsia="Times New Roman"/>
      <w:sz w:val="24"/>
      <w:szCs w:val="24"/>
    </w:rPr>
  </w:style>
  <w:style w:type="character" w:styleId="909" w:default="1">
    <w:name w:val="Default Paragraph Font"/>
    <w:uiPriority w:val="1"/>
    <w:semiHidden/>
    <w:unhideWhenUsed/>
    <w:pPr>
      <w:pBdr/>
      <w:spacing/>
      <w:ind/>
    </w:pPr>
  </w:style>
  <w:style w:type="table" w:styleId="91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11" w:default="1">
    <w:name w:val="No List"/>
    <w:uiPriority w:val="99"/>
    <w:semiHidden/>
    <w:unhideWhenUsed/>
    <w:pPr>
      <w:pBdr/>
      <w:spacing/>
      <w:ind/>
    </w:pPr>
  </w:style>
  <w:style w:type="character" w:styleId="912">
    <w:name w:val="page number"/>
    <w:basedOn w:val="909"/>
    <w:uiPriority w:val="99"/>
    <w:pPr>
      <w:pBdr/>
      <w:spacing/>
      <w:ind/>
    </w:pPr>
    <w:rPr>
      <w:rFonts w:cs="Times New Roman"/>
    </w:rPr>
  </w:style>
  <w:style w:type="paragraph" w:styleId="913">
    <w:name w:val="Body Text Indent"/>
    <w:basedOn w:val="908"/>
    <w:link w:val="914"/>
    <w:uiPriority w:val="99"/>
    <w:pPr>
      <w:numPr>
        <w:ilvl w:val="2"/>
      </w:numPr>
      <w:pBdr/>
      <w:tabs>
        <w:tab w:val="num" w:leader="none" w:pos="0"/>
        <w:tab w:val="num" w:leader="none" w:pos="1080"/>
      </w:tabs>
      <w:spacing/>
      <w:ind w:firstLine="709"/>
      <w:jc w:val="both"/>
    </w:pPr>
  </w:style>
  <w:style w:type="character" w:styleId="914" w:customStyle="1">
    <w:name w:val="Основной текст с отступом Знак"/>
    <w:basedOn w:val="909"/>
    <w:link w:val="913"/>
    <w:uiPriority w:val="99"/>
    <w:pPr>
      <w:pBdr/>
      <w:spacing/>
      <w:ind/>
    </w:pPr>
    <w:rPr>
      <w:rFonts w:ascii="Times New Roman" w:hAnsi="Times New Roman" w:cs="Times New Roman"/>
      <w:sz w:val="24"/>
      <w:szCs w:val="24"/>
      <w:lang w:eastAsia="ru-RU"/>
    </w:rPr>
  </w:style>
  <w:style w:type="paragraph" w:styleId="915">
    <w:name w:val="Header"/>
    <w:basedOn w:val="908"/>
    <w:link w:val="916"/>
    <w:uiPriority w:val="99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916" w:customStyle="1">
    <w:name w:val="Верхний колонтитул Знак"/>
    <w:basedOn w:val="909"/>
    <w:link w:val="915"/>
    <w:uiPriority w:val="99"/>
    <w:pPr>
      <w:pBdr/>
      <w:spacing/>
      <w:ind/>
    </w:pPr>
    <w:rPr>
      <w:rFonts w:ascii="Times New Roman" w:hAnsi="Times New Roman" w:cs="Times New Roman"/>
      <w:sz w:val="24"/>
      <w:szCs w:val="24"/>
      <w:lang w:eastAsia="ru-RU"/>
    </w:rPr>
  </w:style>
  <w:style w:type="paragraph" w:styleId="917" w:customStyle="1">
    <w:name w:val="Текст2"/>
    <w:basedOn w:val="908"/>
    <w:uiPriority w:val="99"/>
    <w:pPr>
      <w:pBdr/>
      <w:spacing/>
      <w:ind/>
    </w:pPr>
    <w:rPr>
      <w:rFonts w:ascii="Courier New" w:hAnsi="Courier New" w:eastAsia="Calibri" w:cs="Courier New"/>
      <w:sz w:val="20"/>
      <w:szCs w:val="20"/>
      <w:lang w:eastAsia="ar-SA"/>
    </w:rPr>
  </w:style>
  <w:style w:type="paragraph" w:styleId="918" w:customStyle="1">
    <w:name w:val="Содержимое таблицы"/>
    <w:basedOn w:val="908"/>
    <w:uiPriority w:val="99"/>
    <w:pPr>
      <w:suppressLineNumbers w:val="true"/>
      <w:pBdr/>
      <w:spacing/>
      <w:ind/>
    </w:pPr>
    <w:rPr>
      <w:lang w:eastAsia="ar-SA"/>
    </w:rPr>
  </w:style>
  <w:style w:type="character" w:styleId="919">
    <w:name w:val="footnote reference"/>
    <w:basedOn w:val="909"/>
    <w:uiPriority w:val="99"/>
    <w:pPr>
      <w:pBdr/>
      <w:spacing/>
      <w:ind/>
    </w:pPr>
    <w:rPr>
      <w:rFonts w:cs="Times New Roman"/>
      <w:vertAlign w:val="superscript"/>
    </w:rPr>
  </w:style>
  <w:style w:type="paragraph" w:styleId="920">
    <w:name w:val="Balloon Text"/>
    <w:basedOn w:val="908"/>
    <w:link w:val="921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  <w:style w:type="character" w:styleId="921" w:customStyle="1">
    <w:name w:val="Текст выноски Знак"/>
    <w:basedOn w:val="909"/>
    <w:link w:val="920"/>
    <w:uiPriority w:val="99"/>
    <w:semiHidden/>
    <w:pPr>
      <w:pBdr/>
      <w:spacing/>
      <w:ind/>
    </w:pPr>
    <w:rPr>
      <w:rFonts w:ascii="Tahoma" w:hAnsi="Tahoma" w:cs="Tahoma"/>
      <w:sz w:val="16"/>
      <w:szCs w:val="16"/>
      <w:lang w:eastAsia="ru-RU"/>
    </w:rPr>
  </w:style>
  <w:style w:type="character" w:styleId="922">
    <w:name w:val="Hyperlink"/>
    <w:basedOn w:val="909"/>
    <w:uiPriority w:val="99"/>
    <w:pPr>
      <w:pBdr/>
      <w:spacing/>
      <w:ind/>
    </w:pPr>
    <w:rPr>
      <w:color w:val="0000ff"/>
      <w:u w:val="single"/>
    </w:rPr>
  </w:style>
  <w:style w:type="paragraph" w:styleId="923" w:customStyle="1">
    <w:name w:val="Без интервала1"/>
    <w:uiPriority w:val="99"/>
    <w:pPr>
      <w:pBdr/>
      <w:spacing/>
      <w:ind/>
    </w:pPr>
    <w:rPr>
      <w:rFonts w:eastAsia="Times New Roman" w:cs="Calibri"/>
      <w:lang w:eastAsia="ar-SA"/>
    </w:rPr>
  </w:style>
  <w:style w:type="character" w:styleId="924" w:customStyle="1">
    <w:name w:val="phone"/>
    <w:basedOn w:val="909"/>
    <w:pPr>
      <w:pBdr/>
      <w:spacing/>
      <w:ind/>
    </w:pPr>
  </w:style>
  <w:style w:type="character" w:styleId="925" w:customStyle="1">
    <w:name w:val="Неразрешенное упоминание1"/>
    <w:basedOn w:val="909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926">
    <w:name w:val="List Paragraph"/>
    <w:basedOn w:val="908"/>
    <w:uiPriority w:val="34"/>
    <w:qFormat/>
    <w:pPr>
      <w:pBdr/>
      <w:spacing/>
      <w:ind w:left="720"/>
      <w:contextualSpacing w:val="true"/>
    </w:pPr>
  </w:style>
  <w:style w:type="table" w:styleId="927">
    <w:name w:val="Table Grid"/>
    <w:basedOn w:val="910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>Microsoft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IV</dc:title>
  <dc:creator>Maksakovamyu</dc:creator>
  <cp:revision>9</cp:revision>
  <dcterms:created xsi:type="dcterms:W3CDTF">2023-03-21T11:54:00Z</dcterms:created>
  <dcterms:modified xsi:type="dcterms:W3CDTF">2026-05-20T23:44:28Z</dcterms:modified>
</cp:coreProperties>
</file>