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632" w:type="dxa"/>
        <w:jc w:val="left"/>
        <w:tblInd w:w="-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13"/>
        <w:gridCol w:w="525"/>
        <w:gridCol w:w="741"/>
        <w:gridCol w:w="253"/>
        <w:gridCol w:w="1595"/>
        <w:gridCol w:w="4541"/>
        <w:gridCol w:w="845"/>
        <w:gridCol w:w="1418"/>
      </w:tblGrid>
      <w:tr>
        <w:trPr>
          <w:trHeight w:val="390" w:hRule="atLeast"/>
        </w:trPr>
        <w:tc>
          <w:tcPr>
            <w:tcW w:w="1238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994" w:type="dxa"/>
            <w:gridSpan w:val="2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W w:w="1595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4541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845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>
          <w:trHeight w:val="721" w:hRule="atLeast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26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84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454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84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1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</w:tc>
        <w:tc>
          <w:tcPr>
            <w:tcW w:w="12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>
                <w:rFonts w:ascii="Times New Roman" w:hAnsi="Times New Roman" w:eastAsia="Times New Roman" w:cs="Times New Roman"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eastAsia="Times New Roman" w:cs="Times New Roman" w:ascii="Times New Roman" w:hAnsi="Times New Roman"/>
                <w:bCs/>
                <w:color w:themeColor="text1" w:val="000000"/>
                <w:sz w:val="20"/>
                <w:szCs w:val="20"/>
                <w:u w:val="single"/>
              </w:rPr>
              <w:t>21.20.10.131-000008-1-00098-0000000000000</w:t>
            </w:r>
          </w:p>
        </w:tc>
        <w:tc>
          <w:tcPr>
            <w:tcW w:w="18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Гепарин натрия</w:t>
            </w:r>
          </w:p>
        </w:tc>
        <w:tc>
          <w:tcPr>
            <w:tcW w:w="454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Фармакотерапевтическая группа: </w:t>
            </w:r>
            <w:r>
              <w:rPr>
                <w:rFonts w:cs="Times New Roman" w:ascii="Times New Roman" w:hAnsi="Times New Roman"/>
                <w:color w:themeColor="text1" w:val="000000"/>
                <w:sz w:val="20"/>
                <w:szCs w:val="20"/>
                <w:shd w:fill="FFFFFF" w:val="clear"/>
              </w:rPr>
              <w:t>антикоагулянтное средство прямого действия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раствор для внутривенного и подкожного введения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: 5000 ЕД/мл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  <w:t>Требование к растворам для проведения инфузионной терапии: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для внутривенной инфузии может быть разведен в следующих растворах: Натрия хлорида 0,9%, Декстрозы 5%, Декстрозы 10%, Рингера*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b/>
                <w:sz w:val="20"/>
                <w:szCs w:val="20"/>
                <w:lang w:eastAsia="en-US"/>
              </w:rPr>
              <w:t>Требование к сроку хранения флакона после первого вскрытия:</w:t>
            </w: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Флакон можно хранить и использовать до 14 суток при комнатной температуре после первого забора раствора, при условии забора в строго асептических условиях. Дата первого вскрытия должна быть указана на этикетке**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i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i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</w:rPr>
              <w:t>(см 3)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>6150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ListParagraph"/>
        <w:suppressAutoHyphens w:val="false"/>
        <w:spacing w:lineRule="auto" w:line="240" w:before="0" w:after="0"/>
        <w:ind w:hanging="265" w:left="-16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</w:t>
      </w:r>
      <w:r>
        <w:rPr>
          <w:rFonts w:cs="Times New Roman" w:ascii="Times New Roman" w:hAnsi="Times New Roman"/>
          <w:sz w:val="20"/>
          <w:szCs w:val="20"/>
        </w:rPr>
        <w:t>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* </w:t>
      </w:r>
      <w:r>
        <w:rPr>
          <w:rFonts w:cs="Times New Roman" w:ascii="Times New Roman" w:hAnsi="Times New Roman"/>
          <w:bCs/>
          <w:iCs/>
          <w:sz w:val="20"/>
          <w:szCs w:val="20"/>
        </w:rPr>
        <w:t xml:space="preserve">Возможность разведения в приведенном перечне инфузионных растворов, определяется использованием лекарственного препарата в отделении реанимации и интенсивной терапии. Пациенты в данном отделении получают инфузионную терапию различными растворами для инфузии: Натрия хлорида 0,9%, Декстрозы 5%, Декстрозы 10%, Рингера.  Состав инфузионной терапии определяется персонально. При наличии у пациента осложнений (или угрозы их развития), связанных с внутрисосудистым свертыванием крови, в состав инфузионной терапии вводят препарат Гепарин натрия, который должен иметь указание на возможность разведения в вышеперечисленных растворах. 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**</w:t>
      </w:r>
      <w:r>
        <w:rPr>
          <w:rFonts w:eastAsia="Calibri" w:cs="Times New Roman" w:ascii="Times New Roman" w:hAnsi="Times New Roman" w:eastAsiaTheme="minorHAnsi"/>
          <w:sz w:val="18"/>
          <w:szCs w:val="18"/>
          <w:lang w:eastAsia="en-US"/>
        </w:rPr>
        <w:t xml:space="preserve"> </w:t>
      </w:r>
      <w:r>
        <w:rPr>
          <w:rFonts w:eastAsia="Calibri" w:cs="Times New Roman" w:ascii="Times New Roman" w:hAnsi="Times New Roman" w:eastAsiaTheme="minorHAnsi"/>
          <w:sz w:val="20"/>
          <w:szCs w:val="20"/>
          <w:lang w:eastAsia="en-US"/>
        </w:rPr>
        <w:t>Возможность длительного (до 14 суток)</w:t>
      </w:r>
      <w:r>
        <w:rPr>
          <w:rFonts w:eastAsia="Calibri" w:cs="Times New Roman" w:ascii="Times New Roman" w:hAnsi="Times New Roman" w:eastAsiaTheme="minorHAnsi"/>
          <w:sz w:val="18"/>
          <w:szCs w:val="18"/>
          <w:lang w:eastAsia="en-US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хранения вскрытого флакона необходима для оптимизации многократного дозирования, сокращения медицинских отходов и эффективного (рационального) использования бюджетных средств. В частности, в стационаре </w:t>
      </w:r>
      <w:r>
        <w:rPr>
          <w:rFonts w:cs="Times New Roman" w:ascii="Times New Roman" w:hAnsi="Times New Roman"/>
          <w:sz w:val="20"/>
          <w:szCs w:val="20"/>
        </w:rPr>
        <w:t>Г</w:t>
      </w:r>
      <w:r>
        <w:rPr>
          <w:rFonts w:cs="Times New Roman" w:ascii="Times New Roman" w:hAnsi="Times New Roman"/>
          <w:sz w:val="20"/>
          <w:szCs w:val="20"/>
        </w:rPr>
        <w:t xml:space="preserve">епарин в малых дозах (0,01 мл </w:t>
      </w:r>
      <w:r>
        <w:rPr>
          <w:rFonts w:cs="Times New Roman" w:ascii="Times New Roman" w:hAnsi="Times New Roman"/>
          <w:sz w:val="20"/>
          <w:szCs w:val="20"/>
        </w:rPr>
        <w:t>Г</w:t>
      </w:r>
      <w:r>
        <w:rPr>
          <w:rFonts w:cs="Times New Roman" w:ascii="Times New Roman" w:hAnsi="Times New Roman"/>
          <w:sz w:val="20"/>
          <w:szCs w:val="20"/>
        </w:rPr>
        <w:t>епарина на 1 мл физиологического раствора – т. е. 50 ЕД/1 мл) применяется для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en-US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профилактики тромбообразования в просвете сосудистого катетера. На одну процедуру промывания сосудистого катетера установлен объем в размере 10 мл данного раствора (50 ЕД в 1 мл). Медицинская сестра может использовать один флакон в течение смены или нескольких дней для обслуживания катетеров у группы пациентов, строго соблюдая стерильность.  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r>
        <w:rPr>
          <w:rFonts w:cs="Times New Roman" w:ascii="Times New Roman" w:hAnsi="Times New Roman"/>
          <w:bCs/>
          <w:iCs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Arial">
    <w:charset w:val="01"/>
    <w:family w:val="swiss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" w:customStyle="1">
    <w:name w:val="Гиперссылка1"/>
    <w:basedOn w:val="DefaultParagraphFont"/>
    <w:uiPriority w:val="99"/>
    <w:semiHidden/>
    <w:unhideWhenUsed/>
    <w:qFormat/>
    <w:rsid w:val="00e87e79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character" w:styleId="Hyperlink">
    <w:name w:val="Hyperlink"/>
    <w:rPr>
      <w:color w:val="000080"/>
      <w:u w:val="single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ы"/>
    <w:basedOn w:val="Style17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371fe5"/>
    <w:pPr>
      <w:spacing w:before="0" w:after="200"/>
      <w:ind w:left="720"/>
      <w:contextualSpacing/>
    </w:pPr>
    <w:rPr/>
  </w:style>
  <w:style w:type="numbering" w:styleId="Style19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LibreOffice/24.8.4.2$Linux_X86_64 LibreOffice_project/480$Build-2</Application>
  <AppVersion>15.0000</AppVersion>
  <Pages>2</Pages>
  <Words>586</Words>
  <Characters>4279</Characters>
  <CharactersWithSpaces>5831</CharactersWithSpaces>
  <Paragraphs>36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2026-05-04T12:51:00Z</dcterms:created>
  <dc:creator>Янна</dc:creator>
  <dc:description/>
  <dc:language>ru-RU</dc:language>
  <cp:lastModifiedBy/>
  <cp:lastPrinted>2026-05-19T10:30:00Z</cp:lastPrinted>
  <dcterms:modified xsi:type="dcterms:W3CDTF">2026-05-20T13:10:09Z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8de25a8-ef47-40a7-b7ec-c38f3edc2acf_ActionId">
    <vt:lpwstr>be93e74d-7acd-4865-8222-c0249775c4f6</vt:lpwstr>
  </property>
  <property fmtid="{D5CDD505-2E9C-101B-9397-08002B2CF9AE}" pid="3" name="MSIP_Label_a8de25a8-ef47-40a7-b7ec-c38f3edc2acf_ContentBits">
    <vt:lpwstr>0</vt:lpwstr>
  </property>
  <property fmtid="{D5CDD505-2E9C-101B-9397-08002B2CF9AE}" pid="4" name="MSIP_Label_a8de25a8-ef47-40a7-b7ec-c38f3edc2acf_Enabled">
    <vt:lpwstr>true</vt:lpwstr>
  </property>
  <property fmtid="{D5CDD505-2E9C-101B-9397-08002B2CF9AE}" pid="5" name="MSIP_Label_a8de25a8-ef47-40a7-b7ec-c38f3edc2acf_Method">
    <vt:lpwstr>Standard</vt:lpwstr>
  </property>
  <property fmtid="{D5CDD505-2E9C-101B-9397-08002B2CF9AE}" pid="6" name="MSIP_Label_a8de25a8-ef47-40a7-b7ec-c38f3edc2acf_Name">
    <vt:lpwstr>a8de25a8-ef47-40a7-b7ec-c38f3edc2acf</vt:lpwstr>
  </property>
  <property fmtid="{D5CDD505-2E9C-101B-9397-08002B2CF9AE}" pid="7" name="MSIP_Label_a8de25a8-ef47-40a7-b7ec-c38f3edc2acf_SetDate">
    <vt:lpwstr>2026-05-19T19:32:26Z</vt:lpwstr>
  </property>
  <property fmtid="{D5CDD505-2E9C-101B-9397-08002B2CF9AE}" pid="8" name="MSIP_Label_a8de25a8-ef47-40a7-b7ec-c38f3edc2acf_SiteId">
    <vt:lpwstr>15d1bef2-0a6a-46f9-be4c-023279325e51</vt:lpwstr>
  </property>
  <property fmtid="{D5CDD505-2E9C-101B-9397-08002B2CF9AE}" pid="9" name="MSIP_Label_a8de25a8-ef47-40a7-b7ec-c38f3edc2acf_Tag">
    <vt:lpwstr>10, 3, 0, 1</vt:lpwstr>
  </property>
</Properties>
</file>