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header3.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_rels/document.xml.rels" ContentType="application/vnd.openxmlformats-package.relationships+xml"/>
  <Override PartName="/word/header5.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b/>
          <w:sz w:val="20"/>
          <w:szCs w:val="20"/>
        </w:rPr>
      </w:pPr>
      <w:r>
        <w:rPr>
          <w:b/>
          <w:sz w:val="20"/>
          <w:szCs w:val="20"/>
        </w:rPr>
        <w:t>ПРОЕКТ КОНТРАКТА</w:t>
      </w:r>
    </w:p>
    <w:p>
      <w:pPr>
        <w:pStyle w:val="Normal"/>
        <w:jc w:val="center"/>
        <w:rPr>
          <w:b/>
          <w:sz w:val="20"/>
          <w:szCs w:val="20"/>
        </w:rPr>
      </w:pPr>
      <w:r>
        <w:rPr>
          <w:b/>
          <w:sz w:val="20"/>
          <w:szCs w:val="20"/>
        </w:rPr>
      </w:r>
    </w:p>
    <w:p>
      <w:pPr>
        <w:pStyle w:val="Normal"/>
        <w:jc w:val="center"/>
        <w:rPr>
          <w:b/>
          <w:sz w:val="20"/>
          <w:szCs w:val="20"/>
        </w:rPr>
      </w:pPr>
      <w:r>
        <w:rPr>
          <w:b/>
          <w:sz w:val="20"/>
          <w:szCs w:val="20"/>
        </w:rPr>
        <w:t>КОНТРАКТ № 165/2026</w:t>
      </w:r>
    </w:p>
    <w:p>
      <w:pPr>
        <w:pStyle w:val="Normal"/>
        <w:rPr>
          <w:sz w:val="20"/>
          <w:szCs w:val="20"/>
        </w:rPr>
      </w:pPr>
      <w:r>
        <w:rPr>
          <w:sz w:val="20"/>
          <w:szCs w:val="20"/>
        </w:rPr>
      </w:r>
    </w:p>
    <w:tbl>
      <w:tblPr>
        <w:tblStyle w:val="af9"/>
        <w:tblW w:w="9923"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3134"/>
        <w:gridCol w:w="2689"/>
        <w:gridCol w:w="4100"/>
      </w:tblGrid>
      <w:tr>
        <w:trPr/>
        <w:tc>
          <w:tcPr>
            <w:tcW w:w="3134" w:type="dxa"/>
            <w:tcBorders>
              <w:top w:val="nil"/>
              <w:left w:val="nil"/>
              <w:bottom w:val="nil"/>
              <w:right w:val="nil"/>
            </w:tcBorders>
          </w:tcPr>
          <w:p>
            <w:pPr>
              <w:pStyle w:val="Normal"/>
              <w:widowControl/>
              <w:tabs>
                <w:tab w:val="clear" w:pos="708"/>
                <w:tab w:val="left" w:pos="3195" w:leader="none"/>
              </w:tabs>
              <w:suppressAutoHyphens w:val="true"/>
              <w:spacing w:before="0" w:after="0"/>
              <w:jc w:val="left"/>
              <w:rPr>
                <w:caps/>
                <w:sz w:val="20"/>
                <w:szCs w:val="20"/>
              </w:rPr>
            </w:pPr>
            <w:r>
              <w:rPr>
                <w:kern w:val="0"/>
                <w:sz w:val="20"/>
                <w:szCs w:val="20"/>
                <w:lang w:val="ru-RU" w:bidi="ar-SA"/>
              </w:rPr>
              <w:t>г. Санкт-Петербург</w:t>
            </w:r>
          </w:p>
        </w:tc>
        <w:tc>
          <w:tcPr>
            <w:tcW w:w="2689" w:type="dxa"/>
            <w:tcBorders>
              <w:top w:val="nil"/>
              <w:left w:val="nil"/>
              <w:bottom w:val="nil"/>
              <w:right w:val="nil"/>
            </w:tcBorders>
          </w:tcPr>
          <w:p>
            <w:pPr>
              <w:pStyle w:val="Normal"/>
              <w:widowControl/>
              <w:tabs>
                <w:tab w:val="clear" w:pos="708"/>
                <w:tab w:val="left" w:pos="3195" w:leader="none"/>
              </w:tabs>
              <w:suppressAutoHyphens w:val="true"/>
              <w:spacing w:before="0" w:after="0"/>
              <w:jc w:val="left"/>
              <w:rPr>
                <w:caps/>
                <w:sz w:val="20"/>
                <w:szCs w:val="20"/>
              </w:rPr>
            </w:pPr>
            <w:r>
              <w:rPr>
                <w:caps/>
                <w:sz w:val="20"/>
                <w:szCs w:val="20"/>
              </w:rPr>
            </w:r>
          </w:p>
        </w:tc>
        <w:tc>
          <w:tcPr>
            <w:tcW w:w="4100" w:type="dxa"/>
            <w:tcBorders>
              <w:top w:val="nil"/>
              <w:left w:val="nil"/>
              <w:bottom w:val="nil"/>
              <w:right w:val="nil"/>
            </w:tcBorders>
          </w:tcPr>
          <w:p>
            <w:pPr>
              <w:pStyle w:val="Normal"/>
              <w:widowControl/>
              <w:tabs>
                <w:tab w:val="clear" w:pos="708"/>
                <w:tab w:val="left" w:pos="3195" w:leader="none"/>
              </w:tabs>
              <w:suppressAutoHyphens w:val="true"/>
              <w:spacing w:before="0" w:after="0"/>
              <w:jc w:val="right"/>
              <w:rPr>
                <w:caps/>
                <w:sz w:val="20"/>
                <w:szCs w:val="20"/>
              </w:rPr>
            </w:pPr>
            <w:r>
              <w:rPr>
                <w:kern w:val="0"/>
                <w:sz w:val="20"/>
                <w:szCs w:val="20"/>
                <w:lang w:val="ru-RU" w:bidi="ar-SA"/>
              </w:rPr>
              <w:t>«___» _________ 2026 года</w:t>
            </w:r>
          </w:p>
        </w:tc>
      </w:tr>
    </w:tbl>
    <w:p>
      <w:pPr>
        <w:pStyle w:val="Normal"/>
        <w:jc w:val="both"/>
        <w:rPr>
          <w:sz w:val="20"/>
          <w:szCs w:val="20"/>
        </w:rPr>
      </w:pPr>
      <w:r>
        <w:rPr>
          <w:sz w:val="20"/>
          <w:szCs w:val="20"/>
        </w:rPr>
      </w:r>
    </w:p>
    <w:p>
      <w:pPr>
        <w:pStyle w:val="Normal"/>
        <w:ind w:firstLine="709"/>
        <w:jc w:val="both"/>
        <w:rPr>
          <w:sz w:val="20"/>
          <w:szCs w:val="20"/>
        </w:rPr>
      </w:pPr>
      <w:r>
        <w:rPr>
          <w:b/>
          <w:sz w:val="20"/>
          <w:szCs w:val="20"/>
        </w:rPr>
        <w:t>Санкт-Петербургское государственное бюджетное учреждение здравоохранения «Городская больница Святой преподобномученицы Елизаветы» (СПб ГБУЗ «Елизаветинская больница»)</w:t>
      </w:r>
      <w:r>
        <w:rPr>
          <w:sz w:val="20"/>
          <w:szCs w:val="20"/>
        </w:rPr>
        <w:t xml:space="preserve">, именуемое в дальнейшем «Заказчик», в лице главного врача Петрова Сергея Викторовича, действующего на основании Устава, с одной стороны, и </w:t>
      </w:r>
    </w:p>
    <w:p>
      <w:pPr>
        <w:pStyle w:val="Normal"/>
        <w:ind w:firstLine="709"/>
        <w:jc w:val="both"/>
        <w:rPr>
          <w:sz w:val="20"/>
          <w:szCs w:val="20"/>
        </w:rPr>
      </w:pPr>
      <w:r>
        <w:rPr>
          <w:b/>
          <w:sz w:val="20"/>
          <w:szCs w:val="20"/>
        </w:rPr>
        <w:t>__________________________</w:t>
      </w:r>
      <w:r>
        <w:rPr>
          <w:sz w:val="20"/>
          <w:szCs w:val="20"/>
        </w:rPr>
        <w:t xml:space="preserve"> (полное наименование организации в соответствии с учредительными документами), именуемое в дальнейшем «Поставщик», в лице _____________________________ (должность, ФИО), действующего на основании ________ (</w:t>
      </w:r>
      <w:r>
        <w:rPr>
          <w:color w:val="000000"/>
          <w:spacing w:val="1"/>
          <w:sz w:val="20"/>
          <w:szCs w:val="20"/>
        </w:rPr>
        <w:t>учредительный документ или доверенность)</w:t>
      </w:r>
      <w:r>
        <w:rPr>
          <w:sz w:val="20"/>
          <w:szCs w:val="20"/>
        </w:rPr>
        <w:t xml:space="preserve">, с другой стороны, </w:t>
      </w:r>
    </w:p>
    <w:p>
      <w:pPr>
        <w:pStyle w:val="Normal"/>
        <w:ind w:firstLine="709"/>
        <w:jc w:val="both"/>
        <w:rPr>
          <w:sz w:val="20"/>
          <w:szCs w:val="20"/>
        </w:rPr>
      </w:pPr>
      <w:r>
        <w:rPr>
          <w:sz w:val="20"/>
          <w:szCs w:val="20"/>
        </w:rPr>
        <w:t>вместе именуемые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ПРЕДМЕТ КОНТРАКТА</w:t>
      </w:r>
    </w:p>
    <w:p>
      <w:pPr>
        <w:pStyle w:val="Normal"/>
        <w:tabs>
          <w:tab w:val="clear" w:pos="708"/>
          <w:tab w:val="left" w:pos="1276" w:leader="none"/>
        </w:tabs>
        <w:ind w:firstLine="708"/>
        <w:jc w:val="both"/>
        <w:rPr>
          <w:sz w:val="20"/>
          <w:szCs w:val="20"/>
        </w:rPr>
      </w:pPr>
      <w:r>
        <w:rPr>
          <w:sz w:val="20"/>
          <w:szCs w:val="20"/>
        </w:rPr>
        <w:t>1.1.</w:t>
        <w:tab/>
        <w:t xml:space="preserve">Предметом настоящего Контракта является </w:t>
      </w:r>
      <w:r>
        <w:rPr>
          <w:b/>
          <w:sz w:val="20"/>
          <w:szCs w:val="20"/>
        </w:rPr>
        <w:t>п</w:t>
      </w:r>
      <w:r>
        <w:rPr>
          <w:b/>
          <w:bCs/>
          <w:sz w:val="20"/>
          <w:szCs w:val="20"/>
        </w:rPr>
        <w:t>оставка пленки термографической медицинской (</w:t>
      </w:r>
      <w:r>
        <w:rPr>
          <w:color w:val="000000"/>
          <w:sz w:val="20"/>
          <w:szCs w:val="20"/>
        </w:rPr>
        <w:t>далее – Товар)</w:t>
      </w:r>
      <w:r>
        <w:rPr>
          <w:sz w:val="20"/>
          <w:szCs w:val="20"/>
        </w:rPr>
        <w:t>,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Контрактом.</w:t>
      </w:r>
    </w:p>
    <w:p>
      <w:pPr>
        <w:pStyle w:val="Normal"/>
        <w:tabs>
          <w:tab w:val="clear" w:pos="708"/>
          <w:tab w:val="left" w:pos="1276" w:leader="none"/>
        </w:tabs>
        <w:ind w:firstLine="708"/>
        <w:jc w:val="both"/>
        <w:rPr>
          <w:sz w:val="20"/>
          <w:szCs w:val="20"/>
        </w:rPr>
      </w:pPr>
      <w:r>
        <w:rPr>
          <w:sz w:val="20"/>
          <w:szCs w:val="20"/>
        </w:rPr>
        <w:t>1.2.</w:t>
        <w:tab/>
        <w:t xml:space="preserve">Идентификационный код закупки: </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ЦЕНА КОНТРАКТА И ПОРЯДОК РАСЧЕТОВ</w:t>
      </w:r>
    </w:p>
    <w:p>
      <w:pPr>
        <w:pStyle w:val="Normal"/>
        <w:tabs>
          <w:tab w:val="clear" w:pos="708"/>
          <w:tab w:val="left" w:pos="1276" w:leader="none"/>
        </w:tabs>
        <w:ind w:firstLine="708"/>
        <w:jc w:val="both"/>
        <w:rPr>
          <w:sz w:val="20"/>
          <w:szCs w:val="20"/>
        </w:rPr>
      </w:pPr>
      <w:r>
        <w:rPr>
          <w:sz w:val="20"/>
          <w:szCs w:val="20"/>
        </w:rPr>
        <w:t>2.1.</w:t>
        <w:tab/>
        <w:t>Цена Контракта составляет ________ (_________) рублей ___ копеек, НДС не облагается на основании ст. ___ НК РФ.</w:t>
      </w:r>
    </w:p>
    <w:p>
      <w:pPr>
        <w:pStyle w:val="Normal"/>
        <w:tabs>
          <w:tab w:val="clear" w:pos="708"/>
          <w:tab w:val="left" w:pos="1701" w:leader="none"/>
        </w:tabs>
        <w:ind w:firstLine="708"/>
        <w:jc w:val="both"/>
        <w:rPr>
          <w:sz w:val="20"/>
          <w:szCs w:val="20"/>
        </w:rPr>
      </w:pPr>
      <w:r>
        <w:rPr>
          <w:sz w:val="20"/>
          <w:szCs w:val="20"/>
        </w:rPr>
        <w:t>Источник финансирования: Внебюджетные средства , тип внебюджетных средств, средства бюджетных учреждений.</w:t>
      </w:r>
    </w:p>
    <w:p>
      <w:pPr>
        <w:pStyle w:val="Normal"/>
        <w:tabs>
          <w:tab w:val="clear" w:pos="708"/>
          <w:tab w:val="left" w:pos="1276" w:leader="none"/>
        </w:tabs>
        <w:ind w:firstLine="708"/>
        <w:jc w:val="both"/>
        <w:rPr>
          <w:sz w:val="20"/>
          <w:szCs w:val="20"/>
        </w:rPr>
      </w:pPr>
      <w:r>
        <w:rPr>
          <w:sz w:val="20"/>
          <w:szCs w:val="20"/>
        </w:rPr>
        <w:t>2.2.</w:t>
        <w:tab/>
        <w:t>Цена Контракта является твердой и определяется на весь срок исполнения Контракта.</w:t>
      </w:r>
    </w:p>
    <w:p>
      <w:pPr>
        <w:pStyle w:val="Normal"/>
        <w:tabs>
          <w:tab w:val="clear" w:pos="708"/>
          <w:tab w:val="left" w:pos="1276" w:leader="none"/>
        </w:tabs>
        <w:ind w:firstLine="708"/>
        <w:jc w:val="both"/>
        <w:rPr>
          <w:sz w:val="20"/>
          <w:szCs w:val="20"/>
        </w:rPr>
      </w:pPr>
      <w:r>
        <w:rPr>
          <w:sz w:val="20"/>
          <w:szCs w:val="20"/>
        </w:rPr>
        <w:t>2.3.</w:t>
        <w:tab/>
        <w:t>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pPr>
        <w:pStyle w:val="Normal"/>
        <w:tabs>
          <w:tab w:val="clear" w:pos="708"/>
          <w:tab w:val="left" w:pos="1276" w:leader="none"/>
        </w:tabs>
        <w:ind w:firstLine="708"/>
        <w:jc w:val="both"/>
        <w:rPr>
          <w:sz w:val="20"/>
          <w:szCs w:val="20"/>
        </w:rPr>
      </w:pPr>
      <w:r>
        <w:rPr>
          <w:sz w:val="20"/>
          <w:szCs w:val="20"/>
        </w:rPr>
        <w:t>2.4.</w:t>
        <w:tab/>
        <w:t>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pPr>
        <w:pStyle w:val="Normal"/>
        <w:tabs>
          <w:tab w:val="clear" w:pos="708"/>
          <w:tab w:val="left" w:pos="1276" w:leader="none"/>
        </w:tabs>
        <w:ind w:firstLine="708"/>
        <w:jc w:val="both"/>
        <w:rPr>
          <w:sz w:val="20"/>
          <w:szCs w:val="20"/>
        </w:rPr>
      </w:pPr>
      <w:r>
        <w:rPr>
          <w:sz w:val="20"/>
          <w:szCs w:val="20"/>
        </w:rPr>
        <w:t>2.5.</w:t>
        <w:tab/>
        <w:t>Основанием для оплаты являются подписанные Сторонами и предоставленные в бухгалтерию Заказчика: счёт, товарная накладная со ссылкой на действующий Контракт с последующим подтверждением счётом-фактурой (не предоставляется в случае применения Поставщиком упрощенной системы налогообложения), документ о приемке Товара (Акт приема-передачи Товара).</w:t>
      </w:r>
    </w:p>
    <w:p>
      <w:pPr>
        <w:pStyle w:val="Normal"/>
        <w:tabs>
          <w:tab w:val="clear" w:pos="708"/>
          <w:tab w:val="left" w:pos="1276" w:leader="none"/>
        </w:tabs>
        <w:ind w:firstLine="708"/>
        <w:jc w:val="both"/>
        <w:rPr>
          <w:sz w:val="20"/>
          <w:szCs w:val="20"/>
        </w:rPr>
      </w:pPr>
      <w:r>
        <w:rPr>
          <w:sz w:val="20"/>
          <w:szCs w:val="20"/>
        </w:rPr>
        <w:t>2.6.</w:t>
        <w:tab/>
        <w:t>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Normal"/>
        <w:tabs>
          <w:tab w:val="clear" w:pos="708"/>
          <w:tab w:val="left" w:pos="1276" w:leader="none"/>
        </w:tabs>
        <w:ind w:firstLine="708"/>
        <w:jc w:val="both"/>
        <w:rPr>
          <w:sz w:val="20"/>
          <w:szCs w:val="20"/>
        </w:rPr>
      </w:pPr>
      <w:r>
        <w:rPr>
          <w:sz w:val="20"/>
          <w:szCs w:val="20"/>
        </w:rPr>
        <w:t>2.7.</w:t>
        <w:tab/>
        <w:t>В случае неисполнения Поставщиком требований об уплате неустоек (штрафов, пеней) предъявленных Заказчиком в соответствии с Законом о контрактной системе и Контрактом, Заказчик вправе удержать сумму неустоек (штрафов, пеней), рассчитанную в установленном законодательством Российской Федерации порядке, из суммы, подлежащей оплате Поставщику за поставленный по Контракту Товар.</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ПОРЯДОК ПОСТАВКИ ТОВАРА</w:t>
      </w:r>
    </w:p>
    <w:p>
      <w:pPr>
        <w:pStyle w:val="Normal"/>
        <w:tabs>
          <w:tab w:val="clear" w:pos="708"/>
          <w:tab w:val="left" w:pos="1276" w:leader="none"/>
        </w:tabs>
        <w:ind w:firstLine="708"/>
        <w:jc w:val="both"/>
        <w:rPr>
          <w:sz w:val="20"/>
          <w:szCs w:val="20"/>
        </w:rPr>
      </w:pPr>
      <w:r>
        <w:rPr>
          <w:sz w:val="20"/>
          <w:szCs w:val="20"/>
        </w:rPr>
        <w:t>3.1.</w:t>
        <w:tab/>
        <w:t>Требования к качеству Товара, комплектности, таре, упаковке, маркировке, иные требования к функциональным, техническим и эксплуатационным характеристикам Товара содержатся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3.2.</w:t>
        <w:tab/>
        <w:t>Поставка Товара осуществляется по адресу, указанному в Техническом задании (Приложение №2 к Контракту).</w:t>
      </w:r>
    </w:p>
    <w:p>
      <w:pPr>
        <w:pStyle w:val="Normal"/>
        <w:tabs>
          <w:tab w:val="clear" w:pos="708"/>
          <w:tab w:val="left" w:pos="1276" w:leader="none"/>
        </w:tabs>
        <w:ind w:firstLine="708"/>
        <w:jc w:val="both"/>
        <w:rPr>
          <w:sz w:val="20"/>
          <w:szCs w:val="20"/>
        </w:rPr>
      </w:pPr>
      <w:r>
        <w:rPr>
          <w:sz w:val="20"/>
          <w:szCs w:val="20"/>
        </w:rPr>
        <w:t>3.3.</w:t>
        <w:tab/>
        <w:t>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3.4.</w:t>
        <w:tab/>
        <w:t>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pPr>
        <w:pStyle w:val="Normal"/>
        <w:tabs>
          <w:tab w:val="clear" w:pos="708"/>
          <w:tab w:val="left" w:pos="1276" w:leader="none"/>
        </w:tabs>
        <w:ind w:firstLine="708"/>
        <w:jc w:val="both"/>
        <w:rPr>
          <w:sz w:val="20"/>
          <w:szCs w:val="20"/>
        </w:rPr>
      </w:pPr>
      <w:r>
        <w:rPr>
          <w:sz w:val="20"/>
          <w:szCs w:val="20"/>
        </w:rPr>
        <w:t>3.5.</w:t>
        <w:tab/>
        <w:t>Срок поставки Товара указывается в Техническом задании (Приложение № 2 к Контракту).</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ПОРЯДОК ПРИЕМКИ ТОВАРА</w:t>
      </w:r>
    </w:p>
    <w:p>
      <w:pPr>
        <w:pStyle w:val="Normal"/>
        <w:tabs>
          <w:tab w:val="clear" w:pos="708"/>
          <w:tab w:val="left" w:pos="1276" w:leader="none"/>
        </w:tabs>
        <w:ind w:firstLine="708"/>
        <w:jc w:val="both"/>
        <w:rPr>
          <w:sz w:val="20"/>
          <w:szCs w:val="20"/>
        </w:rPr>
      </w:pPr>
      <w:r>
        <w:rPr>
          <w:sz w:val="20"/>
          <w:szCs w:val="20"/>
        </w:rPr>
        <w:t>4.1.</w:t>
        <w:tab/>
        <w:t>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Акт приема-передачи Товара, указанный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4.2.</w:t>
        <w:tab/>
        <w:t>Срок приемки указан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4.3.</w:t>
        <w:tab/>
        <w:t>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w:t>
      </w:r>
    </w:p>
    <w:p>
      <w:pPr>
        <w:pStyle w:val="Normal"/>
        <w:tabs>
          <w:tab w:val="clear" w:pos="708"/>
          <w:tab w:val="left" w:pos="1276" w:leader="none"/>
        </w:tabs>
        <w:ind w:firstLine="708"/>
        <w:jc w:val="both"/>
        <w:rPr>
          <w:sz w:val="20"/>
          <w:szCs w:val="20"/>
        </w:rPr>
      </w:pPr>
      <w:r>
        <w:rPr>
          <w:sz w:val="20"/>
          <w:szCs w:val="20"/>
        </w:rPr>
        <w:t>4.4.</w:t>
        <w:tab/>
        <w:t>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pPr>
        <w:pStyle w:val="Normal"/>
        <w:tabs>
          <w:tab w:val="clear" w:pos="708"/>
          <w:tab w:val="left" w:pos="1276" w:leader="none"/>
        </w:tabs>
        <w:ind w:firstLine="708"/>
        <w:jc w:val="both"/>
        <w:rPr>
          <w:sz w:val="20"/>
          <w:szCs w:val="20"/>
        </w:rPr>
      </w:pPr>
      <w:r>
        <w:rPr>
          <w:sz w:val="20"/>
          <w:szCs w:val="20"/>
        </w:rPr>
        <w:t>4.5.</w:t>
        <w:tab/>
        <w:t>Претензии по скрытым недостаткам могут быть заявлены Заказчиком в течение гарантийного срока/ срока годности Товара.</w:t>
      </w:r>
    </w:p>
    <w:p>
      <w:pPr>
        <w:pStyle w:val="Normal"/>
        <w:tabs>
          <w:tab w:val="clear" w:pos="708"/>
          <w:tab w:val="left" w:pos="1276" w:leader="none"/>
        </w:tabs>
        <w:ind w:firstLine="708"/>
        <w:jc w:val="both"/>
        <w:rPr>
          <w:sz w:val="20"/>
          <w:szCs w:val="20"/>
        </w:rPr>
      </w:pPr>
      <w:r>
        <w:rPr>
          <w:sz w:val="20"/>
          <w:szCs w:val="20"/>
        </w:rPr>
        <w:t>4.6.</w:t>
        <w:tab/>
        <w:t>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pPr>
        <w:pStyle w:val="Normal"/>
        <w:tabs>
          <w:tab w:val="clear" w:pos="708"/>
          <w:tab w:val="left" w:pos="1276" w:leader="none"/>
        </w:tabs>
        <w:ind w:firstLine="708"/>
        <w:jc w:val="both"/>
        <w:rPr>
          <w:sz w:val="20"/>
          <w:szCs w:val="20"/>
        </w:rPr>
      </w:pPr>
      <w:r>
        <w:rPr>
          <w:sz w:val="20"/>
          <w:szCs w:val="20"/>
        </w:rPr>
        <w:t>4.7.</w:t>
        <w:tab/>
        <w:t>Все расходы, связанные с устранением недостатков, несет Поставщик.</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ПРАВА И ОБЯЗАННОСТИ СТОРОН</w:t>
      </w:r>
    </w:p>
    <w:p>
      <w:pPr>
        <w:pStyle w:val="Normal"/>
        <w:tabs>
          <w:tab w:val="clear" w:pos="708"/>
          <w:tab w:val="left" w:pos="1276" w:leader="none"/>
        </w:tabs>
        <w:ind w:firstLine="708"/>
        <w:jc w:val="both"/>
        <w:rPr>
          <w:sz w:val="20"/>
          <w:szCs w:val="20"/>
        </w:rPr>
      </w:pPr>
      <w:r>
        <w:rPr>
          <w:sz w:val="20"/>
          <w:szCs w:val="20"/>
        </w:rPr>
        <w:t>5.1.</w:t>
        <w:tab/>
        <w:t>Заказчик вправе:</w:t>
      </w:r>
    </w:p>
    <w:p>
      <w:pPr>
        <w:pStyle w:val="Normal"/>
        <w:tabs>
          <w:tab w:val="clear" w:pos="708"/>
          <w:tab w:val="left" w:pos="1276" w:leader="none"/>
        </w:tabs>
        <w:ind w:firstLine="708"/>
        <w:jc w:val="both"/>
        <w:rPr>
          <w:sz w:val="20"/>
          <w:szCs w:val="20"/>
        </w:rPr>
      </w:pPr>
      <w:r>
        <w:rPr>
          <w:sz w:val="20"/>
          <w:szCs w:val="20"/>
        </w:rPr>
        <w:t>5.1.1.</w:t>
        <w:tab/>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pPr>
        <w:pStyle w:val="Normal"/>
        <w:tabs>
          <w:tab w:val="clear" w:pos="708"/>
          <w:tab w:val="left" w:pos="1276" w:leader="none"/>
        </w:tabs>
        <w:ind w:firstLine="708"/>
        <w:jc w:val="both"/>
        <w:rPr>
          <w:sz w:val="20"/>
          <w:szCs w:val="20"/>
        </w:rPr>
      </w:pPr>
      <w:r>
        <w:rPr>
          <w:sz w:val="20"/>
          <w:szCs w:val="20"/>
        </w:rPr>
        <w:t>5.1.2.</w:t>
        <w:tab/>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pPr>
        <w:pStyle w:val="Normal"/>
        <w:tabs>
          <w:tab w:val="clear" w:pos="708"/>
          <w:tab w:val="left" w:pos="1276" w:leader="none"/>
        </w:tabs>
        <w:ind w:firstLine="708"/>
        <w:jc w:val="both"/>
        <w:rPr>
          <w:sz w:val="20"/>
          <w:szCs w:val="20"/>
        </w:rPr>
      </w:pPr>
      <w:r>
        <w:rPr>
          <w:sz w:val="20"/>
          <w:szCs w:val="20"/>
        </w:rPr>
        <w:t>5.1.3.</w:t>
        <w:tab/>
        <w:t>Запрашивать у Поставщика информацию о ходе исполнения обязательств по Контракту.</w:t>
      </w:r>
    </w:p>
    <w:p>
      <w:pPr>
        <w:pStyle w:val="Normal"/>
        <w:tabs>
          <w:tab w:val="clear" w:pos="708"/>
          <w:tab w:val="left" w:pos="1276" w:leader="none"/>
        </w:tabs>
        <w:ind w:firstLine="708"/>
        <w:jc w:val="both"/>
        <w:rPr>
          <w:sz w:val="20"/>
          <w:szCs w:val="20"/>
        </w:rPr>
      </w:pPr>
      <w:r>
        <w:rPr>
          <w:sz w:val="20"/>
          <w:szCs w:val="20"/>
        </w:rPr>
        <w:t>5.1.4.</w:t>
        <w:tab/>
        <w:t>Осуществлять контроль и надзор за качеством, порядком и сроками поставки Товара, не вмешиваясь при этом в хозяйственную деятельность Поставщика.</w:t>
      </w:r>
    </w:p>
    <w:p>
      <w:pPr>
        <w:pStyle w:val="Normal"/>
        <w:tabs>
          <w:tab w:val="clear" w:pos="708"/>
          <w:tab w:val="left" w:pos="1276" w:leader="none"/>
        </w:tabs>
        <w:ind w:firstLine="708"/>
        <w:jc w:val="both"/>
        <w:rPr>
          <w:sz w:val="20"/>
          <w:szCs w:val="20"/>
        </w:rPr>
      </w:pPr>
      <w:r>
        <w:rPr>
          <w:sz w:val="20"/>
          <w:szCs w:val="20"/>
        </w:rPr>
        <w:t>5.1.5.</w:t>
        <w:tab/>
        <w:t>Отказаться от приемки Товара в случаях, предусмотренных Контрактом.</w:t>
      </w:r>
    </w:p>
    <w:p>
      <w:pPr>
        <w:pStyle w:val="Normal"/>
        <w:tabs>
          <w:tab w:val="clear" w:pos="708"/>
          <w:tab w:val="left" w:pos="1276" w:leader="none"/>
        </w:tabs>
        <w:ind w:firstLine="708"/>
        <w:jc w:val="both"/>
        <w:rPr>
          <w:sz w:val="20"/>
          <w:szCs w:val="20"/>
        </w:rPr>
      </w:pPr>
      <w:r>
        <w:rPr>
          <w:sz w:val="20"/>
          <w:szCs w:val="20"/>
        </w:rPr>
        <w:t>5.1.6.</w:t>
        <w:tab/>
        <w:t>В одностороннем порядке отказаться от исполнения Контракта в соответствии с Законом о контрактной системе.</w:t>
      </w:r>
    </w:p>
    <w:p>
      <w:pPr>
        <w:pStyle w:val="Normal"/>
        <w:tabs>
          <w:tab w:val="clear" w:pos="708"/>
          <w:tab w:val="left" w:pos="1276" w:leader="none"/>
        </w:tabs>
        <w:ind w:firstLine="708"/>
        <w:jc w:val="both"/>
        <w:rPr>
          <w:sz w:val="20"/>
          <w:szCs w:val="20"/>
        </w:rPr>
      </w:pPr>
      <w:r>
        <w:rPr>
          <w:sz w:val="20"/>
          <w:szCs w:val="20"/>
        </w:rPr>
        <w:t>5.2.</w:t>
        <w:tab/>
        <w:t>Заказчик обязан:</w:t>
      </w:r>
    </w:p>
    <w:p>
      <w:pPr>
        <w:pStyle w:val="Normal"/>
        <w:tabs>
          <w:tab w:val="clear" w:pos="708"/>
          <w:tab w:val="left" w:pos="1276" w:leader="none"/>
        </w:tabs>
        <w:ind w:firstLine="708"/>
        <w:jc w:val="both"/>
        <w:rPr>
          <w:sz w:val="20"/>
          <w:szCs w:val="20"/>
        </w:rPr>
      </w:pPr>
      <w:r>
        <w:rPr>
          <w:sz w:val="20"/>
          <w:szCs w:val="20"/>
        </w:rPr>
        <w:t>5.2.1.</w:t>
        <w:tab/>
        <w:t>Своевременно принять поставленный Товар в соответствии с Контрактом, включая проведение экспертизы поставленного Товара.</w:t>
      </w:r>
    </w:p>
    <w:p>
      <w:pPr>
        <w:pStyle w:val="Normal"/>
        <w:tabs>
          <w:tab w:val="clear" w:pos="708"/>
          <w:tab w:val="left" w:pos="1276" w:leader="none"/>
        </w:tabs>
        <w:ind w:firstLine="708"/>
        <w:jc w:val="both"/>
        <w:rPr>
          <w:sz w:val="20"/>
          <w:szCs w:val="20"/>
        </w:rPr>
      </w:pPr>
      <w:r>
        <w:rPr>
          <w:sz w:val="20"/>
          <w:szCs w:val="20"/>
        </w:rPr>
        <w:t>5.2.2.</w:t>
        <w:tab/>
        <w:t>Своевременно оплатить поставленный Товар надлежащего качества в соответствии с Контрактом.</w:t>
      </w:r>
    </w:p>
    <w:p>
      <w:pPr>
        <w:pStyle w:val="Normal"/>
        <w:tabs>
          <w:tab w:val="clear" w:pos="708"/>
          <w:tab w:val="left" w:pos="1276" w:leader="none"/>
        </w:tabs>
        <w:ind w:firstLine="708"/>
        <w:jc w:val="both"/>
        <w:rPr>
          <w:sz w:val="20"/>
          <w:szCs w:val="20"/>
        </w:rPr>
      </w:pPr>
      <w:r>
        <w:rPr>
          <w:sz w:val="20"/>
          <w:szCs w:val="20"/>
        </w:rPr>
        <w:t>5.3.</w:t>
        <w:tab/>
        <w:t>Поставщик вправе:</w:t>
      </w:r>
    </w:p>
    <w:p>
      <w:pPr>
        <w:pStyle w:val="Normal"/>
        <w:tabs>
          <w:tab w:val="clear" w:pos="708"/>
          <w:tab w:val="left" w:pos="1276" w:leader="none"/>
        </w:tabs>
        <w:ind w:firstLine="708"/>
        <w:jc w:val="both"/>
        <w:rPr>
          <w:sz w:val="20"/>
          <w:szCs w:val="20"/>
        </w:rPr>
      </w:pPr>
      <w:r>
        <w:rPr>
          <w:sz w:val="20"/>
          <w:szCs w:val="20"/>
        </w:rPr>
        <w:t>5.3.1.</w:t>
        <w:tab/>
        <w:t>Требовать своевременной приемки и оплаты за поставленный Товар в соответствии с условиями Контракта.</w:t>
      </w:r>
    </w:p>
    <w:p>
      <w:pPr>
        <w:pStyle w:val="Normal"/>
        <w:tabs>
          <w:tab w:val="clear" w:pos="708"/>
          <w:tab w:val="left" w:pos="1276" w:leader="none"/>
        </w:tabs>
        <w:ind w:firstLine="708"/>
        <w:jc w:val="both"/>
        <w:rPr>
          <w:sz w:val="20"/>
          <w:szCs w:val="20"/>
        </w:rPr>
      </w:pPr>
      <w:r>
        <w:rPr>
          <w:sz w:val="20"/>
          <w:szCs w:val="20"/>
        </w:rPr>
        <w:t>5.3.2.</w:t>
        <w:tab/>
        <w:t>Запрашивать у Заказчика разъяснения и уточнения относительно Товара в рамках Контракта.</w:t>
      </w:r>
    </w:p>
    <w:p>
      <w:pPr>
        <w:pStyle w:val="Normal"/>
        <w:tabs>
          <w:tab w:val="clear" w:pos="708"/>
          <w:tab w:val="left" w:pos="1276" w:leader="none"/>
        </w:tabs>
        <w:ind w:firstLine="708"/>
        <w:jc w:val="both"/>
        <w:rPr>
          <w:sz w:val="20"/>
          <w:szCs w:val="20"/>
        </w:rPr>
      </w:pPr>
      <w:r>
        <w:rPr>
          <w:sz w:val="20"/>
          <w:szCs w:val="20"/>
        </w:rPr>
        <w:t>5.3.3.</w:t>
        <w:tab/>
        <w:t>Получать от Заказчика содействие при поставке Товара в соответствии с условиями Контракта.</w:t>
      </w:r>
    </w:p>
    <w:p>
      <w:pPr>
        <w:pStyle w:val="Normal"/>
        <w:tabs>
          <w:tab w:val="clear" w:pos="708"/>
          <w:tab w:val="left" w:pos="1276" w:leader="none"/>
        </w:tabs>
        <w:ind w:firstLine="708"/>
        <w:jc w:val="both"/>
        <w:rPr>
          <w:sz w:val="20"/>
          <w:szCs w:val="20"/>
        </w:rPr>
      </w:pPr>
      <w:r>
        <w:rPr>
          <w:sz w:val="20"/>
          <w:szCs w:val="20"/>
        </w:rPr>
        <w:t>5.3.4.</w:t>
        <w:tab/>
        <w:t>Досрочно исполнить обязательства по Контракту с согласия Заказчика.</w:t>
      </w:r>
    </w:p>
    <w:p>
      <w:pPr>
        <w:pStyle w:val="Normal"/>
        <w:tabs>
          <w:tab w:val="clear" w:pos="708"/>
          <w:tab w:val="left" w:pos="1276" w:leader="none"/>
        </w:tabs>
        <w:ind w:firstLine="708"/>
        <w:jc w:val="both"/>
        <w:rPr>
          <w:sz w:val="20"/>
          <w:szCs w:val="20"/>
        </w:rPr>
      </w:pPr>
      <w:r>
        <w:rPr>
          <w:sz w:val="20"/>
          <w:szCs w:val="20"/>
        </w:rPr>
        <w:t>5.4.</w:t>
        <w:tab/>
        <w:t>Поставщик обязан:</w:t>
      </w:r>
    </w:p>
    <w:p>
      <w:pPr>
        <w:pStyle w:val="Normal"/>
        <w:tabs>
          <w:tab w:val="clear" w:pos="708"/>
          <w:tab w:val="left" w:pos="1276" w:leader="none"/>
        </w:tabs>
        <w:ind w:firstLine="708"/>
        <w:jc w:val="both"/>
        <w:rPr>
          <w:sz w:val="20"/>
          <w:szCs w:val="20"/>
        </w:rPr>
      </w:pPr>
      <w:r>
        <w:rPr>
          <w:sz w:val="20"/>
          <w:szCs w:val="20"/>
        </w:rPr>
        <w:t>5.4.1.</w:t>
        <w:tab/>
        <w:t>Своевременно и надлежащим образом исполнять обязательства по поставке Товара в соответствии с условиями Контракта.</w:t>
      </w:r>
    </w:p>
    <w:p>
      <w:pPr>
        <w:pStyle w:val="Normal"/>
        <w:tabs>
          <w:tab w:val="clear" w:pos="708"/>
          <w:tab w:val="left" w:pos="1276" w:leader="none"/>
        </w:tabs>
        <w:ind w:firstLine="708"/>
        <w:jc w:val="both"/>
        <w:rPr>
          <w:sz w:val="20"/>
          <w:szCs w:val="20"/>
        </w:rPr>
      </w:pPr>
      <w:r>
        <w:rPr>
          <w:sz w:val="20"/>
          <w:szCs w:val="20"/>
        </w:rPr>
        <w:t>5.4.2.</w:t>
        <w:tab/>
        <w:t>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pPr>
        <w:pStyle w:val="Normal"/>
        <w:tabs>
          <w:tab w:val="clear" w:pos="708"/>
          <w:tab w:val="left" w:pos="1276" w:leader="none"/>
        </w:tabs>
        <w:ind w:firstLine="708"/>
        <w:jc w:val="both"/>
        <w:rPr>
          <w:sz w:val="20"/>
          <w:szCs w:val="20"/>
        </w:rPr>
      </w:pPr>
      <w:r>
        <w:rPr>
          <w:sz w:val="20"/>
          <w:szCs w:val="20"/>
        </w:rPr>
        <w:t>5.4.3.</w:t>
        <w:tab/>
        <w:t>Обеспечить устранение недостатков, выявленных при приемке Заказчиком Товара и в течение гарантийного срока, за свой счет.</w:t>
      </w:r>
    </w:p>
    <w:p>
      <w:pPr>
        <w:pStyle w:val="Normal"/>
        <w:tabs>
          <w:tab w:val="clear" w:pos="708"/>
          <w:tab w:val="left" w:pos="1276" w:leader="none"/>
        </w:tabs>
        <w:ind w:firstLine="708"/>
        <w:jc w:val="both"/>
        <w:rPr>
          <w:sz w:val="20"/>
          <w:szCs w:val="20"/>
        </w:rPr>
      </w:pPr>
      <w:r>
        <w:rPr>
          <w:sz w:val="20"/>
          <w:szCs w:val="20"/>
        </w:rPr>
        <w:t>5.4.4.</w:t>
        <w:tab/>
        <w:t>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pPr>
        <w:pStyle w:val="Normal"/>
        <w:tabs>
          <w:tab w:val="clear" w:pos="708"/>
          <w:tab w:val="left" w:pos="1276" w:leader="none"/>
        </w:tabs>
        <w:ind w:firstLine="708"/>
        <w:jc w:val="both"/>
        <w:rPr>
          <w:sz w:val="20"/>
          <w:szCs w:val="20"/>
        </w:rPr>
      </w:pPr>
      <w:r>
        <w:rPr>
          <w:sz w:val="20"/>
          <w:szCs w:val="20"/>
        </w:rPr>
        <w:t>5.4.5.</w:t>
        <w:tab/>
        <w:t>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pPr>
        <w:pStyle w:val="Normal"/>
        <w:tabs>
          <w:tab w:val="clear" w:pos="708"/>
          <w:tab w:val="left" w:pos="1276" w:leader="none"/>
        </w:tabs>
        <w:ind w:firstLine="708"/>
        <w:jc w:val="both"/>
        <w:rPr>
          <w:sz w:val="20"/>
          <w:szCs w:val="20"/>
        </w:rPr>
      </w:pPr>
      <w:r>
        <w:rPr>
          <w:sz w:val="20"/>
          <w:szCs w:val="20"/>
        </w:rPr>
        <w:t>5.5.</w:t>
        <w:tab/>
        <w:t>Поставщик гарантирует, что на момент заключения Контракта:</w:t>
      </w:r>
    </w:p>
    <w:p>
      <w:pPr>
        <w:pStyle w:val="Normal"/>
        <w:tabs>
          <w:tab w:val="clear" w:pos="708"/>
          <w:tab w:val="left" w:pos="1276" w:leader="none"/>
        </w:tabs>
        <w:ind w:firstLine="708"/>
        <w:jc w:val="both"/>
        <w:rPr>
          <w:sz w:val="20"/>
          <w:szCs w:val="20"/>
        </w:rPr>
      </w:pPr>
      <w:r>
        <w:rPr>
          <w:sz w:val="20"/>
          <w:szCs w:val="20"/>
        </w:rPr>
        <w:t>5.5.1.</w:t>
        <w:tab/>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pPr>
        <w:pStyle w:val="Normal"/>
        <w:tabs>
          <w:tab w:val="clear" w:pos="708"/>
          <w:tab w:val="left" w:pos="1276" w:leader="none"/>
        </w:tabs>
        <w:ind w:firstLine="708"/>
        <w:jc w:val="both"/>
        <w:rPr>
          <w:sz w:val="20"/>
          <w:szCs w:val="20"/>
        </w:rPr>
      </w:pPr>
      <w:r>
        <w:rPr>
          <w:sz w:val="20"/>
          <w:szCs w:val="20"/>
        </w:rPr>
        <w:t>5.5.2.</w:t>
        <w:tab/>
        <w:t>Не обременен обязательствами имущественного характера, способными помешать исполнению обязательств по Контракту.</w:t>
      </w:r>
    </w:p>
    <w:p>
      <w:pPr>
        <w:pStyle w:val="Normal"/>
        <w:tabs>
          <w:tab w:val="clear" w:pos="708"/>
          <w:tab w:val="left" w:pos="1276" w:leader="none"/>
        </w:tabs>
        <w:ind w:firstLine="708"/>
        <w:jc w:val="both"/>
        <w:rPr>
          <w:sz w:val="20"/>
          <w:szCs w:val="20"/>
        </w:rPr>
      </w:pPr>
      <w:r>
        <w:rPr>
          <w:sz w:val="20"/>
          <w:szCs w:val="20"/>
        </w:rPr>
        <w:t>5.5.3.</w:t>
        <w:tab/>
        <w:t>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pPr>
        <w:pStyle w:val="Normal"/>
        <w:tabs>
          <w:tab w:val="clear" w:pos="708"/>
          <w:tab w:val="left" w:pos="1276" w:leader="none"/>
        </w:tabs>
        <w:ind w:firstLine="708"/>
        <w:jc w:val="both"/>
        <w:rPr>
          <w:sz w:val="20"/>
          <w:szCs w:val="20"/>
        </w:rPr>
      </w:pPr>
      <w:r>
        <w:rPr>
          <w:sz w:val="20"/>
          <w:szCs w:val="20"/>
        </w:rPr>
        <w:t>5.5.4.</w:t>
        <w:tab/>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pPr>
        <w:pStyle w:val="Normal"/>
        <w:jc w:val="both"/>
        <w:rPr>
          <w:sz w:val="20"/>
          <w:szCs w:val="20"/>
        </w:rPr>
      </w:pPr>
      <w:r>
        <w:rPr>
          <w:sz w:val="20"/>
          <w:szCs w:val="20"/>
        </w:rPr>
      </w:r>
    </w:p>
    <w:p>
      <w:pPr>
        <w:pStyle w:val="ListParagraph"/>
        <w:numPr>
          <w:ilvl w:val="0"/>
          <w:numId w:val="1"/>
        </w:numPr>
        <w:jc w:val="center"/>
        <w:rPr>
          <w:b/>
          <w:sz w:val="20"/>
          <w:szCs w:val="20"/>
        </w:rPr>
      </w:pPr>
      <w:r>
        <w:rPr>
          <w:rFonts w:cs="Times New Roman" w:ascii="Times New Roman" w:hAnsi="Times New Roman"/>
          <w:b/>
          <w:sz w:val="20"/>
          <w:szCs w:val="20"/>
        </w:rPr>
        <w:t>ГАРАНТИИ</w:t>
      </w:r>
    </w:p>
    <w:p>
      <w:pPr>
        <w:pStyle w:val="Normal"/>
        <w:tabs>
          <w:tab w:val="clear" w:pos="708"/>
          <w:tab w:val="left" w:pos="1276" w:leader="none"/>
        </w:tabs>
        <w:ind w:firstLine="708"/>
        <w:jc w:val="both"/>
        <w:rPr>
          <w:sz w:val="20"/>
          <w:szCs w:val="20"/>
        </w:rPr>
      </w:pPr>
      <w:r>
        <w:rPr>
          <w:sz w:val="20"/>
          <w:szCs w:val="20"/>
        </w:rPr>
        <w:t>6.1.</w:t>
        <w:tab/>
        <w:t>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 срока годности. Гарантийный срок / срок годности установлен в Техническом задании (Приложение № 2 к Контракту). Гарантийный срок / срок годности исчисляется с момента подписания Заказчиком документа о приемке Товара.</w:t>
      </w:r>
    </w:p>
    <w:p>
      <w:pPr>
        <w:pStyle w:val="Normal"/>
        <w:tabs>
          <w:tab w:val="clear" w:pos="708"/>
          <w:tab w:val="left" w:pos="1276" w:leader="none"/>
        </w:tabs>
        <w:ind w:firstLine="708"/>
        <w:jc w:val="both"/>
        <w:rPr>
          <w:sz w:val="20"/>
          <w:szCs w:val="20"/>
        </w:rPr>
      </w:pPr>
      <w:r>
        <w:rPr>
          <w:sz w:val="20"/>
          <w:szCs w:val="20"/>
        </w:rPr>
        <w:t>6.2.</w:t>
        <w:tab/>
        <w:t>В период действия гарантийного срока / срока годности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6.3.</w:t>
        <w:tab/>
        <w:t>Если в период действия гарантийного срока / срока годности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6.4.</w:t>
        <w:tab/>
        <w:t>Все расходы, связанные с заменой Товара, ненадлежащего качества, осуществляются за счет Поставщика.</w:t>
      </w:r>
    </w:p>
    <w:p>
      <w:pPr>
        <w:pStyle w:val="Normal"/>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ОТВЕТСТВЕННОСТЬ СТОРОН</w:t>
      </w:r>
    </w:p>
    <w:p>
      <w:pPr>
        <w:pStyle w:val="Normal"/>
        <w:tabs>
          <w:tab w:val="clear" w:pos="708"/>
          <w:tab w:val="left" w:pos="1276" w:leader="none"/>
        </w:tabs>
        <w:ind w:firstLine="708"/>
        <w:jc w:val="both"/>
        <w:rPr>
          <w:sz w:val="20"/>
          <w:szCs w:val="20"/>
        </w:rPr>
      </w:pPr>
      <w:r>
        <w:rPr>
          <w:sz w:val="20"/>
          <w:szCs w:val="20"/>
        </w:rPr>
        <w:t>7.1.</w:t>
        <w:t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pPr>
        <w:pStyle w:val="Normal"/>
        <w:tabs>
          <w:tab w:val="clear" w:pos="708"/>
          <w:tab w:val="left" w:pos="1276" w:leader="none"/>
        </w:tabs>
        <w:ind w:firstLine="708"/>
        <w:jc w:val="both"/>
        <w:rPr>
          <w:sz w:val="20"/>
          <w:szCs w:val="20"/>
        </w:rPr>
      </w:pPr>
      <w:r>
        <w:rPr>
          <w:sz w:val="20"/>
          <w:szCs w:val="20"/>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pPr>
        <w:pStyle w:val="Normal"/>
        <w:tabs>
          <w:tab w:val="clear" w:pos="708"/>
          <w:tab w:val="left" w:pos="1276" w:leader="none"/>
        </w:tabs>
        <w:ind w:firstLine="708"/>
        <w:jc w:val="both"/>
        <w:rPr>
          <w:sz w:val="20"/>
          <w:szCs w:val="20"/>
        </w:rPr>
      </w:pPr>
      <w:r>
        <w:rPr>
          <w:sz w:val="20"/>
          <w:szCs w:val="20"/>
        </w:rPr>
        <w:t>7.2.</w:t>
        <w:tab/>
        <w:t>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pPr>
        <w:pStyle w:val="Normal"/>
        <w:tabs>
          <w:tab w:val="clear" w:pos="708"/>
          <w:tab w:val="left" w:pos="1276" w:leader="none"/>
        </w:tabs>
        <w:ind w:firstLine="708"/>
        <w:jc w:val="both"/>
        <w:rPr>
          <w:sz w:val="20"/>
          <w:szCs w:val="20"/>
        </w:rPr>
      </w:pPr>
      <w:r>
        <w:rPr>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pPr>
        <w:pStyle w:val="Normal"/>
        <w:tabs>
          <w:tab w:val="clear" w:pos="708"/>
          <w:tab w:val="left" w:pos="1276" w:leader="none"/>
        </w:tabs>
        <w:ind w:firstLine="708"/>
        <w:jc w:val="both"/>
        <w:rPr>
          <w:sz w:val="20"/>
          <w:szCs w:val="20"/>
        </w:rPr>
      </w:pPr>
      <w:r>
        <w:rPr>
          <w:sz w:val="20"/>
          <w:szCs w:val="20"/>
        </w:rPr>
        <w:t>7.3.</w:t>
        <w:tab/>
        <w:t>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pPr>
        <w:pStyle w:val="Normal"/>
        <w:tabs>
          <w:tab w:val="clear" w:pos="708"/>
          <w:tab w:val="left" w:pos="1276" w:leader="none"/>
        </w:tabs>
        <w:ind w:firstLine="708"/>
        <w:jc w:val="both"/>
        <w:rPr>
          <w:sz w:val="20"/>
          <w:szCs w:val="20"/>
        </w:rPr>
      </w:pPr>
      <w:r>
        <w:rPr>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w:t>
      </w:r>
      <w:r>
        <w:rPr>
          <w:sz w:val="20"/>
          <w:szCs w:val="20"/>
          <w:highlight w:val="yellow"/>
        </w:rPr>
        <w:t>______ рублей ___ копеек.</w:t>
      </w:r>
    </w:p>
    <w:p>
      <w:pPr>
        <w:pStyle w:val="Normal"/>
        <w:tabs>
          <w:tab w:val="clear" w:pos="708"/>
          <w:tab w:val="left" w:pos="1276" w:leader="none"/>
        </w:tabs>
        <w:ind w:firstLine="708"/>
        <w:jc w:val="both"/>
        <w:rPr>
          <w:sz w:val="20"/>
          <w:szCs w:val="20"/>
        </w:rPr>
      </w:pPr>
      <w:r>
        <w:rPr>
          <w:sz w:val="20"/>
          <w:szCs w:val="20"/>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pPr>
        <w:pStyle w:val="Normal"/>
        <w:tabs>
          <w:tab w:val="clear" w:pos="708"/>
          <w:tab w:val="left" w:pos="1276" w:leader="none"/>
        </w:tabs>
        <w:ind w:firstLine="708"/>
        <w:jc w:val="both"/>
        <w:rPr>
          <w:sz w:val="20"/>
          <w:szCs w:val="20"/>
        </w:rPr>
      </w:pPr>
      <w:r>
        <w:rPr>
          <w:sz w:val="20"/>
          <w:szCs w:val="20"/>
        </w:rPr>
        <w:t>7.4.</w:t>
        <w:tab/>
        <w:t>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pPr>
        <w:pStyle w:val="Normal"/>
        <w:tabs>
          <w:tab w:val="clear" w:pos="708"/>
          <w:tab w:val="left" w:pos="1276" w:leader="none"/>
        </w:tabs>
        <w:ind w:firstLine="708"/>
        <w:jc w:val="both"/>
        <w:rPr>
          <w:sz w:val="20"/>
          <w:szCs w:val="20"/>
        </w:rPr>
      </w:pPr>
      <w:r>
        <w:rPr>
          <w:sz w:val="20"/>
          <w:szCs w:val="20"/>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pPr>
        <w:pStyle w:val="Normal"/>
        <w:tabs>
          <w:tab w:val="clear" w:pos="708"/>
          <w:tab w:val="left" w:pos="1276" w:leader="none"/>
        </w:tabs>
        <w:ind w:firstLine="708"/>
        <w:jc w:val="both"/>
        <w:rPr>
          <w:sz w:val="20"/>
          <w:szCs w:val="20"/>
        </w:rPr>
      </w:pPr>
      <w:r>
        <w:rPr>
          <w:sz w:val="20"/>
          <w:szCs w:val="20"/>
        </w:rPr>
        <w:t>7.5.</w:t>
        <w:tab/>
        <w:t>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pPr>
        <w:pStyle w:val="Normal"/>
        <w:tabs>
          <w:tab w:val="clear" w:pos="708"/>
          <w:tab w:val="left" w:pos="1276" w:leader="none"/>
        </w:tabs>
        <w:ind w:firstLine="708"/>
        <w:jc w:val="both"/>
        <w:rPr>
          <w:sz w:val="20"/>
          <w:szCs w:val="20"/>
        </w:rPr>
      </w:pPr>
      <w:r>
        <w:rPr>
          <w:sz w:val="20"/>
          <w:szCs w:val="20"/>
        </w:rPr>
        <w:t>7.6.</w:t>
        <w:tab/>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СРОК ДЕЙСТВИЯ, ПОРЯДОК ИЗМЕНЕНИЯ И РАСТОРЖЕНИЯ КОНТРАКТА</w:t>
      </w:r>
    </w:p>
    <w:p>
      <w:pPr>
        <w:pStyle w:val="Normal"/>
        <w:tabs>
          <w:tab w:val="clear" w:pos="708"/>
          <w:tab w:val="left" w:pos="1276" w:leader="none"/>
        </w:tabs>
        <w:ind w:firstLine="708"/>
        <w:jc w:val="both"/>
        <w:rPr>
          <w:sz w:val="20"/>
          <w:szCs w:val="20"/>
        </w:rPr>
      </w:pPr>
      <w:r>
        <w:rPr>
          <w:sz w:val="20"/>
          <w:szCs w:val="20"/>
        </w:rPr>
        <w:t>8.1.</w:t>
        <w:tab/>
        <w:t>Контракт вступает в силу со дня его подписания Сторонами.</w:t>
      </w:r>
    </w:p>
    <w:p>
      <w:pPr>
        <w:pStyle w:val="Normal"/>
        <w:tabs>
          <w:tab w:val="clear" w:pos="708"/>
          <w:tab w:val="left" w:pos="1276" w:leader="none"/>
        </w:tabs>
        <w:ind w:firstLine="708"/>
        <w:jc w:val="both"/>
        <w:rPr>
          <w:sz w:val="20"/>
          <w:szCs w:val="20"/>
        </w:rPr>
      </w:pPr>
      <w:r>
        <w:rPr>
          <w:sz w:val="20"/>
          <w:szCs w:val="20"/>
        </w:rPr>
        <w:t>8.2.</w:t>
        <w:tab/>
        <w:t xml:space="preserve">Контракт действует </w:t>
      </w:r>
      <w:r>
        <w:rPr>
          <w:b/>
          <w:sz w:val="20"/>
          <w:szCs w:val="20"/>
        </w:rPr>
        <w:t>по 31.12.2026 года,</w:t>
      </w:r>
      <w:r>
        <w:rPr>
          <w:sz w:val="20"/>
          <w:szCs w:val="20"/>
        </w:rPr>
        <w:t xml:space="preserve"> до полного исполнения Сторонами обязательств по Контракту в полном объеме, в том числе и гарантийных обязательств.</w:t>
      </w:r>
    </w:p>
    <w:p>
      <w:pPr>
        <w:pStyle w:val="Normal"/>
        <w:tabs>
          <w:tab w:val="clear" w:pos="708"/>
          <w:tab w:val="left" w:pos="1276" w:leader="none"/>
        </w:tabs>
        <w:ind w:firstLine="708"/>
        <w:jc w:val="both"/>
        <w:rPr>
          <w:sz w:val="20"/>
          <w:szCs w:val="20"/>
        </w:rPr>
      </w:pPr>
      <w:r>
        <w:rPr>
          <w:sz w:val="20"/>
          <w:szCs w:val="20"/>
        </w:rPr>
        <w:t>8.3.</w:t>
        <w:tab/>
        <w:t>Контракт может быть расторгнут:</w:t>
      </w:r>
    </w:p>
    <w:p>
      <w:pPr>
        <w:pStyle w:val="Normal"/>
        <w:tabs>
          <w:tab w:val="clear" w:pos="708"/>
          <w:tab w:val="left" w:pos="1276" w:leader="none"/>
        </w:tabs>
        <w:ind w:firstLine="708"/>
        <w:jc w:val="both"/>
        <w:rPr>
          <w:sz w:val="20"/>
          <w:szCs w:val="20"/>
        </w:rPr>
      </w:pPr>
      <w:r>
        <w:rPr>
          <w:sz w:val="20"/>
          <w:szCs w:val="20"/>
        </w:rPr>
        <w:t>а)</w:t>
        <w:tab/>
        <w:t>по соглашению Сторон;</w:t>
      </w:r>
    </w:p>
    <w:p>
      <w:pPr>
        <w:pStyle w:val="Normal"/>
        <w:tabs>
          <w:tab w:val="clear" w:pos="708"/>
          <w:tab w:val="left" w:pos="1276" w:leader="none"/>
        </w:tabs>
        <w:ind w:firstLine="708"/>
        <w:jc w:val="both"/>
        <w:rPr>
          <w:sz w:val="20"/>
          <w:szCs w:val="20"/>
        </w:rPr>
      </w:pPr>
      <w:r>
        <w:rPr>
          <w:sz w:val="20"/>
          <w:szCs w:val="20"/>
        </w:rPr>
        <w:t>б)</w:t>
        <w:tab/>
        <w:t>по решению суда;</w:t>
      </w:r>
    </w:p>
    <w:p>
      <w:pPr>
        <w:pStyle w:val="Normal"/>
        <w:tabs>
          <w:tab w:val="clear" w:pos="708"/>
          <w:tab w:val="left" w:pos="1276" w:leader="none"/>
        </w:tabs>
        <w:ind w:firstLine="708"/>
        <w:jc w:val="both"/>
        <w:rPr>
          <w:sz w:val="20"/>
          <w:szCs w:val="20"/>
        </w:rPr>
      </w:pPr>
      <w:r>
        <w:rPr>
          <w:sz w:val="20"/>
          <w:szCs w:val="20"/>
        </w:rPr>
        <w:t>в)</w:t>
        <w:tab/>
        <w:t>в случае одностороннего отказа Стороны Контракта от исполнения Контракта в соответствии с гражданским законодательством.</w:t>
      </w:r>
    </w:p>
    <w:p>
      <w:pPr>
        <w:pStyle w:val="Normal"/>
        <w:tabs>
          <w:tab w:val="clear" w:pos="708"/>
          <w:tab w:val="left" w:pos="1276" w:leader="none"/>
        </w:tabs>
        <w:ind w:firstLine="708"/>
        <w:jc w:val="both"/>
        <w:rPr>
          <w:sz w:val="20"/>
          <w:szCs w:val="20"/>
        </w:rPr>
      </w:pPr>
      <w:r>
        <w:rPr>
          <w:sz w:val="20"/>
          <w:szCs w:val="20"/>
        </w:rPr>
        <w:t>8.4.</w:t>
        <w:tab/>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pPr>
        <w:pStyle w:val="Normal"/>
        <w:tabs>
          <w:tab w:val="clear" w:pos="708"/>
          <w:tab w:val="left" w:pos="1276" w:leader="none"/>
        </w:tabs>
        <w:ind w:firstLine="708"/>
        <w:jc w:val="both"/>
        <w:rPr>
          <w:sz w:val="20"/>
          <w:szCs w:val="20"/>
        </w:rPr>
      </w:pPr>
      <w:r>
        <w:rPr>
          <w:sz w:val="20"/>
          <w:szCs w:val="20"/>
        </w:rPr>
        <w:t>8.5.</w:t>
        <w:tab/>
        <w:t>Односторонний отказ от исполнения Контракта должен происходить в порядке, предусмотренном Законом о контрактной системе.</w:t>
      </w:r>
    </w:p>
    <w:p>
      <w:pPr>
        <w:pStyle w:val="Normal"/>
        <w:tabs>
          <w:tab w:val="clear" w:pos="708"/>
          <w:tab w:val="left" w:pos="1276" w:leader="none"/>
        </w:tabs>
        <w:ind w:firstLine="708"/>
        <w:jc w:val="both"/>
        <w:rPr>
          <w:sz w:val="20"/>
          <w:szCs w:val="20"/>
        </w:rPr>
      </w:pPr>
      <w:r>
        <w:rPr>
          <w:sz w:val="20"/>
          <w:szCs w:val="20"/>
        </w:rPr>
        <w:t>8.6.</w:t>
        <w:tab/>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pPr>
        <w:pStyle w:val="Normal"/>
        <w:tabs>
          <w:tab w:val="clear" w:pos="708"/>
          <w:tab w:val="left" w:pos="1276" w:leader="none"/>
        </w:tabs>
        <w:ind w:firstLine="708"/>
        <w:jc w:val="both"/>
        <w:rPr>
          <w:sz w:val="20"/>
          <w:szCs w:val="20"/>
        </w:rPr>
      </w:pPr>
      <w:r>
        <w:rPr>
          <w:sz w:val="20"/>
          <w:szCs w:val="20"/>
        </w:rPr>
        <w:t>8.7.</w:t>
        <w:tab/>
        <w:t>При исполнении Контракта по соглашению Сторон могут быть внесены изменения в Контракт только в случаях, предусмотренных статьями 34, 95 Закона о контрактной системе.</w:t>
      </w:r>
    </w:p>
    <w:p>
      <w:pPr>
        <w:pStyle w:val="Normal"/>
        <w:tabs>
          <w:tab w:val="clear" w:pos="708"/>
          <w:tab w:val="left" w:pos="1276" w:leader="none"/>
        </w:tabs>
        <w:ind w:firstLine="708"/>
        <w:jc w:val="both"/>
        <w:rPr>
          <w:sz w:val="20"/>
          <w:szCs w:val="20"/>
        </w:rPr>
      </w:pPr>
      <w:r>
        <w:rPr>
          <w:sz w:val="20"/>
          <w:szCs w:val="20"/>
        </w:rPr>
        <w:t>8.8.</w:t>
        <w:tab/>
        <w:t>Внесение изменений и дополнений, не противоречащих нормам действующего законодательства Российской Федерации, в условия Контракта осуществляется путем заключения Сторонами дополнительных соглашений к Контракту в письменной форме либо в форме электронного документа, подписанного усиленными электронными подписями Сторон, которые являются его неотъемлемой частью.</w:t>
      </w:r>
    </w:p>
    <w:p>
      <w:pPr>
        <w:pStyle w:val="Normal"/>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ПОРЯДОК УРЕГУЛИРОВАНИЯ СПОРОВ</w:t>
      </w:r>
    </w:p>
    <w:p>
      <w:pPr>
        <w:pStyle w:val="Normal"/>
        <w:tabs>
          <w:tab w:val="clear" w:pos="708"/>
          <w:tab w:val="left" w:pos="1276" w:leader="none"/>
        </w:tabs>
        <w:ind w:firstLine="708"/>
        <w:jc w:val="both"/>
        <w:rPr>
          <w:sz w:val="20"/>
          <w:szCs w:val="20"/>
        </w:rPr>
      </w:pPr>
      <w:r>
        <w:rPr>
          <w:sz w:val="20"/>
          <w:szCs w:val="20"/>
        </w:rPr>
        <w:t>9.1.</w:t>
        <w:tab/>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pPr>
        <w:pStyle w:val="Normal"/>
        <w:tabs>
          <w:tab w:val="clear" w:pos="708"/>
          <w:tab w:val="left" w:pos="1276" w:leader="none"/>
        </w:tabs>
        <w:ind w:firstLine="708"/>
        <w:jc w:val="both"/>
        <w:rPr>
          <w:sz w:val="20"/>
          <w:szCs w:val="20"/>
        </w:rPr>
      </w:pPr>
      <w:r>
        <w:rPr>
          <w:sz w:val="20"/>
          <w:szCs w:val="20"/>
        </w:rPr>
        <w:t>9.2.</w:t>
        <w:tab/>
        <w:t>В случае не достижения взаимного согласия все споры по Контракту разрешаются в Арбитражном суде города Санкт-Петербурга и Ленинградской области.</w:t>
      </w:r>
    </w:p>
    <w:p>
      <w:pPr>
        <w:pStyle w:val="Normal"/>
        <w:tabs>
          <w:tab w:val="clear" w:pos="708"/>
          <w:tab w:val="left" w:pos="1276" w:leader="none"/>
        </w:tabs>
        <w:ind w:firstLine="708"/>
        <w:jc w:val="both"/>
        <w:rPr>
          <w:sz w:val="20"/>
          <w:szCs w:val="20"/>
        </w:rPr>
      </w:pPr>
      <w:r>
        <w:rPr>
          <w:sz w:val="20"/>
          <w:szCs w:val="20"/>
        </w:rPr>
        <w:t>9.3.</w:t>
        <w:tab/>
        <w:t>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pPr>
        <w:pStyle w:val="Normal"/>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ПРОЧИЕ УСЛОВИЯ</w:t>
      </w:r>
    </w:p>
    <w:p>
      <w:pPr>
        <w:pStyle w:val="Normal"/>
        <w:tabs>
          <w:tab w:val="clear" w:pos="708"/>
          <w:tab w:val="left" w:pos="1276" w:leader="none"/>
        </w:tabs>
        <w:ind w:firstLine="708"/>
        <w:jc w:val="both"/>
        <w:rPr>
          <w:sz w:val="20"/>
          <w:szCs w:val="20"/>
        </w:rPr>
      </w:pPr>
      <w:r>
        <w:rPr>
          <w:sz w:val="20"/>
          <w:szCs w:val="20"/>
        </w:rPr>
        <w:t>10.1.</w:t>
        <w:tab/>
        <w:t>Все уведомления (сообщения) Сторон, связанные с исполнением Контракта, передаются нарочным под расписку о вручении, направляются в письменной форме в виде почтового отправления заказным письмом с уведомлением о вручении по адресу Стороны, указанному в Контракте, или с использованием электронной почты с последующим представлением оригинала по почте или нарочным.</w:t>
      </w:r>
    </w:p>
    <w:p>
      <w:pPr>
        <w:pStyle w:val="Normal"/>
        <w:tabs>
          <w:tab w:val="clear" w:pos="708"/>
          <w:tab w:val="left" w:pos="1276" w:leader="none"/>
        </w:tabs>
        <w:ind w:firstLine="708"/>
        <w:jc w:val="both"/>
        <w:rPr>
          <w:sz w:val="20"/>
          <w:szCs w:val="20"/>
        </w:rPr>
      </w:pPr>
      <w:r>
        <w:rPr>
          <w:sz w:val="20"/>
          <w:szCs w:val="20"/>
        </w:rPr>
        <w:t>В случае передачи уведомлений (сообщений) нарочным под расписку, датой получения уведомления признается дата фактического вручения уведомления (сообщения) уполномоченному представителю принимающей Стороны под подпись.</w:t>
      </w:r>
    </w:p>
    <w:p>
      <w:pPr>
        <w:pStyle w:val="Normal"/>
        <w:tabs>
          <w:tab w:val="clear" w:pos="708"/>
          <w:tab w:val="left" w:pos="1276" w:leader="none"/>
        </w:tabs>
        <w:ind w:firstLine="708"/>
        <w:jc w:val="both"/>
        <w:rPr>
          <w:sz w:val="20"/>
          <w:szCs w:val="20"/>
        </w:rPr>
      </w:pPr>
      <w:r>
        <w:rPr>
          <w:sz w:val="20"/>
          <w:szCs w:val="20"/>
        </w:rPr>
        <w:t>В случае направления уведомлений (сообщений) с использованием почты, датой получения уведомления (сообщения)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w:t>
      </w:r>
    </w:p>
    <w:p>
      <w:pPr>
        <w:pStyle w:val="Normal"/>
        <w:tabs>
          <w:tab w:val="clear" w:pos="708"/>
          <w:tab w:val="left" w:pos="1276" w:leader="none"/>
        </w:tabs>
        <w:ind w:firstLine="708"/>
        <w:jc w:val="both"/>
        <w:rPr>
          <w:sz w:val="20"/>
          <w:szCs w:val="20"/>
        </w:rPr>
      </w:pPr>
      <w:r>
        <w:rPr>
          <w:sz w:val="20"/>
          <w:szCs w:val="20"/>
        </w:rPr>
        <w:t>В случае отправления уведомлений (сообщений) посредством электронной почты уведомления (сообщения) считаются полученными Стороной в день их отправки. Документы, направленные по электронной почте, имеют юридическую силу оригиналов до момента предоставления оригиналов.</w:t>
      </w:r>
    </w:p>
    <w:p>
      <w:pPr>
        <w:pStyle w:val="Normal"/>
        <w:tabs>
          <w:tab w:val="clear" w:pos="708"/>
          <w:tab w:val="left" w:pos="1276" w:leader="none"/>
        </w:tabs>
        <w:ind w:firstLine="708"/>
        <w:jc w:val="both"/>
        <w:rPr>
          <w:sz w:val="20"/>
          <w:szCs w:val="20"/>
        </w:rPr>
      </w:pPr>
      <w:r>
        <w:rPr>
          <w:sz w:val="20"/>
          <w:szCs w:val="20"/>
        </w:rPr>
        <w:t>10.2.</w:t>
        <w:tab/>
        <w:t>В случае изменения у одной из Сторон наименования, адреса места нахождения, почтового адреса, номеров телефонов, факсов, адресов электронной почты или банковских реквизитов, а также в случае реорганизации такая Сторона обязана письменно известить об этом другую Сторону за 15 (пятнадцать) рабочих дней до момента внесения вышеуказанных изменений.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разделе 12 Контракта счет, несет Поставщик.</w:t>
      </w:r>
    </w:p>
    <w:p>
      <w:pPr>
        <w:pStyle w:val="Normal"/>
        <w:tabs>
          <w:tab w:val="clear" w:pos="708"/>
          <w:tab w:val="left" w:pos="1276" w:leader="none"/>
        </w:tabs>
        <w:ind w:firstLine="708"/>
        <w:jc w:val="both"/>
        <w:rPr>
          <w:sz w:val="20"/>
          <w:szCs w:val="20"/>
        </w:rPr>
      </w:pPr>
      <w:r>
        <w:rPr>
          <w:sz w:val="20"/>
          <w:szCs w:val="20"/>
        </w:rPr>
        <w:t>10.3.</w:t>
        <w:tab/>
        <w:t>Во всем, что не предусмотрено Контрактом, Стороны руководствуются законодательством Российской Федерации.</w:t>
      </w:r>
    </w:p>
    <w:p>
      <w:pPr>
        <w:pStyle w:val="Normal"/>
        <w:jc w:val="both"/>
        <w:rPr>
          <w:sz w:val="20"/>
          <w:szCs w:val="20"/>
        </w:rPr>
      </w:pPr>
      <w:r>
        <w:rPr>
          <w:sz w:val="20"/>
          <w:szCs w:val="20"/>
        </w:rPr>
      </w:r>
    </w:p>
    <w:p>
      <w:pPr>
        <w:pStyle w:val="ListParagraph"/>
        <w:numPr>
          <w:ilvl w:val="0"/>
          <w:numId w:val="1"/>
        </w:numPr>
        <w:jc w:val="center"/>
        <w:rPr>
          <w:b/>
          <w:sz w:val="20"/>
          <w:szCs w:val="20"/>
        </w:rPr>
      </w:pPr>
      <w:r>
        <w:rPr>
          <w:rFonts w:cs="Times New Roman" w:ascii="Times New Roman" w:hAnsi="Times New Roman"/>
          <w:b/>
          <w:sz w:val="20"/>
          <w:szCs w:val="20"/>
        </w:rPr>
        <w:t>ПРИЛОЖЕНИЯ</w:t>
      </w:r>
    </w:p>
    <w:p>
      <w:pPr>
        <w:pStyle w:val="Normal"/>
        <w:tabs>
          <w:tab w:val="clear" w:pos="708"/>
          <w:tab w:val="left" w:pos="1276" w:leader="none"/>
        </w:tabs>
        <w:ind w:firstLine="708"/>
        <w:jc w:val="both"/>
        <w:rPr>
          <w:sz w:val="20"/>
          <w:szCs w:val="20"/>
        </w:rPr>
      </w:pPr>
      <w:r>
        <w:rPr>
          <w:sz w:val="20"/>
          <w:szCs w:val="20"/>
        </w:rPr>
        <w:t>11.1</w:t>
        <w:tab/>
        <w:t>Неотъемлемой частью Контракта являются:</w:t>
      </w:r>
    </w:p>
    <w:p>
      <w:pPr>
        <w:pStyle w:val="Normal"/>
        <w:tabs>
          <w:tab w:val="clear" w:pos="708"/>
          <w:tab w:val="left" w:pos="1701" w:leader="none"/>
        </w:tabs>
        <w:ind w:firstLine="708"/>
        <w:jc w:val="both"/>
        <w:rPr>
          <w:sz w:val="20"/>
          <w:szCs w:val="20"/>
        </w:rPr>
      </w:pPr>
      <w:r>
        <w:rPr>
          <w:sz w:val="20"/>
          <w:szCs w:val="20"/>
        </w:rPr>
        <w:t>Приложение № 1 «Спецификация»;</w:t>
      </w:r>
    </w:p>
    <w:p>
      <w:pPr>
        <w:pStyle w:val="Normal"/>
        <w:tabs>
          <w:tab w:val="clear" w:pos="708"/>
          <w:tab w:val="left" w:pos="1701" w:leader="none"/>
        </w:tabs>
        <w:ind w:firstLine="708"/>
        <w:jc w:val="both"/>
        <w:rPr>
          <w:sz w:val="20"/>
          <w:szCs w:val="20"/>
        </w:rPr>
      </w:pPr>
      <w:r>
        <w:rPr>
          <w:sz w:val="20"/>
          <w:szCs w:val="20"/>
        </w:rPr>
        <w:t>Приложение № 2 «Техническое задание»;</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РЕКВИЗИТЫ И ПОДПИСИ СТОРОН</w:t>
      </w:r>
    </w:p>
    <w:tbl>
      <w:tblPr>
        <w:tblW w:w="97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107"/>
        <w:gridCol w:w="4673"/>
      </w:tblGrid>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Поставщик:</w:t>
            </w:r>
          </w:p>
        </w:tc>
      </w:tr>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Адрес местонахождения и почтовый адрес: 195257, Санкт-Петербург, ул. Вавиловых, дом 14, литера А</w:t>
            </w:r>
          </w:p>
          <w:p>
            <w:pPr>
              <w:pStyle w:val="msonormalmrcssattr"/>
              <w:shd w:val="clear" w:color="auto" w:fill="FFFFFF"/>
              <w:spacing w:beforeAutospacing="0" w:before="0" w:afterAutospacing="0" w:after="0"/>
              <w:rPr/>
            </w:pPr>
            <w:r>
              <w:rPr>
                <w:color w:val="000000"/>
                <w:sz w:val="20"/>
                <w:szCs w:val="20"/>
                <w:u w:val="single"/>
              </w:rPr>
              <w:t>Банковские реквизиты:</w:t>
            </w:r>
          </w:p>
          <w:p>
            <w:pPr>
              <w:pStyle w:val="msonormalmrcssattr"/>
              <w:shd w:val="clear" w:color="auto" w:fill="FFFFFF"/>
              <w:spacing w:beforeAutospacing="0" w:before="0" w:afterAutospacing="0" w:after="0"/>
              <w:rPr/>
            </w:pPr>
            <w:r>
              <w:rPr>
                <w:color w:val="000000"/>
                <w:sz w:val="20"/>
                <w:szCs w:val="20"/>
              </w:rPr>
              <w:t>Получатель: Комитет финансов Санкт-Петербурга (СПБ ГБУЗ «Елизаветинская больница» л/сч 0151118)</w:t>
            </w:r>
          </w:p>
          <w:p>
            <w:pPr>
              <w:pStyle w:val="msonormalmrcssattr"/>
              <w:shd w:val="clear" w:color="auto" w:fill="FFFFFF"/>
              <w:spacing w:beforeAutospacing="0" w:before="0" w:afterAutospacing="0" w:after="0"/>
              <w:rPr/>
            </w:pPr>
            <w:r>
              <w:rPr>
                <w:color w:val="000000"/>
                <w:sz w:val="20"/>
                <w:szCs w:val="20"/>
              </w:rPr>
              <w:t>ИНН 7804041070, КПП 780401001</w:t>
            </w:r>
          </w:p>
          <w:p>
            <w:pPr>
              <w:pStyle w:val="msonormalmrcssattr"/>
              <w:shd w:val="clear" w:color="auto" w:fill="FFFFFF"/>
              <w:spacing w:beforeAutospacing="0" w:before="0" w:afterAutospacing="0" w:after="0"/>
              <w:rPr/>
            </w:pPr>
            <w:r>
              <w:rPr>
                <w:color w:val="000000"/>
                <w:sz w:val="20"/>
                <w:szCs w:val="20"/>
              </w:rPr>
              <w:t>Банк получателя: ОКЦ  № 1 Северо-Западное ГУ Банка России // УФК по г. Санкт-Петербургу, г. Санкт-Петербург</w:t>
            </w:r>
          </w:p>
          <w:p>
            <w:pPr>
              <w:pStyle w:val="msonormalmrcssattr"/>
              <w:shd w:val="clear" w:color="auto" w:fill="FFFFFF"/>
              <w:spacing w:beforeAutospacing="0" w:before="0" w:afterAutospacing="0" w:after="0"/>
              <w:rPr/>
            </w:pPr>
            <w:r>
              <w:rPr>
                <w:color w:val="000000"/>
                <w:sz w:val="20"/>
                <w:szCs w:val="20"/>
              </w:rPr>
              <w:t>БИК: 014030106</w:t>
            </w:r>
          </w:p>
          <w:p>
            <w:pPr>
              <w:pStyle w:val="msonormalmrcssattr"/>
              <w:shd w:val="clear" w:color="auto" w:fill="FFFFFF"/>
              <w:spacing w:beforeAutospacing="0" w:before="0" w:afterAutospacing="0" w:after="0"/>
              <w:rPr/>
            </w:pPr>
            <w:r>
              <w:rPr>
                <w:color w:val="000000"/>
                <w:sz w:val="20"/>
                <w:szCs w:val="20"/>
              </w:rPr>
              <w:t>Номер счета банка получателя: 40102810945370000005</w:t>
            </w:r>
          </w:p>
          <w:p>
            <w:pPr>
              <w:pStyle w:val="msonormalmrcssattr"/>
              <w:shd w:val="clear" w:color="auto" w:fill="FFFFFF"/>
              <w:spacing w:beforeAutospacing="0" w:before="0" w:afterAutospacing="0" w:after="0"/>
              <w:rPr/>
            </w:pPr>
            <w:r>
              <w:rPr>
                <w:color w:val="000000"/>
                <w:sz w:val="20"/>
                <w:szCs w:val="20"/>
              </w:rPr>
              <w:t>Номер счета получателя: 03224643400000007200</w:t>
            </w:r>
          </w:p>
          <w:p>
            <w:pPr>
              <w:pStyle w:val="Normal"/>
              <w:rPr>
                <w:sz w:val="20"/>
                <w:szCs w:val="20"/>
              </w:rPr>
            </w:pPr>
            <w:r>
              <w:rPr>
                <w:sz w:val="20"/>
                <w:szCs w:val="20"/>
              </w:rPr>
              <w:t>Тел./факс: (812) 555-15-05; (812) 555-57-73</w:t>
            </w:r>
          </w:p>
          <w:p>
            <w:pPr>
              <w:pStyle w:val="Normal"/>
              <w:rPr>
                <w:sz w:val="20"/>
                <w:szCs w:val="20"/>
                <w:lang w:val="en-US"/>
              </w:rPr>
            </w:pPr>
            <w:r>
              <w:rPr>
                <w:sz w:val="20"/>
                <w:szCs w:val="20"/>
                <w:lang w:val="en-US"/>
              </w:rPr>
              <w:t>E-mail: b3@zdrav.spb.ru</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rFonts w:eastAsia="Calibri"/>
                <w:sz w:val="20"/>
                <w:szCs w:val="20"/>
                <w:lang w:val="en-US"/>
              </w:rPr>
            </w:pPr>
            <w:r>
              <w:rPr>
                <w:rFonts w:eastAsia="Calibri"/>
                <w:sz w:val="20"/>
                <w:szCs w:val="20"/>
                <w:lang w:val="en-US"/>
              </w:rPr>
            </w:r>
          </w:p>
        </w:tc>
      </w:tr>
      <w:tr>
        <w:trPr>
          <w:trHeight w:val="965"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sz w:val="20"/>
                <w:szCs w:val="20"/>
              </w:rPr>
            </w:pPr>
            <w:r>
              <w:rPr>
                <w:sz w:val="20"/>
                <w:szCs w:val="20"/>
              </w:rPr>
              <w:t>Заказчик:</w:t>
            </w:r>
          </w:p>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Главный врач</w:t>
            </w:r>
          </w:p>
          <w:p>
            <w:pPr>
              <w:pStyle w:val="Normal"/>
              <w:rPr>
                <w:sz w:val="20"/>
                <w:szCs w:val="20"/>
              </w:rPr>
            </w:pPr>
            <w:r>
              <w:rPr>
                <w:sz w:val="20"/>
                <w:szCs w:val="20"/>
              </w:rPr>
              <w:t>________________________ С.В. Петров</w:t>
            </w:r>
          </w:p>
          <w:p>
            <w:pPr>
              <w:pStyle w:val="Normal"/>
              <w:rPr>
                <w:sz w:val="20"/>
                <w:szCs w:val="20"/>
              </w:rPr>
            </w:pPr>
            <w:r>
              <w:rPr>
                <w:sz w:val="20"/>
                <w:szCs w:val="20"/>
              </w:rPr>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sz w:val="20"/>
                <w:szCs w:val="20"/>
              </w:rPr>
            </w:pPr>
            <w:r>
              <w:rPr>
                <w:sz w:val="20"/>
                <w:szCs w:val="20"/>
              </w:rPr>
              <w:t>Поставщик:</w:t>
            </w:r>
          </w:p>
          <w:p>
            <w:pPr>
              <w:pStyle w:val="Normal"/>
              <w:widowControl w:val="false"/>
              <w:rPr>
                <w:b/>
                <w:sz w:val="20"/>
                <w:szCs w:val="20"/>
              </w:rPr>
            </w:pPr>
            <w:r>
              <w:rPr>
                <w:b/>
                <w:sz w:val="20"/>
                <w:szCs w:val="20"/>
              </w:rPr>
              <w:t>Наименование Поставщика</w:t>
            </w:r>
          </w:p>
          <w:p>
            <w:pPr>
              <w:pStyle w:val="Normal"/>
              <w:widowControl w:val="false"/>
              <w:rPr>
                <w:sz w:val="20"/>
                <w:szCs w:val="20"/>
              </w:rPr>
            </w:pPr>
            <w:r>
              <w:rPr>
                <w:sz w:val="20"/>
                <w:szCs w:val="20"/>
              </w:rPr>
              <w:t>Должность</w:t>
            </w:r>
          </w:p>
          <w:p>
            <w:pPr>
              <w:pStyle w:val="Normal"/>
              <w:widowControl w:val="false"/>
              <w:rPr>
                <w:sz w:val="20"/>
                <w:szCs w:val="20"/>
              </w:rPr>
            </w:pPr>
            <w:r>
              <w:rPr>
                <w:sz w:val="20"/>
                <w:szCs w:val="20"/>
              </w:rPr>
              <w:t>________________________ И.О. Фамилия</w:t>
            </w:r>
          </w:p>
          <w:p>
            <w:pPr>
              <w:pStyle w:val="Normal"/>
              <w:rPr>
                <w:sz w:val="20"/>
                <w:szCs w:val="20"/>
              </w:rPr>
            </w:pPr>
            <w:r>
              <w:rPr>
                <w:sz w:val="20"/>
                <w:szCs w:val="20"/>
              </w:rPr>
            </w:r>
          </w:p>
        </w:tc>
      </w:tr>
    </w:tbl>
    <w:p>
      <w:pPr>
        <w:pStyle w:val="Normal"/>
        <w:jc w:val="center"/>
        <w:rPr>
          <w:b/>
          <w:sz w:val="16"/>
          <w:szCs w:val="20"/>
        </w:rPr>
      </w:pPr>
      <w:r>
        <w:rPr>
          <w:b/>
          <w:sz w:val="16"/>
          <w:szCs w:val="20"/>
        </w:rPr>
        <w:t>Контракт подписан усиленными электронными подписями лиц, имеющих право действовать</w:t>
      </w:r>
    </w:p>
    <w:p>
      <w:pPr>
        <w:pStyle w:val="Normal"/>
        <w:jc w:val="center"/>
        <w:rPr>
          <w:sz w:val="20"/>
          <w:szCs w:val="20"/>
        </w:rPr>
      </w:pPr>
      <w:r>
        <w:rPr>
          <w:b/>
          <w:sz w:val="16"/>
          <w:szCs w:val="20"/>
        </w:rPr>
        <w:t>от имени Сторон, и заключен в соответствии со ст. 93 Закона о контрактной системе.</w:t>
      </w:r>
      <w:r>
        <w:rPr>
          <w:sz w:val="20"/>
          <w:szCs w:val="20"/>
        </w:rPr>
        <w:t xml:space="preserve"> </w:t>
      </w:r>
      <w:r>
        <w:br w:type="page"/>
      </w:r>
    </w:p>
    <w:p>
      <w:pPr>
        <w:pStyle w:val="Normal"/>
        <w:spacing w:before="0" w:after="0"/>
        <w:jc w:val="right"/>
        <w:rPr>
          <w:b/>
          <w:sz w:val="20"/>
          <w:szCs w:val="20"/>
        </w:rPr>
      </w:pPr>
      <w:r>
        <w:rPr>
          <w:b/>
          <w:sz w:val="20"/>
          <w:szCs w:val="20"/>
        </w:rPr>
        <w:t>Приложение № 1 к Контракту</w:t>
      </w:r>
    </w:p>
    <w:p>
      <w:pPr>
        <w:pStyle w:val="ListParagraph"/>
        <w:spacing w:lineRule="auto" w:line="240" w:before="0" w:after="0"/>
        <w:ind w:firstLine="142" w:left="-426"/>
        <w:contextualSpacing/>
        <w:jc w:val="right"/>
        <w:rPr>
          <w:rFonts w:ascii="Times New Roman" w:hAnsi="Times New Roman" w:cs="Times New Roman"/>
          <w:b/>
          <w:sz w:val="20"/>
          <w:szCs w:val="20"/>
        </w:rPr>
      </w:pPr>
      <w:r>
        <w:rPr>
          <w:rFonts w:cs="Times New Roman" w:ascii="Times New Roman" w:hAnsi="Times New Roman"/>
          <w:b/>
          <w:sz w:val="20"/>
          <w:szCs w:val="20"/>
        </w:rPr>
        <w:t>от «__» _________ 2026 г. № 165/2026</w:t>
      </w:r>
    </w:p>
    <w:p>
      <w:pPr>
        <w:pStyle w:val="Normal"/>
        <w:jc w:val="right"/>
        <w:rPr>
          <w:sz w:val="20"/>
          <w:szCs w:val="20"/>
        </w:rPr>
      </w:pPr>
      <w:r>
        <w:rPr>
          <w:sz w:val="20"/>
          <w:szCs w:val="20"/>
        </w:rPr>
      </w:r>
    </w:p>
    <w:p>
      <w:pPr>
        <w:pStyle w:val="Normal"/>
        <w:jc w:val="both"/>
        <w:rPr>
          <w:sz w:val="20"/>
          <w:szCs w:val="20"/>
        </w:rPr>
      </w:pPr>
      <w:r>
        <w:rPr>
          <w:sz w:val="20"/>
          <w:szCs w:val="20"/>
        </w:rPr>
      </w:r>
    </w:p>
    <w:p>
      <w:pPr>
        <w:pStyle w:val="Normal"/>
        <w:jc w:val="center"/>
        <w:rPr>
          <w:b/>
          <w:sz w:val="20"/>
          <w:szCs w:val="20"/>
        </w:rPr>
      </w:pPr>
      <w:r>
        <w:rPr>
          <w:b/>
          <w:sz w:val="20"/>
          <w:szCs w:val="20"/>
        </w:rPr>
        <w:t>СПЕЦИФИКАЦИЯ</w:t>
      </w:r>
    </w:p>
    <w:p>
      <w:pPr>
        <w:pStyle w:val="Normal"/>
        <w:rPr>
          <w:sz w:val="20"/>
          <w:szCs w:val="20"/>
        </w:rPr>
      </w:pPr>
      <w:r>
        <w:rPr>
          <w:sz w:val="20"/>
          <w:szCs w:val="20"/>
        </w:rPr>
      </w:r>
    </w:p>
    <w:tbl>
      <w:tblPr>
        <w:tblStyle w:val="af9"/>
        <w:tblW w:w="10619"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417"/>
        <w:gridCol w:w="2525"/>
        <w:gridCol w:w="737"/>
        <w:gridCol w:w="995"/>
        <w:gridCol w:w="847"/>
        <w:gridCol w:w="1559"/>
        <w:gridCol w:w="1145"/>
        <w:gridCol w:w="1121"/>
        <w:gridCol w:w="1272"/>
      </w:tblGrid>
      <w:tr>
        <w:trPr>
          <w:trHeight w:val="20" w:hRule="atLeast"/>
        </w:trPr>
        <w:tc>
          <w:tcPr>
            <w:tcW w:w="417" w:type="dxa"/>
            <w:tcBorders/>
            <w:vAlign w:val="center"/>
          </w:tcPr>
          <w:p>
            <w:pPr>
              <w:pStyle w:val="Normal"/>
              <w:widowControl/>
              <w:suppressAutoHyphens w:val="true"/>
              <w:spacing w:before="0" w:after="0"/>
              <w:ind w:left="-113"/>
              <w:jc w:val="center"/>
              <w:rPr>
                <w:b/>
                <w:sz w:val="20"/>
                <w:szCs w:val="20"/>
              </w:rPr>
            </w:pPr>
            <w:r>
              <w:rPr>
                <w:b/>
                <w:kern w:val="0"/>
                <w:sz w:val="20"/>
                <w:szCs w:val="20"/>
                <w:lang w:val="ru-RU" w:bidi="ar-SA"/>
              </w:rPr>
              <w:t>№</w:t>
            </w:r>
          </w:p>
          <w:p>
            <w:pPr>
              <w:pStyle w:val="Normal"/>
              <w:widowControl/>
              <w:suppressAutoHyphens w:val="true"/>
              <w:spacing w:before="0" w:after="0"/>
              <w:ind w:left="-113"/>
              <w:jc w:val="center"/>
              <w:rPr>
                <w:b/>
                <w:sz w:val="20"/>
                <w:szCs w:val="20"/>
              </w:rPr>
            </w:pPr>
            <w:r>
              <w:rPr>
                <w:b/>
                <w:kern w:val="0"/>
                <w:sz w:val="20"/>
                <w:szCs w:val="20"/>
                <w:lang w:val="ru-RU" w:bidi="ar-SA"/>
              </w:rPr>
              <w:t>п/п</w:t>
            </w:r>
          </w:p>
        </w:tc>
        <w:tc>
          <w:tcPr>
            <w:tcW w:w="2525" w:type="dxa"/>
            <w:tcBorders/>
            <w:vAlign w:val="center"/>
          </w:tcPr>
          <w:p>
            <w:pPr>
              <w:pStyle w:val="Normal"/>
              <w:widowControl/>
              <w:suppressAutoHyphens w:val="true"/>
              <w:spacing w:before="0" w:after="0"/>
              <w:jc w:val="center"/>
              <w:rPr>
                <w:b/>
                <w:sz w:val="18"/>
                <w:szCs w:val="20"/>
                <w:lang w:eastAsia="en-US"/>
              </w:rPr>
            </w:pPr>
            <w:r>
              <w:rPr>
                <w:b/>
                <w:bCs/>
                <w:kern w:val="0"/>
                <w:sz w:val="18"/>
                <w:szCs w:val="18"/>
                <w:lang w:val="ru-RU" w:bidi="ar-SA"/>
              </w:rPr>
              <w:t xml:space="preserve">Наименование Товара </w:t>
            </w:r>
            <w:r>
              <w:rPr>
                <w:b/>
                <w:kern w:val="0"/>
                <w:sz w:val="18"/>
                <w:szCs w:val="18"/>
                <w:lang w:val="ru-RU" w:bidi="ar-SA"/>
              </w:rPr>
              <w:t>в соответствии с регистрационным удостоверением</w:t>
            </w:r>
          </w:p>
        </w:tc>
        <w:tc>
          <w:tcPr>
            <w:tcW w:w="737"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Ед. изм.</w:t>
            </w:r>
          </w:p>
        </w:tc>
        <w:tc>
          <w:tcPr>
            <w:tcW w:w="995"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Артикул товара</w:t>
            </w:r>
          </w:p>
        </w:tc>
        <w:tc>
          <w:tcPr>
            <w:tcW w:w="847"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Кол-во</w:t>
            </w:r>
          </w:p>
        </w:tc>
        <w:tc>
          <w:tcPr>
            <w:tcW w:w="1559"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Страна происхождения товара</w:t>
            </w:r>
          </w:p>
        </w:tc>
        <w:tc>
          <w:tcPr>
            <w:tcW w:w="1145"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Цена за ед. руб.</w:t>
            </w:r>
          </w:p>
        </w:tc>
        <w:tc>
          <w:tcPr>
            <w:tcW w:w="1121"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Размер НДС, %</w:t>
            </w:r>
          </w:p>
        </w:tc>
        <w:tc>
          <w:tcPr>
            <w:tcW w:w="1272"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Сумма с НДС руб.</w:t>
            </w:r>
          </w:p>
        </w:tc>
      </w:tr>
      <w:tr>
        <w:trPr>
          <w:trHeight w:val="20" w:hRule="atLeast"/>
        </w:trPr>
        <w:tc>
          <w:tcPr>
            <w:tcW w:w="417" w:type="dxa"/>
            <w:tcBorders/>
            <w:vAlign w:val="center"/>
          </w:tcPr>
          <w:p>
            <w:pPr>
              <w:pStyle w:val="Normal"/>
              <w:widowControl/>
              <w:suppressAutoHyphens w:val="true"/>
              <w:spacing w:before="0" w:after="0"/>
              <w:ind w:left="-113"/>
              <w:jc w:val="center"/>
              <w:rPr>
                <w:sz w:val="20"/>
                <w:szCs w:val="20"/>
              </w:rPr>
            </w:pPr>
            <w:r>
              <w:rPr>
                <w:kern w:val="0"/>
                <w:sz w:val="20"/>
                <w:szCs w:val="20"/>
                <w:lang w:val="ru-RU" w:bidi="ar-SA"/>
              </w:rPr>
              <w:t>1</w:t>
            </w:r>
          </w:p>
        </w:tc>
        <w:tc>
          <w:tcPr>
            <w:tcW w:w="2525" w:type="dxa"/>
            <w:tcBorders/>
            <w:vAlign w:val="center"/>
          </w:tcPr>
          <w:p>
            <w:pPr>
              <w:pStyle w:val="NoSpacing"/>
              <w:widowControl/>
              <w:suppressAutoHyphens w:val="true"/>
              <w:spacing w:before="0" w:after="0"/>
              <w:jc w:val="center"/>
              <w:rPr>
                <w:lang w:val="en-US"/>
              </w:rPr>
            </w:pPr>
            <w:r>
              <w:rPr>
                <w:lang w:val="en-US"/>
              </w:rPr>
            </w:r>
            <w:bookmarkStart w:id="0" w:name="_GoBack"/>
            <w:bookmarkStart w:id="1" w:name="_GoBack"/>
            <w:bookmarkEnd w:id="1"/>
          </w:p>
        </w:tc>
        <w:tc>
          <w:tcPr>
            <w:tcW w:w="737" w:type="dxa"/>
            <w:tcBorders/>
            <w:vAlign w:val="center"/>
          </w:tcPr>
          <w:p>
            <w:pPr>
              <w:pStyle w:val="Normal"/>
              <w:widowControl/>
              <w:suppressAutoHyphens w:val="true"/>
              <w:spacing w:before="0" w:after="0"/>
              <w:jc w:val="center"/>
              <w:rPr>
                <w:sz w:val="20"/>
                <w:szCs w:val="20"/>
                <w:lang w:eastAsia="en-US"/>
              </w:rPr>
            </w:pPr>
            <w:r>
              <w:rPr>
                <w:kern w:val="0"/>
                <w:sz w:val="20"/>
                <w:szCs w:val="20"/>
                <w:lang w:val="ru-RU" w:eastAsia="en-US" w:bidi="ar-SA"/>
              </w:rPr>
              <w:t>упаковка</w:t>
            </w:r>
          </w:p>
        </w:tc>
        <w:tc>
          <w:tcPr>
            <w:tcW w:w="995" w:type="dxa"/>
            <w:tcBorders/>
          </w:tcPr>
          <w:p>
            <w:pPr>
              <w:pStyle w:val="Normal"/>
              <w:widowControl/>
              <w:suppressAutoHyphens w:val="true"/>
              <w:spacing w:before="0" w:after="0"/>
              <w:jc w:val="center"/>
              <w:rPr>
                <w:sz w:val="20"/>
                <w:szCs w:val="20"/>
                <w:lang w:eastAsia="en-US"/>
              </w:rPr>
            </w:pPr>
            <w:r>
              <w:rPr>
                <w:sz w:val="20"/>
                <w:szCs w:val="20"/>
                <w:lang w:eastAsia="en-US"/>
              </w:rPr>
            </w:r>
          </w:p>
        </w:tc>
        <w:tc>
          <w:tcPr>
            <w:tcW w:w="847" w:type="dxa"/>
            <w:tcBorders/>
            <w:vAlign w:val="center"/>
          </w:tcPr>
          <w:p>
            <w:pPr>
              <w:pStyle w:val="Normal"/>
              <w:widowControl/>
              <w:suppressAutoHyphens w:val="true"/>
              <w:spacing w:before="0" w:after="0"/>
              <w:jc w:val="center"/>
              <w:rPr>
                <w:sz w:val="20"/>
                <w:szCs w:val="20"/>
                <w:lang w:eastAsia="en-US"/>
              </w:rPr>
            </w:pPr>
            <w:r>
              <w:rPr>
                <w:kern w:val="0"/>
                <w:sz w:val="20"/>
                <w:szCs w:val="20"/>
                <w:lang w:val="ru-RU" w:eastAsia="en-US" w:bidi="ar-SA"/>
              </w:rPr>
              <w:t>10</w:t>
            </w:r>
          </w:p>
        </w:tc>
        <w:tc>
          <w:tcPr>
            <w:tcW w:w="1559" w:type="dxa"/>
            <w:tcBorders/>
          </w:tcPr>
          <w:p>
            <w:pPr>
              <w:pStyle w:val="Normal"/>
              <w:widowControl/>
              <w:suppressAutoHyphens w:val="true"/>
              <w:spacing w:before="0" w:after="0"/>
              <w:jc w:val="center"/>
              <w:rPr>
                <w:sz w:val="20"/>
                <w:szCs w:val="20"/>
                <w:lang w:eastAsia="en-US"/>
              </w:rPr>
            </w:pPr>
            <w:r>
              <w:rPr>
                <w:sz w:val="20"/>
                <w:szCs w:val="20"/>
                <w:lang w:eastAsia="en-US"/>
              </w:rPr>
            </w:r>
          </w:p>
        </w:tc>
        <w:tc>
          <w:tcPr>
            <w:tcW w:w="1145" w:type="dxa"/>
            <w:tcBorders/>
          </w:tcPr>
          <w:p>
            <w:pPr>
              <w:pStyle w:val="Normal"/>
              <w:widowControl/>
              <w:suppressAutoHyphens w:val="true"/>
              <w:spacing w:before="0" w:after="0"/>
              <w:jc w:val="center"/>
              <w:rPr>
                <w:sz w:val="20"/>
                <w:szCs w:val="20"/>
                <w:lang w:eastAsia="en-US"/>
              </w:rPr>
            </w:pPr>
            <w:r>
              <w:rPr>
                <w:sz w:val="20"/>
                <w:szCs w:val="20"/>
                <w:lang w:eastAsia="en-US"/>
              </w:rPr>
            </w:r>
          </w:p>
        </w:tc>
        <w:tc>
          <w:tcPr>
            <w:tcW w:w="1121" w:type="dxa"/>
            <w:tcBorders/>
            <w:vAlign w:val="center"/>
          </w:tcPr>
          <w:p>
            <w:pPr>
              <w:pStyle w:val="Normal"/>
              <w:widowControl/>
              <w:suppressAutoHyphens w:val="true"/>
              <w:spacing w:before="0" w:after="0"/>
              <w:jc w:val="center"/>
              <w:rPr>
                <w:sz w:val="20"/>
                <w:szCs w:val="20"/>
                <w:lang w:eastAsia="en-US"/>
              </w:rPr>
            </w:pPr>
            <w:r>
              <w:rPr>
                <w:sz w:val="20"/>
                <w:szCs w:val="20"/>
                <w:lang w:eastAsia="en-US"/>
              </w:rPr>
            </w:r>
          </w:p>
        </w:tc>
        <w:tc>
          <w:tcPr>
            <w:tcW w:w="1272" w:type="dxa"/>
            <w:tcBorders/>
            <w:vAlign w:val="center"/>
          </w:tcPr>
          <w:p>
            <w:pPr>
              <w:pStyle w:val="Normal"/>
              <w:widowControl/>
              <w:suppressAutoHyphens w:val="true"/>
              <w:spacing w:before="0" w:after="0"/>
              <w:jc w:val="center"/>
              <w:rPr>
                <w:sz w:val="20"/>
                <w:szCs w:val="20"/>
                <w:lang w:eastAsia="en-US"/>
              </w:rPr>
            </w:pPr>
            <w:r>
              <w:rPr>
                <w:sz w:val="20"/>
                <w:szCs w:val="20"/>
                <w:lang w:eastAsia="en-US"/>
              </w:rPr>
            </w:r>
          </w:p>
        </w:tc>
      </w:tr>
      <w:tr>
        <w:trPr>
          <w:trHeight w:val="20" w:hRule="atLeast"/>
        </w:trPr>
        <w:tc>
          <w:tcPr>
            <w:tcW w:w="9346" w:type="dxa"/>
            <w:gridSpan w:val="8"/>
            <w:tcBorders/>
          </w:tcPr>
          <w:p>
            <w:pPr>
              <w:pStyle w:val="Normal"/>
              <w:widowControl/>
              <w:suppressAutoHyphens w:val="true"/>
              <w:spacing w:before="0" w:after="0"/>
              <w:jc w:val="right"/>
              <w:rPr>
                <w:b/>
                <w:sz w:val="20"/>
                <w:szCs w:val="20"/>
                <w:lang w:eastAsia="en-US"/>
              </w:rPr>
            </w:pPr>
            <w:r>
              <w:rPr>
                <w:b/>
                <w:kern w:val="0"/>
                <w:sz w:val="20"/>
                <w:szCs w:val="20"/>
                <w:lang w:val="ru-RU" w:eastAsia="en-US" w:bidi="ar-SA"/>
              </w:rPr>
              <w:t>Итого:</w:t>
            </w:r>
          </w:p>
        </w:tc>
        <w:tc>
          <w:tcPr>
            <w:tcW w:w="1272" w:type="dxa"/>
            <w:tcBorders/>
            <w:vAlign w:val="center"/>
          </w:tcPr>
          <w:p>
            <w:pPr>
              <w:pStyle w:val="Normal"/>
              <w:widowControl/>
              <w:suppressAutoHyphens w:val="true"/>
              <w:spacing w:before="0" w:after="0"/>
              <w:jc w:val="center"/>
              <w:rPr>
                <w:b/>
                <w:sz w:val="20"/>
                <w:szCs w:val="20"/>
                <w:lang w:eastAsia="en-US"/>
              </w:rPr>
            </w:pPr>
            <w:r>
              <w:rPr>
                <w:b/>
                <w:sz w:val="20"/>
                <w:szCs w:val="20"/>
                <w:lang w:eastAsia="en-US"/>
              </w:rPr>
            </w:r>
          </w:p>
        </w:tc>
      </w:tr>
    </w:tbl>
    <w:p>
      <w:pPr>
        <w:pStyle w:val="Normal"/>
        <w:tabs>
          <w:tab w:val="clear" w:pos="708"/>
          <w:tab w:val="left" w:pos="1701" w:leader="none"/>
        </w:tabs>
        <w:ind w:firstLine="708"/>
        <w:jc w:val="both"/>
        <w:rPr>
          <w:b/>
          <w:sz w:val="20"/>
          <w:szCs w:val="20"/>
        </w:rPr>
      </w:pPr>
      <w:r>
        <w:rPr>
          <w:b/>
          <w:sz w:val="20"/>
          <w:szCs w:val="20"/>
        </w:rPr>
      </w:r>
    </w:p>
    <w:p>
      <w:pPr>
        <w:pStyle w:val="Normal"/>
        <w:tabs>
          <w:tab w:val="clear" w:pos="708"/>
          <w:tab w:val="left" w:pos="1701" w:leader="none"/>
        </w:tabs>
        <w:ind w:firstLine="708"/>
        <w:jc w:val="both"/>
        <w:rPr>
          <w:sz w:val="20"/>
          <w:szCs w:val="20"/>
        </w:rPr>
      </w:pPr>
      <w:r>
        <w:rPr>
          <w:b/>
          <w:sz w:val="20"/>
          <w:szCs w:val="20"/>
        </w:rPr>
        <w:t>Итого (цена Контракта)</w:t>
      </w:r>
      <w:r>
        <w:rPr>
          <w:sz w:val="20"/>
          <w:szCs w:val="20"/>
        </w:rPr>
        <w:t>: ____________(_______________) рублей ___ копеек. в том числе НДС –_______ (________) рублей ___копеек.</w:t>
      </w:r>
    </w:p>
    <w:p>
      <w:pPr>
        <w:pStyle w:val="Normal"/>
        <w:jc w:val="both"/>
        <w:rPr>
          <w:sz w:val="20"/>
          <w:szCs w:val="20"/>
        </w:rPr>
      </w:pPr>
      <w:r>
        <w:rPr>
          <w:sz w:val="20"/>
          <w:szCs w:val="20"/>
        </w:rPr>
      </w:r>
    </w:p>
    <w:p>
      <w:pPr>
        <w:pStyle w:val="Normal"/>
        <w:jc w:val="both"/>
        <w:rPr>
          <w:sz w:val="20"/>
          <w:szCs w:val="20"/>
        </w:rPr>
      </w:pPr>
      <w:r>
        <w:rPr>
          <w:sz w:val="20"/>
          <w:szCs w:val="20"/>
        </w:rPr>
      </w:r>
    </w:p>
    <w:tbl>
      <w:tblPr>
        <w:tblW w:w="97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107"/>
        <w:gridCol w:w="4673"/>
      </w:tblGrid>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Поставщик:</w:t>
            </w:r>
          </w:p>
        </w:tc>
      </w:tr>
      <w:tr>
        <w:trPr>
          <w:trHeight w:val="965"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Главный врач</w:t>
            </w:r>
          </w:p>
          <w:p>
            <w:pPr>
              <w:pStyle w:val="Normal"/>
              <w:rPr>
                <w:sz w:val="20"/>
                <w:szCs w:val="20"/>
              </w:rPr>
            </w:pPr>
            <w:r>
              <w:rPr>
                <w:sz w:val="20"/>
                <w:szCs w:val="20"/>
              </w:rPr>
            </w:r>
          </w:p>
          <w:p>
            <w:pPr>
              <w:pStyle w:val="Normal"/>
              <w:rPr>
                <w:sz w:val="20"/>
                <w:szCs w:val="20"/>
              </w:rPr>
            </w:pPr>
            <w:r>
              <w:rPr>
                <w:sz w:val="20"/>
                <w:szCs w:val="20"/>
              </w:rPr>
              <w:t>________________________ С.В. Петров</w:t>
            </w:r>
          </w:p>
          <w:p>
            <w:pPr>
              <w:pStyle w:val="Normal"/>
              <w:rPr>
                <w:sz w:val="20"/>
                <w:szCs w:val="20"/>
              </w:rPr>
            </w:pPr>
            <w:r>
              <w:rPr>
                <w:sz w:val="20"/>
                <w:szCs w:val="20"/>
              </w:rPr>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widowControl w:val="false"/>
              <w:rPr>
                <w:b/>
                <w:sz w:val="20"/>
                <w:szCs w:val="20"/>
              </w:rPr>
            </w:pPr>
            <w:r>
              <w:rPr>
                <w:b/>
                <w:sz w:val="20"/>
                <w:szCs w:val="20"/>
              </w:rPr>
              <w:t>Наименование Поставщика</w:t>
            </w:r>
          </w:p>
          <w:p>
            <w:pPr>
              <w:pStyle w:val="Normal"/>
              <w:widowControl w:val="false"/>
              <w:rPr>
                <w:sz w:val="20"/>
                <w:szCs w:val="20"/>
              </w:rPr>
            </w:pPr>
            <w:r>
              <w:rPr>
                <w:sz w:val="20"/>
                <w:szCs w:val="20"/>
              </w:rPr>
              <w:t>Должность</w:t>
            </w:r>
          </w:p>
          <w:p>
            <w:pPr>
              <w:pStyle w:val="Normal"/>
              <w:widowControl w:val="false"/>
              <w:rPr>
                <w:sz w:val="20"/>
                <w:szCs w:val="20"/>
              </w:rPr>
            </w:pPr>
            <w:r>
              <w:rPr>
                <w:sz w:val="20"/>
                <w:szCs w:val="20"/>
              </w:rPr>
            </w:r>
          </w:p>
          <w:p>
            <w:pPr>
              <w:pStyle w:val="Normal"/>
              <w:widowControl w:val="false"/>
              <w:rPr>
                <w:sz w:val="20"/>
                <w:szCs w:val="20"/>
              </w:rPr>
            </w:pPr>
            <w:r>
              <w:rPr>
                <w:sz w:val="20"/>
                <w:szCs w:val="20"/>
              </w:rPr>
              <w:t>________________________ И.О. Фамилия</w:t>
            </w:r>
          </w:p>
          <w:p>
            <w:pPr>
              <w:pStyle w:val="Normal"/>
              <w:rPr>
                <w:sz w:val="20"/>
                <w:szCs w:val="20"/>
              </w:rPr>
            </w:pPr>
            <w:r>
              <w:rPr>
                <w:sz w:val="20"/>
                <w:szCs w:val="20"/>
              </w:rPr>
            </w:r>
          </w:p>
        </w:tc>
      </w:tr>
    </w:tbl>
    <w:p>
      <w:pPr>
        <w:sectPr>
          <w:headerReference w:type="even" r:id="rId2"/>
          <w:headerReference w:type="default" r:id="rId3"/>
          <w:headerReference w:type="first" r:id="rId4"/>
          <w:type w:val="nextPage"/>
          <w:pgSz w:w="11906" w:h="16838"/>
          <w:pgMar w:left="1134" w:right="851" w:gutter="0" w:header="709" w:top="766" w:footer="0" w:bottom="1134"/>
          <w:pgNumType w:fmt="decimal"/>
          <w:formProt w:val="false"/>
          <w:textDirection w:val="lrTb"/>
          <w:docGrid w:type="default" w:linePitch="360" w:charSpace="0"/>
        </w:sectPr>
      </w:pPr>
      <w:r>
        <w:br w:type="page"/>
      </w:r>
    </w:p>
    <w:p>
      <w:pPr>
        <w:pStyle w:val="Normal"/>
        <w:spacing w:before="0" w:after="0"/>
        <w:jc w:val="right"/>
        <w:rPr>
          <w:b/>
          <w:sz w:val="18"/>
          <w:szCs w:val="20"/>
        </w:rPr>
      </w:pPr>
      <w:r>
        <w:rPr>
          <w:b/>
          <w:sz w:val="18"/>
          <w:szCs w:val="20"/>
        </w:rPr>
        <w:t xml:space="preserve">Приложение № 2 </w:t>
      </w:r>
    </w:p>
    <w:p>
      <w:pPr>
        <w:pStyle w:val="Normal"/>
        <w:jc w:val="right"/>
        <w:rPr>
          <w:rFonts w:eastAsia="Calibri" w:eastAsiaTheme="minorHAnsi"/>
          <w:b/>
          <w:sz w:val="18"/>
          <w:szCs w:val="20"/>
          <w:lang w:eastAsia="en-US"/>
        </w:rPr>
      </w:pPr>
      <w:r>
        <w:rPr>
          <w:b/>
          <w:sz w:val="18"/>
          <w:szCs w:val="20"/>
        </w:rPr>
        <w:t xml:space="preserve">к Контракту </w:t>
      </w:r>
      <w:r>
        <w:rPr>
          <w:rFonts w:eastAsia="Calibri" w:eastAsiaTheme="minorHAnsi"/>
          <w:b/>
          <w:sz w:val="18"/>
          <w:szCs w:val="20"/>
          <w:lang w:eastAsia="en-US"/>
        </w:rPr>
        <w:t xml:space="preserve">№ 165/2026 от «___» _________ 2026г. </w:t>
      </w:r>
    </w:p>
    <w:p>
      <w:pPr>
        <w:pStyle w:val="Normal"/>
        <w:widowControl w:val="false"/>
        <w:spacing w:lineRule="auto" w:line="276"/>
        <w:jc w:val="center"/>
        <w:rPr>
          <w:b/>
          <w:color w:val="000000"/>
          <w:sz w:val="20"/>
          <w:szCs w:val="20"/>
        </w:rPr>
      </w:pPr>
      <w:r>
        <w:rPr>
          <w:b/>
          <w:color w:val="000000"/>
          <w:sz w:val="20"/>
          <w:szCs w:val="20"/>
        </w:rPr>
        <w:t>Техническое задание</w:t>
      </w:r>
    </w:p>
    <w:p>
      <w:pPr>
        <w:pStyle w:val="Normal"/>
        <w:widowControl w:val="false"/>
        <w:spacing w:lineRule="auto" w:line="276"/>
        <w:jc w:val="center"/>
        <w:rPr>
          <w:b/>
          <w:color w:val="000000"/>
          <w:sz w:val="20"/>
          <w:szCs w:val="20"/>
        </w:rPr>
      </w:pPr>
      <w:r>
        <w:rPr>
          <w:b/>
          <w:color w:val="000000"/>
          <w:sz w:val="20"/>
          <w:szCs w:val="20"/>
        </w:rPr>
      </w:r>
    </w:p>
    <w:tbl>
      <w:tblPr>
        <w:tblW w:w="5000" w:type="pct"/>
        <w:jc w:val="center"/>
        <w:tblInd w:w="0" w:type="dxa"/>
        <w:tblLayout w:type="fixed"/>
        <w:tblCellMar>
          <w:top w:w="0" w:type="dxa"/>
          <w:left w:w="108" w:type="dxa"/>
          <w:bottom w:w="0" w:type="dxa"/>
          <w:right w:w="108" w:type="dxa"/>
        </w:tblCellMar>
        <w:tblLook w:val="04a0" w:noHBand="0" w:noVBand="1" w:firstColumn="1" w:lastRow="0" w:lastColumn="0" w:firstRow="1"/>
      </w:tblPr>
      <w:tblGrid>
        <w:gridCol w:w="332"/>
        <w:gridCol w:w="1203"/>
        <w:gridCol w:w="1569"/>
        <w:gridCol w:w="1568"/>
        <w:gridCol w:w="1447"/>
        <w:gridCol w:w="1325"/>
        <w:gridCol w:w="2774"/>
        <w:gridCol w:w="2770"/>
        <w:gridCol w:w="912"/>
        <w:gridCol w:w="951"/>
      </w:tblGrid>
      <w:tr>
        <w:trPr>
          <w:trHeight w:val="1040" w:hRule="atLeast"/>
        </w:trPr>
        <w:tc>
          <w:tcPr>
            <w:tcW w:w="332" w:type="dxa"/>
            <w:tcBorders/>
          </w:tcPr>
          <w:p>
            <w:pPr>
              <w:pStyle w:val="NoSpacing"/>
              <w:jc w:val="center"/>
              <w:rPr>
                <w:b/>
                <w:sz w:val="16"/>
                <w:szCs w:val="16"/>
              </w:rPr>
            </w:pPr>
            <w:r>
              <w:rPr>
                <w:b/>
                <w:sz w:val="16"/>
                <w:szCs w:val="16"/>
              </w:rPr>
              <w:t xml:space="preserve">№ </w:t>
            </w:r>
            <w:r>
              <w:rPr>
                <w:b/>
                <w:sz w:val="16"/>
                <w:szCs w:val="16"/>
              </w:rPr>
              <w:t>п/п</w:t>
            </w:r>
          </w:p>
        </w:tc>
        <w:tc>
          <w:tcPr>
            <w:tcW w:w="1203" w:type="dxa"/>
            <w:tcBorders/>
          </w:tcPr>
          <w:p>
            <w:pPr>
              <w:pStyle w:val="NoSpacing"/>
              <w:jc w:val="center"/>
              <w:rPr>
                <w:b/>
                <w:sz w:val="16"/>
                <w:szCs w:val="16"/>
              </w:rPr>
            </w:pPr>
            <w:r>
              <w:rPr>
                <w:b/>
                <w:sz w:val="16"/>
                <w:szCs w:val="16"/>
                <w:lang w:eastAsia="en-US"/>
              </w:rPr>
              <w:t>Наименование товара (в соответствии с КТРУ при наличии)</w:t>
            </w:r>
          </w:p>
        </w:tc>
        <w:tc>
          <w:tcPr>
            <w:tcW w:w="1569" w:type="dxa"/>
            <w:tcBorders/>
          </w:tcPr>
          <w:p>
            <w:pPr>
              <w:pStyle w:val="NoSpacing"/>
              <w:jc w:val="center"/>
              <w:rPr>
                <w:b/>
                <w:sz w:val="16"/>
                <w:szCs w:val="16"/>
              </w:rPr>
            </w:pPr>
            <w:r>
              <w:rPr>
                <w:b/>
                <w:sz w:val="16"/>
                <w:szCs w:val="16"/>
                <w:lang w:eastAsia="en-US"/>
              </w:rPr>
              <w:t>Код КТРУ/ОКПД2</w:t>
            </w:r>
          </w:p>
          <w:p>
            <w:pPr>
              <w:pStyle w:val="NoSpacing"/>
              <w:jc w:val="center"/>
              <w:rPr>
                <w:b/>
                <w:sz w:val="16"/>
                <w:szCs w:val="16"/>
              </w:rPr>
            </w:pPr>
            <w:r>
              <w:rPr>
                <w:b/>
                <w:sz w:val="16"/>
                <w:szCs w:val="16"/>
              </w:rPr>
            </w:r>
          </w:p>
          <w:p>
            <w:pPr>
              <w:pStyle w:val="NoSpacing"/>
              <w:jc w:val="center"/>
              <w:rPr>
                <w:b/>
                <w:sz w:val="16"/>
                <w:szCs w:val="16"/>
              </w:rPr>
            </w:pPr>
            <w:r>
              <w:rPr>
                <w:b/>
                <w:sz w:val="16"/>
                <w:szCs w:val="16"/>
              </w:rPr>
            </w:r>
          </w:p>
        </w:tc>
        <w:tc>
          <w:tcPr>
            <w:tcW w:w="1568" w:type="dxa"/>
            <w:tcBorders/>
          </w:tcPr>
          <w:p>
            <w:pPr>
              <w:pStyle w:val="NoSpacing"/>
              <w:jc w:val="center"/>
              <w:rPr>
                <w:b/>
                <w:sz w:val="16"/>
                <w:szCs w:val="16"/>
              </w:rPr>
            </w:pPr>
            <w:r>
              <w:rPr>
                <w:b/>
                <w:sz w:val="16"/>
                <w:szCs w:val="16"/>
              </w:rPr>
              <w:t>Наименование характеристики</w:t>
            </w:r>
          </w:p>
        </w:tc>
        <w:tc>
          <w:tcPr>
            <w:tcW w:w="1447" w:type="dxa"/>
            <w:tcBorders/>
          </w:tcPr>
          <w:p>
            <w:pPr>
              <w:pStyle w:val="NoSpacing"/>
              <w:jc w:val="center"/>
              <w:rPr>
                <w:b/>
                <w:sz w:val="16"/>
                <w:szCs w:val="16"/>
              </w:rPr>
            </w:pPr>
            <w:r>
              <w:rPr>
                <w:b/>
                <w:sz w:val="16"/>
                <w:szCs w:val="16"/>
              </w:rPr>
              <w:t>Значение характеристики</w:t>
            </w:r>
          </w:p>
        </w:tc>
        <w:tc>
          <w:tcPr>
            <w:tcW w:w="1325" w:type="dxa"/>
            <w:tcBorders/>
          </w:tcPr>
          <w:p>
            <w:pPr>
              <w:pStyle w:val="NoSpacing"/>
              <w:jc w:val="center"/>
              <w:rPr>
                <w:b/>
                <w:sz w:val="16"/>
                <w:szCs w:val="16"/>
              </w:rPr>
            </w:pPr>
            <w:r>
              <w:rPr>
                <w:b/>
                <w:sz w:val="16"/>
                <w:szCs w:val="16"/>
              </w:rPr>
              <w:t>Единица измерения</w:t>
            </w:r>
          </w:p>
        </w:tc>
        <w:tc>
          <w:tcPr>
            <w:tcW w:w="2774" w:type="dxa"/>
            <w:tcBorders/>
          </w:tcPr>
          <w:p>
            <w:pPr>
              <w:pStyle w:val="NoSpacing"/>
              <w:jc w:val="center"/>
              <w:rPr>
                <w:b/>
                <w:sz w:val="16"/>
                <w:szCs w:val="16"/>
              </w:rPr>
            </w:pPr>
            <w:r>
              <w:rPr>
                <w:b/>
                <w:sz w:val="16"/>
                <w:szCs w:val="16"/>
              </w:rPr>
              <w:t>Инструкция по заполнению характеристик</w:t>
            </w:r>
          </w:p>
          <w:p>
            <w:pPr>
              <w:pStyle w:val="NoSpacing"/>
              <w:jc w:val="center"/>
              <w:rPr>
                <w:b/>
                <w:sz w:val="16"/>
                <w:szCs w:val="16"/>
              </w:rPr>
            </w:pPr>
            <w:r>
              <w:rPr>
                <w:b/>
                <w:sz w:val="16"/>
                <w:szCs w:val="16"/>
              </w:rPr>
              <w:t>в заявке</w:t>
            </w:r>
          </w:p>
          <w:p>
            <w:pPr>
              <w:pStyle w:val="NoSpacing"/>
              <w:jc w:val="center"/>
              <w:rPr>
                <w:b/>
                <w:sz w:val="16"/>
                <w:szCs w:val="16"/>
              </w:rPr>
            </w:pPr>
            <w:r>
              <w:rPr>
                <w:b/>
                <w:sz w:val="16"/>
                <w:szCs w:val="16"/>
              </w:rPr>
            </w:r>
          </w:p>
          <w:p>
            <w:pPr>
              <w:pStyle w:val="NoSpacing"/>
              <w:rPr>
                <w:b/>
                <w:sz w:val="16"/>
                <w:szCs w:val="16"/>
              </w:rPr>
            </w:pPr>
            <w:r>
              <w:rPr>
                <w:b/>
                <w:sz w:val="16"/>
                <w:szCs w:val="16"/>
              </w:rPr>
            </w:r>
          </w:p>
        </w:tc>
        <w:tc>
          <w:tcPr>
            <w:tcW w:w="2770" w:type="dxa"/>
            <w:tcBorders/>
          </w:tcPr>
          <w:p>
            <w:pPr>
              <w:pStyle w:val="NoSpacing"/>
              <w:jc w:val="center"/>
              <w:rPr>
                <w:b/>
                <w:sz w:val="16"/>
                <w:szCs w:val="16"/>
              </w:rPr>
            </w:pPr>
            <w:r>
              <w:rPr>
                <w:b/>
                <w:sz w:val="16"/>
                <w:szCs w:val="16"/>
                <w:lang w:eastAsia="en-US"/>
              </w:rPr>
              <w:t>Обоснование дополнительных характеристик, не используемых в КТРУ</w:t>
            </w:r>
          </w:p>
        </w:tc>
        <w:tc>
          <w:tcPr>
            <w:tcW w:w="912" w:type="dxa"/>
            <w:tcBorders/>
          </w:tcPr>
          <w:p>
            <w:pPr>
              <w:pStyle w:val="NoSpacing"/>
              <w:jc w:val="center"/>
              <w:rPr>
                <w:b/>
                <w:sz w:val="16"/>
                <w:szCs w:val="16"/>
              </w:rPr>
            </w:pPr>
            <w:r>
              <w:rPr>
                <w:b/>
                <w:sz w:val="16"/>
                <w:szCs w:val="16"/>
                <w:lang w:eastAsia="en-US"/>
              </w:rPr>
              <w:t>Кол-во</w:t>
            </w:r>
          </w:p>
        </w:tc>
        <w:tc>
          <w:tcPr>
            <w:tcW w:w="951" w:type="dxa"/>
            <w:tcBorders/>
          </w:tcPr>
          <w:p>
            <w:pPr>
              <w:pStyle w:val="NoSpacing"/>
              <w:jc w:val="center"/>
              <w:rPr>
                <w:b/>
                <w:sz w:val="16"/>
                <w:szCs w:val="16"/>
              </w:rPr>
            </w:pPr>
            <w:r>
              <w:rPr>
                <w:b/>
                <w:sz w:val="16"/>
                <w:szCs w:val="16"/>
                <w:lang w:eastAsia="en-US"/>
              </w:rPr>
              <w:t>Ед. из. для товара</w:t>
            </w:r>
          </w:p>
        </w:tc>
      </w:tr>
      <w:tr>
        <w:trPr>
          <w:trHeight w:val="532" w:hRule="atLeast"/>
        </w:trPr>
        <w:tc>
          <w:tcPr>
            <w:tcW w:w="332" w:type="dxa"/>
            <w:vMerge w:val="restart"/>
            <w:tcBorders/>
            <w:vAlign w:val="center"/>
          </w:tcPr>
          <w:p>
            <w:pPr>
              <w:pStyle w:val="NoSpacing"/>
              <w:rPr/>
            </w:pPr>
            <w:r>
              <w:rPr/>
              <w:t>1</w:t>
            </w:r>
          </w:p>
        </w:tc>
        <w:tc>
          <w:tcPr>
            <w:tcW w:w="1203" w:type="dxa"/>
            <w:vMerge w:val="restart"/>
            <w:tcBorders/>
            <w:vAlign w:val="center"/>
          </w:tcPr>
          <w:p>
            <w:pPr>
              <w:pStyle w:val="NoSpacing"/>
              <w:jc w:val="center"/>
              <w:rPr>
                <w:lang w:val="en-US"/>
              </w:rPr>
            </w:pPr>
            <w:r>
              <w:rPr>
                <w:lang w:val="en-US"/>
              </w:rPr>
              <w:t>Пленка термографическая медицинская</w:t>
            </w:r>
          </w:p>
        </w:tc>
        <w:tc>
          <w:tcPr>
            <w:tcW w:w="1569" w:type="dxa"/>
            <w:vMerge w:val="restart"/>
            <w:tcBorders/>
            <w:vAlign w:val="center"/>
          </w:tcPr>
          <w:p>
            <w:pPr>
              <w:pStyle w:val="NoSpacing"/>
              <w:jc w:val="center"/>
              <w:rPr>
                <w:sz w:val="22"/>
                <w:szCs w:val="22"/>
              </w:rPr>
            </w:pPr>
            <w:r>
              <w:rPr>
                <w:sz w:val="22"/>
                <w:szCs w:val="22"/>
              </w:rPr>
              <w:t>32.50.50.190-00003068</w:t>
            </w:r>
          </w:p>
        </w:tc>
        <w:tc>
          <w:tcPr>
            <w:tcW w:w="9884" w:type="dxa"/>
            <w:gridSpan w:val="5"/>
            <w:tcBorders/>
          </w:tcPr>
          <w:p>
            <w:pPr>
              <w:pStyle w:val="NoSpacing"/>
              <w:jc w:val="center"/>
              <w:rPr>
                <w:b/>
                <w:sz w:val="16"/>
                <w:szCs w:val="16"/>
              </w:rPr>
            </w:pPr>
            <w:r>
              <w:rPr>
                <w:b/>
                <w:sz w:val="16"/>
                <w:szCs w:val="16"/>
                <w:lang w:eastAsia="en-US"/>
              </w:rPr>
              <w:t>Количественные характеристики в соответствии с КТРУ</w:t>
            </w:r>
          </w:p>
        </w:tc>
        <w:tc>
          <w:tcPr>
            <w:tcW w:w="912" w:type="dxa"/>
            <w:vMerge w:val="restart"/>
            <w:tcBorders/>
            <w:vAlign w:val="center"/>
          </w:tcPr>
          <w:p>
            <w:pPr>
              <w:pStyle w:val="NoSpacing"/>
              <w:jc w:val="center"/>
              <w:rPr>
                <w:szCs w:val="28"/>
              </w:rPr>
            </w:pPr>
            <w:r>
              <w:rPr>
                <w:sz w:val="20"/>
                <w:szCs w:val="28"/>
              </w:rPr>
              <w:t>10</w:t>
            </w:r>
          </w:p>
        </w:tc>
        <w:tc>
          <w:tcPr>
            <w:tcW w:w="951" w:type="dxa"/>
            <w:vMerge w:val="restart"/>
            <w:tcBorders/>
            <w:vAlign w:val="center"/>
          </w:tcPr>
          <w:p>
            <w:pPr>
              <w:pStyle w:val="NoSpacing"/>
              <w:jc w:val="center"/>
              <w:rPr>
                <w:szCs w:val="28"/>
              </w:rPr>
            </w:pPr>
            <w:r>
              <w:rPr>
                <w:sz w:val="20"/>
                <w:szCs w:val="28"/>
              </w:rPr>
              <w:t>упаковка</w:t>
            </w:r>
          </w:p>
        </w:tc>
      </w:tr>
      <w:tr>
        <w:trPr/>
        <w:tc>
          <w:tcPr>
            <w:tcW w:w="332" w:type="dxa"/>
            <w:vMerge w:val="continue"/>
            <w:tcBorders/>
          </w:tcPr>
          <w:p>
            <w:pPr>
              <w:pStyle w:val="NoSpacing"/>
              <w:rPr/>
            </w:pPr>
            <w:r>
              <w:rPr/>
            </w:r>
          </w:p>
        </w:tc>
        <w:tc>
          <w:tcPr>
            <w:tcW w:w="1203" w:type="dxa"/>
            <w:vMerge w:val="continue"/>
            <w:tcBorders/>
          </w:tcPr>
          <w:p>
            <w:pPr>
              <w:pStyle w:val="NoSpacing"/>
              <w:jc w:val="center"/>
              <w:rPr/>
            </w:pPr>
            <w:r>
              <w:rPr/>
            </w:r>
          </w:p>
        </w:tc>
        <w:tc>
          <w:tcPr>
            <w:tcW w:w="1569" w:type="dxa"/>
            <w:vMerge w:val="continue"/>
            <w:tcBorders/>
          </w:tcPr>
          <w:p>
            <w:pPr>
              <w:pStyle w:val="NoSpacing"/>
              <w:jc w:val="center"/>
              <w:rPr/>
            </w:pPr>
            <w:r>
              <w:rPr/>
            </w:r>
          </w:p>
        </w:tc>
        <w:tc>
          <w:tcPr>
            <w:tcW w:w="1568" w:type="dxa"/>
            <w:tcBorders/>
          </w:tcPr>
          <w:p>
            <w:pPr>
              <w:pStyle w:val="NoSpacing"/>
              <w:rPr>
                <w:sz w:val="16"/>
                <w:szCs w:val="16"/>
              </w:rPr>
            </w:pPr>
            <w:r>
              <w:rPr>
                <w:sz w:val="16"/>
                <w:szCs w:val="16"/>
              </w:rPr>
              <w:t>Размер, см</w:t>
            </w:r>
          </w:p>
        </w:tc>
        <w:tc>
          <w:tcPr>
            <w:tcW w:w="1447" w:type="dxa"/>
            <w:tcBorders/>
          </w:tcPr>
          <w:p>
            <w:pPr>
              <w:pStyle w:val="NoSpacing"/>
              <w:jc w:val="center"/>
              <w:rPr>
                <w:sz w:val="16"/>
                <w:szCs w:val="16"/>
              </w:rPr>
            </w:pPr>
            <w:r>
              <w:rPr>
                <w:sz w:val="16"/>
                <w:szCs w:val="16"/>
              </w:rPr>
              <w:t>35х43</w:t>
            </w:r>
          </w:p>
        </w:tc>
        <w:tc>
          <w:tcPr>
            <w:tcW w:w="1325" w:type="dxa"/>
            <w:tcBorders/>
          </w:tcPr>
          <w:p>
            <w:pPr>
              <w:pStyle w:val="NoSpacing"/>
              <w:jc w:val="center"/>
              <w:rPr>
                <w:sz w:val="16"/>
                <w:szCs w:val="16"/>
              </w:rPr>
            </w:pPr>
            <w:r>
              <w:rPr>
                <w:sz w:val="16"/>
                <w:szCs w:val="16"/>
              </w:rPr>
              <w:t>Сантиметр</w:t>
            </w:r>
          </w:p>
        </w:tc>
        <w:tc>
          <w:tcPr>
            <w:tcW w:w="2774" w:type="dxa"/>
            <w:tcBorders/>
          </w:tcPr>
          <w:p>
            <w:pPr>
              <w:pStyle w:val="NoSpacing"/>
              <w:rPr>
                <w:sz w:val="16"/>
                <w:szCs w:val="16"/>
              </w:rPr>
            </w:pPr>
            <w:r>
              <w:rPr>
                <w:sz w:val="16"/>
                <w:szCs w:val="16"/>
              </w:rPr>
              <w:t>Значение характеристики не может меняться</w:t>
            </w:r>
          </w:p>
        </w:tc>
        <w:tc>
          <w:tcPr>
            <w:tcW w:w="2770" w:type="dxa"/>
            <w:tcBorders/>
          </w:tcPr>
          <w:p>
            <w:pPr>
              <w:pStyle w:val="NoSpacing"/>
              <w:jc w:val="center"/>
              <w:rPr>
                <w:sz w:val="16"/>
                <w:szCs w:val="16"/>
              </w:rPr>
            </w:pPr>
            <w:r>
              <w:rPr>
                <w:sz w:val="16"/>
                <w:szCs w:val="16"/>
              </w:rPr>
              <w:t>х</w:t>
            </w:r>
          </w:p>
        </w:tc>
        <w:tc>
          <w:tcPr>
            <w:tcW w:w="912" w:type="dxa"/>
            <w:vMerge w:val="continue"/>
            <w:tcBorders/>
          </w:tcPr>
          <w:p>
            <w:pPr>
              <w:pStyle w:val="NoSpacing"/>
              <w:jc w:val="center"/>
              <w:rPr>
                <w:sz w:val="28"/>
                <w:szCs w:val="28"/>
              </w:rPr>
            </w:pPr>
            <w:r>
              <w:rPr>
                <w:sz w:val="28"/>
                <w:szCs w:val="28"/>
              </w:rPr>
            </w:r>
          </w:p>
        </w:tc>
        <w:tc>
          <w:tcPr>
            <w:tcW w:w="951" w:type="dxa"/>
            <w:vMerge w:val="continue"/>
            <w:tcBorders/>
          </w:tcPr>
          <w:p>
            <w:pPr>
              <w:pStyle w:val="NoSpacing"/>
              <w:jc w:val="center"/>
              <w:rPr>
                <w:sz w:val="28"/>
                <w:szCs w:val="28"/>
              </w:rPr>
            </w:pPr>
            <w:r>
              <w:rPr>
                <w:sz w:val="28"/>
                <w:szCs w:val="28"/>
              </w:rPr>
            </w:r>
          </w:p>
        </w:tc>
      </w:tr>
      <w:tr>
        <w:trPr/>
        <w:tc>
          <w:tcPr>
            <w:tcW w:w="332" w:type="dxa"/>
            <w:vMerge w:val="continue"/>
            <w:tcBorders/>
          </w:tcPr>
          <w:p>
            <w:pPr>
              <w:pStyle w:val="NoSpacing"/>
              <w:rPr/>
            </w:pPr>
            <w:r>
              <w:rPr/>
            </w:r>
          </w:p>
        </w:tc>
        <w:tc>
          <w:tcPr>
            <w:tcW w:w="1203" w:type="dxa"/>
            <w:vMerge w:val="continue"/>
            <w:tcBorders/>
          </w:tcPr>
          <w:p>
            <w:pPr>
              <w:pStyle w:val="NoSpacing"/>
              <w:jc w:val="center"/>
              <w:rPr/>
            </w:pPr>
            <w:r>
              <w:rPr/>
            </w:r>
          </w:p>
        </w:tc>
        <w:tc>
          <w:tcPr>
            <w:tcW w:w="1569" w:type="dxa"/>
            <w:vMerge w:val="continue"/>
            <w:tcBorders/>
          </w:tcPr>
          <w:p>
            <w:pPr>
              <w:pStyle w:val="NoSpacing"/>
              <w:jc w:val="center"/>
              <w:rPr/>
            </w:pPr>
            <w:r>
              <w:rPr/>
            </w:r>
          </w:p>
        </w:tc>
        <w:tc>
          <w:tcPr>
            <w:tcW w:w="9884" w:type="dxa"/>
            <w:gridSpan w:val="5"/>
            <w:tcBorders/>
          </w:tcPr>
          <w:p>
            <w:pPr>
              <w:pStyle w:val="NoSpacing"/>
              <w:jc w:val="center"/>
              <w:rPr>
                <w:b/>
                <w:sz w:val="16"/>
                <w:szCs w:val="16"/>
              </w:rPr>
            </w:pPr>
            <w:r>
              <w:rPr>
                <w:b/>
                <w:sz w:val="16"/>
                <w:szCs w:val="16"/>
                <w:lang w:eastAsia="en-US"/>
              </w:rPr>
              <w:t>Качественные дополнительные характеристики,</w:t>
            </w:r>
          </w:p>
          <w:p>
            <w:pPr>
              <w:pStyle w:val="NoSpacing"/>
              <w:jc w:val="center"/>
              <w:rPr>
                <w:sz w:val="16"/>
                <w:szCs w:val="16"/>
              </w:rPr>
            </w:pPr>
            <w:r>
              <w:rPr>
                <w:b/>
                <w:sz w:val="16"/>
                <w:szCs w:val="16"/>
                <w:lang w:eastAsia="en-US"/>
              </w:rPr>
              <w:t>не используемые в КТРУ</w:t>
            </w:r>
          </w:p>
        </w:tc>
        <w:tc>
          <w:tcPr>
            <w:tcW w:w="912" w:type="dxa"/>
            <w:vMerge w:val="continue"/>
            <w:tcBorders/>
          </w:tcPr>
          <w:p>
            <w:pPr>
              <w:pStyle w:val="NoSpacing"/>
              <w:jc w:val="center"/>
              <w:rPr>
                <w:sz w:val="28"/>
                <w:szCs w:val="28"/>
              </w:rPr>
            </w:pPr>
            <w:r>
              <w:rPr>
                <w:sz w:val="28"/>
                <w:szCs w:val="28"/>
              </w:rPr>
            </w:r>
          </w:p>
        </w:tc>
        <w:tc>
          <w:tcPr>
            <w:tcW w:w="951" w:type="dxa"/>
            <w:vMerge w:val="continue"/>
            <w:tcBorders/>
          </w:tcPr>
          <w:p>
            <w:pPr>
              <w:pStyle w:val="NoSpacing"/>
              <w:jc w:val="center"/>
              <w:rPr>
                <w:sz w:val="28"/>
                <w:szCs w:val="28"/>
              </w:rPr>
            </w:pPr>
            <w:r>
              <w:rPr>
                <w:sz w:val="28"/>
                <w:szCs w:val="28"/>
              </w:rPr>
            </w:r>
          </w:p>
        </w:tc>
      </w:tr>
      <w:tr>
        <w:trPr/>
        <w:tc>
          <w:tcPr>
            <w:tcW w:w="332" w:type="dxa"/>
            <w:vMerge w:val="continue"/>
            <w:tcBorders/>
          </w:tcPr>
          <w:p>
            <w:pPr>
              <w:pStyle w:val="NoSpacing"/>
              <w:rPr/>
            </w:pPr>
            <w:r>
              <w:rPr/>
            </w:r>
          </w:p>
        </w:tc>
        <w:tc>
          <w:tcPr>
            <w:tcW w:w="1203" w:type="dxa"/>
            <w:vMerge w:val="continue"/>
            <w:tcBorders/>
          </w:tcPr>
          <w:p>
            <w:pPr>
              <w:pStyle w:val="NoSpacing"/>
              <w:jc w:val="center"/>
              <w:rPr/>
            </w:pPr>
            <w:r>
              <w:rPr/>
            </w:r>
          </w:p>
        </w:tc>
        <w:tc>
          <w:tcPr>
            <w:tcW w:w="1569" w:type="dxa"/>
            <w:vMerge w:val="continue"/>
            <w:tcBorders/>
          </w:tcPr>
          <w:p>
            <w:pPr>
              <w:pStyle w:val="NoSpacing"/>
              <w:jc w:val="center"/>
              <w:rPr/>
            </w:pPr>
            <w:r>
              <w:rPr/>
            </w:r>
          </w:p>
        </w:tc>
        <w:tc>
          <w:tcPr>
            <w:tcW w:w="1568" w:type="dxa"/>
            <w:tcBorders/>
            <w:vAlign w:val="center"/>
          </w:tcPr>
          <w:p>
            <w:pPr>
              <w:pStyle w:val="NoSpacing"/>
              <w:rPr>
                <w:sz w:val="16"/>
                <w:szCs w:val="16"/>
              </w:rPr>
            </w:pPr>
            <w:r>
              <w:rPr>
                <w:sz w:val="16"/>
                <w:szCs w:val="16"/>
              </w:rPr>
              <w:t>Назначение</w:t>
            </w:r>
          </w:p>
        </w:tc>
        <w:tc>
          <w:tcPr>
            <w:tcW w:w="1447" w:type="dxa"/>
            <w:tcBorders/>
            <w:vAlign w:val="center"/>
          </w:tcPr>
          <w:p>
            <w:pPr>
              <w:pStyle w:val="NoSpacing"/>
              <w:rPr>
                <w:sz w:val="16"/>
                <w:szCs w:val="16"/>
              </w:rPr>
            </w:pPr>
            <w:r>
              <w:rPr>
                <w:sz w:val="16"/>
                <w:szCs w:val="16"/>
              </w:rPr>
              <w:t>Предназначена для сухой печати на принтерах AGFADRYSTAR 5-тысячной серии  с актуальной версией ПО 6.4.0_C1</w:t>
            </w:r>
          </w:p>
        </w:tc>
        <w:tc>
          <w:tcPr>
            <w:tcW w:w="1325" w:type="dxa"/>
            <w:tcBorders/>
            <w:vAlign w:val="center"/>
          </w:tcPr>
          <w:p>
            <w:pPr>
              <w:pStyle w:val="NoSpacing"/>
              <w:jc w:val="center"/>
              <w:rPr>
                <w:sz w:val="16"/>
                <w:szCs w:val="16"/>
              </w:rPr>
            </w:pPr>
            <w:r>
              <w:rPr>
                <w:sz w:val="16"/>
                <w:szCs w:val="16"/>
              </w:rPr>
              <w:t>х</w:t>
            </w:r>
          </w:p>
        </w:tc>
        <w:tc>
          <w:tcPr>
            <w:tcW w:w="2774" w:type="dxa"/>
            <w:tcBorders/>
            <w:vAlign w:val="center"/>
          </w:tcPr>
          <w:p>
            <w:pPr>
              <w:pStyle w:val="NoSpacing"/>
              <w:rPr>
                <w:sz w:val="16"/>
                <w:szCs w:val="16"/>
              </w:rPr>
            </w:pPr>
            <w:r>
              <w:rPr>
                <w:sz w:val="16"/>
                <w:szCs w:val="16"/>
              </w:rPr>
              <w:t>Значение характеристики не может меняться</w:t>
            </w:r>
          </w:p>
        </w:tc>
        <w:tc>
          <w:tcPr>
            <w:tcW w:w="2770" w:type="dxa"/>
            <w:tcBorders/>
            <w:vAlign w:val="center"/>
          </w:tcPr>
          <w:p>
            <w:pPr>
              <w:pStyle w:val="NoSpacing"/>
              <w:jc w:val="center"/>
              <w:rPr>
                <w:sz w:val="16"/>
                <w:szCs w:val="16"/>
              </w:rPr>
            </w:pPr>
            <w:r>
              <w:rPr>
                <w:sz w:val="16"/>
                <w:szCs w:val="16"/>
              </w:rPr>
              <w:t>Обеспечивает совместимость пленки и принтера и получение изображения</w:t>
            </w:r>
          </w:p>
        </w:tc>
        <w:tc>
          <w:tcPr>
            <w:tcW w:w="912" w:type="dxa"/>
            <w:vMerge w:val="continue"/>
            <w:tcBorders/>
          </w:tcPr>
          <w:p>
            <w:pPr>
              <w:pStyle w:val="NoSpacing"/>
              <w:jc w:val="center"/>
              <w:rPr>
                <w:sz w:val="28"/>
                <w:szCs w:val="28"/>
              </w:rPr>
            </w:pPr>
            <w:r>
              <w:rPr>
                <w:sz w:val="28"/>
                <w:szCs w:val="28"/>
              </w:rPr>
            </w:r>
          </w:p>
        </w:tc>
        <w:tc>
          <w:tcPr>
            <w:tcW w:w="951" w:type="dxa"/>
            <w:vMerge w:val="continue"/>
            <w:tcBorders/>
          </w:tcPr>
          <w:p>
            <w:pPr>
              <w:pStyle w:val="NoSpacing"/>
              <w:jc w:val="center"/>
              <w:rPr>
                <w:sz w:val="28"/>
                <w:szCs w:val="28"/>
              </w:rPr>
            </w:pPr>
            <w:r>
              <w:rPr>
                <w:sz w:val="28"/>
                <w:szCs w:val="28"/>
              </w:rPr>
            </w:r>
          </w:p>
        </w:tc>
      </w:tr>
      <w:tr>
        <w:trPr>
          <w:trHeight w:val="861" w:hRule="atLeast"/>
        </w:trPr>
        <w:tc>
          <w:tcPr>
            <w:tcW w:w="332" w:type="dxa"/>
            <w:vMerge w:val="continue"/>
            <w:tcBorders/>
          </w:tcPr>
          <w:p>
            <w:pPr>
              <w:pStyle w:val="NoSpacing"/>
              <w:rPr/>
            </w:pPr>
            <w:r>
              <w:rPr/>
            </w:r>
          </w:p>
        </w:tc>
        <w:tc>
          <w:tcPr>
            <w:tcW w:w="1203" w:type="dxa"/>
            <w:vMerge w:val="continue"/>
            <w:tcBorders/>
          </w:tcPr>
          <w:p>
            <w:pPr>
              <w:pStyle w:val="NoSpacing"/>
              <w:jc w:val="center"/>
              <w:rPr/>
            </w:pPr>
            <w:r>
              <w:rPr/>
            </w:r>
          </w:p>
        </w:tc>
        <w:tc>
          <w:tcPr>
            <w:tcW w:w="1569" w:type="dxa"/>
            <w:vMerge w:val="continue"/>
            <w:tcBorders/>
          </w:tcPr>
          <w:p>
            <w:pPr>
              <w:pStyle w:val="NoSpacing"/>
              <w:jc w:val="center"/>
              <w:rPr/>
            </w:pPr>
            <w:r>
              <w:rPr/>
            </w:r>
          </w:p>
        </w:tc>
        <w:tc>
          <w:tcPr>
            <w:tcW w:w="1568" w:type="dxa"/>
            <w:tcBorders/>
          </w:tcPr>
          <w:p>
            <w:pPr>
              <w:pStyle w:val="NoSpacing"/>
              <w:rPr>
                <w:sz w:val="16"/>
                <w:szCs w:val="16"/>
              </w:rPr>
            </w:pPr>
            <w:r>
              <w:rPr>
                <w:sz w:val="16"/>
                <w:szCs w:val="16"/>
              </w:rPr>
              <w:t>Дополнительный лист с радиочипом в каждой коробке</w:t>
            </w:r>
          </w:p>
          <w:p>
            <w:pPr>
              <w:pStyle w:val="NoSpacing"/>
              <w:rPr>
                <w:sz w:val="16"/>
                <w:szCs w:val="16"/>
              </w:rPr>
            </w:pPr>
            <w:r>
              <w:rPr>
                <w:sz w:val="16"/>
                <w:szCs w:val="16"/>
              </w:rPr>
            </w:r>
          </w:p>
        </w:tc>
        <w:tc>
          <w:tcPr>
            <w:tcW w:w="1447" w:type="dxa"/>
            <w:tcBorders/>
            <w:vAlign w:val="center"/>
          </w:tcPr>
          <w:p>
            <w:pPr>
              <w:pStyle w:val="NoSpacing"/>
              <w:rPr>
                <w:sz w:val="16"/>
                <w:szCs w:val="16"/>
              </w:rPr>
            </w:pPr>
            <w:r>
              <w:rPr>
                <w:sz w:val="16"/>
                <w:szCs w:val="16"/>
              </w:rPr>
              <w:t>наличие</w:t>
            </w:r>
          </w:p>
        </w:tc>
        <w:tc>
          <w:tcPr>
            <w:tcW w:w="1325" w:type="dxa"/>
            <w:tcBorders/>
            <w:vAlign w:val="center"/>
          </w:tcPr>
          <w:p>
            <w:pPr>
              <w:pStyle w:val="NoSpacing"/>
              <w:jc w:val="center"/>
              <w:rPr>
                <w:sz w:val="16"/>
                <w:szCs w:val="16"/>
              </w:rPr>
            </w:pPr>
            <w:r>
              <w:rPr>
                <w:sz w:val="16"/>
                <w:szCs w:val="16"/>
              </w:rPr>
              <w:t>х</w:t>
            </w:r>
          </w:p>
        </w:tc>
        <w:tc>
          <w:tcPr>
            <w:tcW w:w="2774" w:type="dxa"/>
            <w:tcBorders/>
            <w:vAlign w:val="center"/>
          </w:tcPr>
          <w:p>
            <w:pPr>
              <w:pStyle w:val="NoSpacing"/>
              <w:rPr>
                <w:sz w:val="16"/>
                <w:szCs w:val="16"/>
              </w:rPr>
            </w:pPr>
            <w:r>
              <w:rPr>
                <w:sz w:val="16"/>
                <w:szCs w:val="16"/>
              </w:rPr>
              <w:t>Значение характеристики не может меняться</w:t>
            </w:r>
          </w:p>
        </w:tc>
        <w:tc>
          <w:tcPr>
            <w:tcW w:w="2770" w:type="dxa"/>
            <w:tcBorders/>
            <w:vAlign w:val="center"/>
          </w:tcPr>
          <w:p>
            <w:pPr>
              <w:pStyle w:val="NoSpacing"/>
              <w:jc w:val="center"/>
              <w:rPr>
                <w:sz w:val="16"/>
                <w:szCs w:val="16"/>
              </w:rPr>
            </w:pPr>
            <w:r>
              <w:rPr>
                <w:sz w:val="16"/>
                <w:szCs w:val="16"/>
              </w:rPr>
              <w:t>для обмена информацией с принтером.</w:t>
            </w:r>
          </w:p>
        </w:tc>
        <w:tc>
          <w:tcPr>
            <w:tcW w:w="912" w:type="dxa"/>
            <w:vMerge w:val="continue"/>
            <w:tcBorders/>
          </w:tcPr>
          <w:p>
            <w:pPr>
              <w:pStyle w:val="NoSpacing"/>
              <w:jc w:val="center"/>
              <w:rPr>
                <w:sz w:val="28"/>
                <w:szCs w:val="28"/>
              </w:rPr>
            </w:pPr>
            <w:r>
              <w:rPr>
                <w:sz w:val="28"/>
                <w:szCs w:val="28"/>
              </w:rPr>
            </w:r>
          </w:p>
        </w:tc>
        <w:tc>
          <w:tcPr>
            <w:tcW w:w="951" w:type="dxa"/>
            <w:vMerge w:val="continue"/>
            <w:tcBorders/>
          </w:tcPr>
          <w:p>
            <w:pPr>
              <w:pStyle w:val="NoSpacing"/>
              <w:jc w:val="center"/>
              <w:rPr>
                <w:sz w:val="28"/>
                <w:szCs w:val="28"/>
              </w:rPr>
            </w:pPr>
            <w:r>
              <w:rPr>
                <w:sz w:val="28"/>
                <w:szCs w:val="28"/>
              </w:rPr>
            </w:r>
          </w:p>
        </w:tc>
      </w:tr>
      <w:tr>
        <w:trPr>
          <w:trHeight w:val="90" w:hRule="atLeast"/>
        </w:trPr>
        <w:tc>
          <w:tcPr>
            <w:tcW w:w="332" w:type="dxa"/>
            <w:vMerge w:val="continue"/>
            <w:tcBorders/>
          </w:tcPr>
          <w:p>
            <w:pPr>
              <w:pStyle w:val="NoSpacing"/>
              <w:rPr/>
            </w:pPr>
            <w:r>
              <w:rPr/>
            </w:r>
          </w:p>
        </w:tc>
        <w:tc>
          <w:tcPr>
            <w:tcW w:w="1203" w:type="dxa"/>
            <w:vMerge w:val="continue"/>
            <w:tcBorders/>
          </w:tcPr>
          <w:p>
            <w:pPr>
              <w:pStyle w:val="NoSpacing"/>
              <w:jc w:val="center"/>
              <w:rPr/>
            </w:pPr>
            <w:r>
              <w:rPr/>
            </w:r>
          </w:p>
        </w:tc>
        <w:tc>
          <w:tcPr>
            <w:tcW w:w="1569" w:type="dxa"/>
            <w:vMerge w:val="continue"/>
            <w:tcBorders/>
          </w:tcPr>
          <w:p>
            <w:pPr>
              <w:pStyle w:val="NoSpacing"/>
              <w:jc w:val="center"/>
              <w:rPr/>
            </w:pPr>
            <w:r>
              <w:rPr/>
            </w:r>
          </w:p>
        </w:tc>
        <w:tc>
          <w:tcPr>
            <w:tcW w:w="9884" w:type="dxa"/>
            <w:gridSpan w:val="5"/>
            <w:tcBorders/>
          </w:tcPr>
          <w:p>
            <w:pPr>
              <w:pStyle w:val="NoSpacing"/>
              <w:jc w:val="center"/>
              <w:rPr>
                <w:b/>
                <w:sz w:val="16"/>
                <w:szCs w:val="16"/>
              </w:rPr>
            </w:pPr>
            <w:r>
              <w:rPr>
                <w:b/>
                <w:sz w:val="16"/>
                <w:szCs w:val="16"/>
                <w:lang w:eastAsia="en-US"/>
              </w:rPr>
              <w:t>Количественные дополнительные характеристики,</w:t>
            </w:r>
          </w:p>
          <w:p>
            <w:pPr>
              <w:pStyle w:val="NoSpacing"/>
              <w:jc w:val="center"/>
              <w:rPr>
                <w:sz w:val="16"/>
                <w:szCs w:val="16"/>
              </w:rPr>
            </w:pPr>
            <w:r>
              <w:rPr>
                <w:b/>
                <w:sz w:val="16"/>
                <w:szCs w:val="16"/>
                <w:lang w:eastAsia="en-US"/>
              </w:rPr>
              <w:t>не используемые в КТРУ</w:t>
            </w:r>
          </w:p>
        </w:tc>
        <w:tc>
          <w:tcPr>
            <w:tcW w:w="912" w:type="dxa"/>
            <w:vMerge w:val="continue"/>
            <w:tcBorders/>
          </w:tcPr>
          <w:p>
            <w:pPr>
              <w:pStyle w:val="NoSpacing"/>
              <w:jc w:val="center"/>
              <w:rPr>
                <w:sz w:val="28"/>
                <w:szCs w:val="28"/>
              </w:rPr>
            </w:pPr>
            <w:r>
              <w:rPr>
                <w:sz w:val="28"/>
                <w:szCs w:val="28"/>
              </w:rPr>
            </w:r>
          </w:p>
        </w:tc>
        <w:tc>
          <w:tcPr>
            <w:tcW w:w="951" w:type="dxa"/>
            <w:vMerge w:val="continue"/>
            <w:tcBorders/>
          </w:tcPr>
          <w:p>
            <w:pPr>
              <w:pStyle w:val="NoSpacing"/>
              <w:jc w:val="center"/>
              <w:rPr>
                <w:sz w:val="28"/>
                <w:szCs w:val="28"/>
              </w:rPr>
            </w:pPr>
            <w:r>
              <w:rPr>
                <w:sz w:val="28"/>
                <w:szCs w:val="28"/>
              </w:rPr>
            </w:r>
          </w:p>
        </w:tc>
      </w:tr>
      <w:tr>
        <w:trPr>
          <w:trHeight w:val="90" w:hRule="atLeast"/>
        </w:trPr>
        <w:tc>
          <w:tcPr>
            <w:tcW w:w="332" w:type="dxa"/>
            <w:vMerge w:val="continue"/>
            <w:tcBorders/>
          </w:tcPr>
          <w:p>
            <w:pPr>
              <w:pStyle w:val="NoSpacing"/>
              <w:rPr/>
            </w:pPr>
            <w:r>
              <w:rPr/>
            </w:r>
          </w:p>
        </w:tc>
        <w:tc>
          <w:tcPr>
            <w:tcW w:w="1203" w:type="dxa"/>
            <w:vMerge w:val="continue"/>
            <w:tcBorders/>
          </w:tcPr>
          <w:p>
            <w:pPr>
              <w:pStyle w:val="NoSpacing"/>
              <w:jc w:val="center"/>
              <w:rPr/>
            </w:pPr>
            <w:r>
              <w:rPr/>
            </w:r>
          </w:p>
        </w:tc>
        <w:tc>
          <w:tcPr>
            <w:tcW w:w="1569" w:type="dxa"/>
            <w:vMerge w:val="continue"/>
            <w:tcBorders/>
          </w:tcPr>
          <w:p>
            <w:pPr>
              <w:pStyle w:val="NoSpacing"/>
              <w:jc w:val="center"/>
              <w:rPr/>
            </w:pPr>
            <w:r>
              <w:rPr/>
            </w:r>
          </w:p>
        </w:tc>
        <w:tc>
          <w:tcPr>
            <w:tcW w:w="1568" w:type="dxa"/>
            <w:tcBorders/>
          </w:tcPr>
          <w:p>
            <w:pPr>
              <w:pStyle w:val="NoSpacing"/>
              <w:rPr>
                <w:sz w:val="16"/>
                <w:szCs w:val="16"/>
              </w:rPr>
            </w:pPr>
            <w:r>
              <w:rPr>
                <w:sz w:val="16"/>
                <w:szCs w:val="16"/>
              </w:rPr>
              <w:t>Количество листов в упаковке</w:t>
            </w:r>
          </w:p>
        </w:tc>
        <w:tc>
          <w:tcPr>
            <w:tcW w:w="1447" w:type="dxa"/>
            <w:tcBorders/>
            <w:vAlign w:val="center"/>
          </w:tcPr>
          <w:p>
            <w:pPr>
              <w:pStyle w:val="NoSpacing"/>
              <w:jc w:val="center"/>
              <w:rPr>
                <w:sz w:val="16"/>
                <w:szCs w:val="16"/>
              </w:rPr>
            </w:pPr>
            <w:r>
              <w:rPr>
                <w:sz w:val="16"/>
                <w:szCs w:val="16"/>
              </w:rPr>
              <w:t>100</w:t>
            </w:r>
          </w:p>
        </w:tc>
        <w:tc>
          <w:tcPr>
            <w:tcW w:w="1325" w:type="dxa"/>
            <w:tcBorders/>
            <w:vAlign w:val="center"/>
          </w:tcPr>
          <w:p>
            <w:pPr>
              <w:pStyle w:val="NoSpacing"/>
              <w:jc w:val="center"/>
              <w:rPr>
                <w:sz w:val="16"/>
                <w:szCs w:val="16"/>
              </w:rPr>
            </w:pPr>
            <w:r>
              <w:rPr>
                <w:sz w:val="16"/>
                <w:szCs w:val="16"/>
              </w:rPr>
              <w:t>штука</w:t>
            </w:r>
          </w:p>
        </w:tc>
        <w:tc>
          <w:tcPr>
            <w:tcW w:w="2774" w:type="dxa"/>
            <w:tcBorders/>
            <w:vAlign w:val="center"/>
          </w:tcPr>
          <w:p>
            <w:pPr>
              <w:pStyle w:val="NoSpacing"/>
              <w:rPr>
                <w:sz w:val="16"/>
                <w:szCs w:val="16"/>
              </w:rPr>
            </w:pPr>
            <w:r>
              <w:rPr>
                <w:sz w:val="16"/>
                <w:szCs w:val="16"/>
              </w:rPr>
              <w:t>Значение характеристики не может меняться</w:t>
            </w:r>
          </w:p>
        </w:tc>
        <w:tc>
          <w:tcPr>
            <w:tcW w:w="2770" w:type="dxa"/>
            <w:tcBorders/>
            <w:vAlign w:val="center"/>
          </w:tcPr>
          <w:p>
            <w:pPr>
              <w:pStyle w:val="NoSpacing"/>
              <w:jc w:val="center"/>
              <w:rPr>
                <w:sz w:val="16"/>
                <w:szCs w:val="16"/>
              </w:rPr>
            </w:pPr>
            <w:r>
              <w:rPr>
                <w:sz w:val="16"/>
                <w:szCs w:val="16"/>
              </w:rPr>
              <w:t>Обусловлено потоком пациентов</w:t>
            </w:r>
          </w:p>
        </w:tc>
        <w:tc>
          <w:tcPr>
            <w:tcW w:w="912" w:type="dxa"/>
            <w:vMerge w:val="continue"/>
            <w:tcBorders/>
          </w:tcPr>
          <w:p>
            <w:pPr>
              <w:pStyle w:val="NoSpacing"/>
              <w:jc w:val="center"/>
              <w:rPr>
                <w:sz w:val="28"/>
                <w:szCs w:val="28"/>
              </w:rPr>
            </w:pPr>
            <w:r>
              <w:rPr>
                <w:sz w:val="28"/>
                <w:szCs w:val="28"/>
              </w:rPr>
            </w:r>
          </w:p>
        </w:tc>
        <w:tc>
          <w:tcPr>
            <w:tcW w:w="951" w:type="dxa"/>
            <w:vMerge w:val="continue"/>
            <w:tcBorders/>
          </w:tcPr>
          <w:p>
            <w:pPr>
              <w:pStyle w:val="NoSpacing"/>
              <w:jc w:val="center"/>
              <w:rPr>
                <w:sz w:val="28"/>
                <w:szCs w:val="28"/>
              </w:rPr>
            </w:pPr>
            <w:r>
              <w:rPr>
                <w:sz w:val="28"/>
                <w:szCs w:val="28"/>
              </w:rPr>
            </w:r>
          </w:p>
        </w:tc>
      </w:tr>
      <w:tr>
        <w:trPr>
          <w:trHeight w:val="1121" w:hRule="atLeast"/>
        </w:trPr>
        <w:tc>
          <w:tcPr>
            <w:tcW w:w="332" w:type="dxa"/>
            <w:vMerge w:val="continue"/>
            <w:tcBorders/>
            <w:vAlign w:val="center"/>
          </w:tcPr>
          <w:p>
            <w:pPr>
              <w:pStyle w:val="NoSpacing"/>
              <w:rPr/>
            </w:pPr>
            <w:r>
              <w:rPr/>
            </w:r>
          </w:p>
        </w:tc>
        <w:tc>
          <w:tcPr>
            <w:tcW w:w="1203" w:type="dxa"/>
            <w:vMerge w:val="continue"/>
            <w:tcBorders/>
            <w:vAlign w:val="center"/>
          </w:tcPr>
          <w:p>
            <w:pPr>
              <w:pStyle w:val="NoSpacing"/>
              <w:jc w:val="center"/>
              <w:rPr/>
            </w:pPr>
            <w:r>
              <w:rPr/>
            </w:r>
          </w:p>
        </w:tc>
        <w:tc>
          <w:tcPr>
            <w:tcW w:w="1569" w:type="dxa"/>
            <w:vMerge w:val="continue"/>
            <w:tcBorders/>
            <w:vAlign w:val="center"/>
          </w:tcPr>
          <w:p>
            <w:pPr>
              <w:pStyle w:val="NoSpacing"/>
              <w:jc w:val="center"/>
              <w:rPr/>
            </w:pPr>
            <w:r>
              <w:rPr/>
            </w:r>
          </w:p>
        </w:tc>
        <w:tc>
          <w:tcPr>
            <w:tcW w:w="1568" w:type="dxa"/>
            <w:tcBorders/>
          </w:tcPr>
          <w:p>
            <w:pPr>
              <w:pStyle w:val="NoSpacing"/>
              <w:rPr>
                <w:sz w:val="16"/>
                <w:szCs w:val="16"/>
              </w:rPr>
            </w:pPr>
            <w:r>
              <w:rPr>
                <w:sz w:val="16"/>
                <w:szCs w:val="16"/>
              </w:rPr>
              <w:t>Дополнительный лист с радиочипом в каждой коробке</w:t>
            </w:r>
          </w:p>
        </w:tc>
        <w:tc>
          <w:tcPr>
            <w:tcW w:w="1447" w:type="dxa"/>
            <w:tcBorders/>
            <w:vAlign w:val="center"/>
          </w:tcPr>
          <w:p>
            <w:pPr>
              <w:pStyle w:val="NoSpacing"/>
              <w:jc w:val="center"/>
              <w:rPr>
                <w:sz w:val="16"/>
                <w:szCs w:val="16"/>
              </w:rPr>
            </w:pPr>
            <w:r>
              <w:rPr>
                <w:sz w:val="16"/>
                <w:szCs w:val="16"/>
              </w:rPr>
              <w:t>наличие</w:t>
            </w:r>
          </w:p>
        </w:tc>
        <w:tc>
          <w:tcPr>
            <w:tcW w:w="1325" w:type="dxa"/>
            <w:tcBorders/>
            <w:vAlign w:val="center"/>
          </w:tcPr>
          <w:p>
            <w:pPr>
              <w:pStyle w:val="NoSpacing"/>
              <w:jc w:val="center"/>
              <w:rPr>
                <w:sz w:val="16"/>
                <w:szCs w:val="16"/>
              </w:rPr>
            </w:pPr>
            <w:r>
              <w:rPr>
                <w:sz w:val="16"/>
                <w:szCs w:val="16"/>
              </w:rPr>
              <w:t>х</w:t>
            </w:r>
          </w:p>
        </w:tc>
        <w:tc>
          <w:tcPr>
            <w:tcW w:w="2774" w:type="dxa"/>
            <w:tcBorders/>
            <w:vAlign w:val="center"/>
          </w:tcPr>
          <w:p>
            <w:pPr>
              <w:pStyle w:val="NoSpacing"/>
              <w:rPr>
                <w:sz w:val="16"/>
                <w:szCs w:val="16"/>
              </w:rPr>
            </w:pPr>
            <w:r>
              <w:rPr>
                <w:sz w:val="16"/>
                <w:szCs w:val="16"/>
              </w:rPr>
              <w:t>Значение характеристики не может меняться</w:t>
            </w:r>
          </w:p>
        </w:tc>
        <w:tc>
          <w:tcPr>
            <w:tcW w:w="2770" w:type="dxa"/>
            <w:tcBorders/>
            <w:vAlign w:val="center"/>
          </w:tcPr>
          <w:p>
            <w:pPr>
              <w:pStyle w:val="NoSpacing"/>
              <w:jc w:val="center"/>
              <w:rPr>
                <w:sz w:val="16"/>
                <w:szCs w:val="16"/>
              </w:rPr>
            </w:pPr>
            <w:r>
              <w:rPr>
                <w:sz w:val="16"/>
                <w:szCs w:val="16"/>
              </w:rPr>
              <w:t>х</w:t>
            </w:r>
          </w:p>
        </w:tc>
        <w:tc>
          <w:tcPr>
            <w:tcW w:w="912" w:type="dxa"/>
            <w:vMerge w:val="continue"/>
            <w:tcBorders/>
            <w:vAlign w:val="center"/>
          </w:tcPr>
          <w:p>
            <w:pPr>
              <w:pStyle w:val="NoSpacing"/>
              <w:jc w:val="center"/>
              <w:rPr>
                <w:sz w:val="28"/>
                <w:szCs w:val="28"/>
              </w:rPr>
            </w:pPr>
            <w:r>
              <w:rPr>
                <w:sz w:val="28"/>
                <w:szCs w:val="28"/>
              </w:rPr>
            </w:r>
          </w:p>
        </w:tc>
        <w:tc>
          <w:tcPr>
            <w:tcW w:w="951" w:type="dxa"/>
            <w:vMerge w:val="continue"/>
            <w:tcBorders/>
            <w:vAlign w:val="center"/>
          </w:tcPr>
          <w:p>
            <w:pPr>
              <w:pStyle w:val="NoSpacing"/>
              <w:jc w:val="center"/>
              <w:rPr>
                <w:sz w:val="28"/>
                <w:szCs w:val="28"/>
              </w:rPr>
            </w:pPr>
            <w:r>
              <w:rPr>
                <w:sz w:val="28"/>
                <w:szCs w:val="28"/>
              </w:rPr>
            </w:r>
          </w:p>
        </w:tc>
      </w:tr>
    </w:tbl>
    <w:p>
      <w:pPr>
        <w:pStyle w:val="Normal"/>
        <w:rPr/>
      </w:pPr>
      <w:r>
        <w:rPr/>
      </w:r>
    </w:p>
    <w:p>
      <w:pPr>
        <w:pStyle w:val="Normal"/>
        <w:widowControl w:val="false"/>
        <w:ind w:firstLine="709"/>
        <w:jc w:val="both"/>
        <w:rPr>
          <w:color w:val="000000"/>
        </w:rPr>
      </w:pPr>
      <w:r>
        <w:rPr>
          <w:color w:val="000000"/>
        </w:rPr>
      </w:r>
    </w:p>
    <w:p>
      <w:pPr>
        <w:pStyle w:val="Normal"/>
        <w:widowControl w:val="false"/>
        <w:ind w:firstLine="709"/>
        <w:jc w:val="both"/>
        <w:rPr>
          <w:color w:val="000000"/>
        </w:rPr>
      </w:pPr>
      <w:r>
        <w:rPr>
          <w:color w:val="000000"/>
        </w:rPr>
        <w:t xml:space="preserve">* В связи с отсутствием дополнительных характеристик товара в КТРУ и в соответствии с пунктом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года N 145 заказчиком указаны потребительские свойства, в том числе функциональные, технические, качественные, эксплуатационные характеристики товара в соответствии с положениями статьи 33 Федерального закона 44-ФЗ, которые не предусмотрены в позиции каталога, а также </w:t>
      </w:r>
      <w:r>
        <w:rPr>
          <w:rFonts w:eastAsia="Calibri"/>
          <w:bCs/>
        </w:rPr>
        <w:t>особенностью пленки и совместимого с ней оборудования</w:t>
      </w:r>
      <w:r>
        <w:rPr>
          <w:color w:val="000000"/>
        </w:rPr>
        <w:t>.</w:t>
      </w:r>
    </w:p>
    <w:p>
      <w:pPr>
        <w:pStyle w:val="Normal"/>
        <w:widowControl w:val="false"/>
        <w:ind w:firstLine="709"/>
        <w:jc w:val="both"/>
        <w:rPr>
          <w:color w:val="000000"/>
        </w:rPr>
      </w:pPr>
      <w:r>
        <w:rPr>
          <w:color w:val="000000"/>
        </w:rPr>
      </w:r>
    </w:p>
    <w:p>
      <w:pPr>
        <w:pStyle w:val="Normal"/>
        <w:widowControl w:val="false"/>
        <w:ind w:firstLine="709"/>
        <w:jc w:val="both"/>
        <w:rPr>
          <w:color w:val="000000"/>
        </w:rPr>
      </w:pPr>
      <w:r>
        <w:rPr>
          <w:color w:val="000000"/>
        </w:rPr>
      </w:r>
    </w:p>
    <w:p>
      <w:pPr>
        <w:pStyle w:val="Normal"/>
        <w:rPr>
          <w:sz w:val="21"/>
          <w:szCs w:val="21"/>
        </w:rPr>
      </w:pPr>
      <w:r>
        <w:rPr>
          <w:sz w:val="21"/>
          <w:szCs w:val="21"/>
        </w:rPr>
        <w:t>1.1. Требования к качеству и безопасности товара, оказания услуг, выполнения работ: Товар должен быть новым (не бывшим в употреблении, не прошедшим ремонт, в том числе восстановление, замену составных частей, восстановления потребительских свойств).</w:t>
      </w:r>
    </w:p>
    <w:p>
      <w:pPr>
        <w:pStyle w:val="Normal"/>
        <w:rPr>
          <w:sz w:val="21"/>
          <w:szCs w:val="21"/>
        </w:rPr>
      </w:pPr>
      <w:r>
        <w:rPr>
          <w:sz w:val="21"/>
          <w:szCs w:val="21"/>
        </w:rPr>
        <w:t>На Товаре не должно быть механических повреждений.</w:t>
      </w:r>
    </w:p>
    <w:p>
      <w:pPr>
        <w:pStyle w:val="Normal"/>
        <w:rPr>
          <w:sz w:val="21"/>
          <w:szCs w:val="21"/>
        </w:rPr>
      </w:pPr>
      <w:r>
        <w:rPr>
          <w:sz w:val="21"/>
          <w:szCs w:val="21"/>
        </w:rPr>
        <w:t>Товар должен соответствовать действующим в Российской Федерации ГОСТам, техническим регламентам, санитарным нормам.</w:t>
      </w:r>
    </w:p>
    <w:p>
      <w:pPr>
        <w:pStyle w:val="Normal"/>
        <w:rPr>
          <w:sz w:val="21"/>
          <w:szCs w:val="21"/>
        </w:rPr>
      </w:pPr>
      <w:r>
        <w:rPr>
          <w:sz w:val="21"/>
          <w:szCs w:val="21"/>
        </w:rPr>
        <w:t>Товар должен быть свободным от любых прав третьих лиц, разрешенным к применению на территории Российской Федерации.</w:t>
      </w:r>
    </w:p>
    <w:p>
      <w:pPr>
        <w:pStyle w:val="Normal"/>
        <w:rPr>
          <w:sz w:val="21"/>
          <w:szCs w:val="21"/>
        </w:rPr>
      </w:pPr>
      <w:r>
        <w:rPr>
          <w:sz w:val="21"/>
          <w:szCs w:val="21"/>
        </w:rPr>
        <w:t>Товар должен отвечать требованиям качества, безопасности и другим требованиям, предъявленным законодательством Российской Федерации и Контрактом.</w:t>
      </w:r>
    </w:p>
    <w:p>
      <w:pPr>
        <w:pStyle w:val="Normal"/>
        <w:rPr>
          <w:sz w:val="21"/>
          <w:szCs w:val="21"/>
        </w:rPr>
      </w:pPr>
      <w:r>
        <w:rPr>
          <w:sz w:val="21"/>
          <w:szCs w:val="21"/>
        </w:rPr>
      </w:r>
    </w:p>
    <w:p>
      <w:pPr>
        <w:pStyle w:val="Normal"/>
        <w:rPr>
          <w:sz w:val="21"/>
          <w:szCs w:val="21"/>
        </w:rPr>
      </w:pPr>
      <w:r>
        <w:rPr>
          <w:sz w:val="21"/>
          <w:szCs w:val="21"/>
        </w:rPr>
        <w:t>1.2. Требования к упаковке, маркировке Товара:</w:t>
      </w:r>
    </w:p>
    <w:p>
      <w:pPr>
        <w:pStyle w:val="Normal"/>
        <w:rPr>
          <w:sz w:val="21"/>
          <w:szCs w:val="21"/>
        </w:rPr>
      </w:pPr>
      <w:r>
        <w:rPr>
          <w:sz w:val="21"/>
          <w:szCs w:val="21"/>
        </w:rPr>
        <w:t xml:space="preserve"> </w:t>
      </w:r>
      <w:r>
        <w:rPr>
          <w:sz w:val="21"/>
          <w:szCs w:val="21"/>
        </w:rPr>
        <w:t>Упаковка и маркировка Товара должны соответствовать требованиям:</w:t>
      </w:r>
    </w:p>
    <w:p>
      <w:pPr>
        <w:pStyle w:val="Normal"/>
        <w:rPr>
          <w:sz w:val="21"/>
          <w:szCs w:val="21"/>
        </w:rPr>
      </w:pPr>
      <w:r>
        <w:rPr>
          <w:sz w:val="21"/>
          <w:szCs w:val="21"/>
        </w:rPr>
        <w:t>Товар должен быть поставлен в упаковке (таре), обеспечивающей сохранность Товара при транспортировке и погрузо-разгрузочных работах, защиту Товара от их повреждения или порчи во время транспортировки к Месту поставки, погрузо-разгрузочных работ и хранения. Упаковка (тара) Товара и комплектующих Товара должна отвечать требованиям безопасности жизни, здоровья и охраны окружающей среды, обеспечивать условия транспортировки, предъявляемые к данному виду Товара.</w:t>
      </w:r>
    </w:p>
    <w:p>
      <w:pPr>
        <w:pStyle w:val="Normal"/>
        <w:rPr>
          <w:sz w:val="21"/>
          <w:szCs w:val="21"/>
        </w:rPr>
      </w:pPr>
      <w:r>
        <w:rPr>
          <w:sz w:val="21"/>
          <w:szCs w:val="21"/>
        </w:rPr>
        <w:t>Вся упаковка должна соответствовать требованиям законодательства Российской Федерации, иметь следующую маркировку:</w:t>
      </w:r>
    </w:p>
    <w:p>
      <w:pPr>
        <w:pStyle w:val="Normal"/>
        <w:rPr>
          <w:sz w:val="21"/>
          <w:szCs w:val="21"/>
        </w:rPr>
      </w:pPr>
      <w:r>
        <w:rPr>
          <w:sz w:val="21"/>
          <w:szCs w:val="21"/>
        </w:rPr>
        <w:t>Наименование Товара: _____________________</w:t>
      </w:r>
    </w:p>
    <w:p>
      <w:pPr>
        <w:pStyle w:val="Normal"/>
        <w:rPr>
          <w:sz w:val="21"/>
          <w:szCs w:val="21"/>
        </w:rPr>
      </w:pPr>
      <w:r>
        <w:rPr>
          <w:sz w:val="21"/>
          <w:szCs w:val="21"/>
        </w:rPr>
        <w:t>Контракт № _______________</w:t>
      </w:r>
    </w:p>
    <w:p>
      <w:pPr>
        <w:pStyle w:val="Normal"/>
        <w:rPr>
          <w:sz w:val="21"/>
          <w:szCs w:val="21"/>
        </w:rPr>
      </w:pPr>
      <w:r>
        <w:rPr>
          <w:sz w:val="21"/>
          <w:szCs w:val="21"/>
        </w:rPr>
        <w:t>Заказчик (название): ___________</w:t>
      </w:r>
    </w:p>
    <w:p>
      <w:pPr>
        <w:pStyle w:val="Normal"/>
        <w:rPr>
          <w:sz w:val="21"/>
          <w:szCs w:val="21"/>
        </w:rPr>
      </w:pPr>
      <w:r>
        <w:rPr>
          <w:sz w:val="21"/>
          <w:szCs w:val="21"/>
        </w:rPr>
        <w:t>Поставщик (название компании): _________</w:t>
      </w:r>
    </w:p>
    <w:p>
      <w:pPr>
        <w:pStyle w:val="Normal"/>
        <w:rPr>
          <w:sz w:val="21"/>
          <w:szCs w:val="21"/>
        </w:rPr>
      </w:pPr>
      <w:r>
        <w:rPr>
          <w:sz w:val="21"/>
          <w:szCs w:val="21"/>
        </w:rPr>
        <w:t>Получатель: ___________</w:t>
      </w:r>
    </w:p>
    <w:p>
      <w:pPr>
        <w:pStyle w:val="Normal"/>
        <w:rPr>
          <w:sz w:val="21"/>
          <w:szCs w:val="21"/>
        </w:rPr>
      </w:pPr>
      <w:r>
        <w:rPr>
          <w:sz w:val="21"/>
          <w:szCs w:val="21"/>
        </w:rPr>
        <w:t>Пункт назначения: _____________</w:t>
      </w:r>
    </w:p>
    <w:p>
      <w:pPr>
        <w:pStyle w:val="Normal"/>
        <w:rPr>
          <w:sz w:val="21"/>
          <w:szCs w:val="21"/>
        </w:rPr>
      </w:pPr>
      <w:r>
        <w:rPr>
          <w:sz w:val="21"/>
          <w:szCs w:val="21"/>
        </w:rPr>
        <w:t>Грузоотправитель: ______________</w:t>
      </w:r>
    </w:p>
    <w:p>
      <w:pPr>
        <w:pStyle w:val="Normal"/>
        <w:rPr>
          <w:sz w:val="21"/>
          <w:szCs w:val="21"/>
        </w:rPr>
      </w:pPr>
      <w:r>
        <w:rPr>
          <w:sz w:val="21"/>
          <w:szCs w:val="21"/>
        </w:rPr>
        <w:t>Ящик/контейнер № ______, всего ящиков/контейнеров _______</w:t>
      </w:r>
    </w:p>
    <w:p>
      <w:pPr>
        <w:pStyle w:val="Normal"/>
        <w:rPr>
          <w:sz w:val="21"/>
          <w:szCs w:val="21"/>
        </w:rPr>
      </w:pPr>
      <w:r>
        <w:rPr>
          <w:sz w:val="21"/>
          <w:szCs w:val="21"/>
        </w:rPr>
        <w:t>Размеры (высота, длина, ширина) _________</w:t>
      </w:r>
    </w:p>
    <w:p>
      <w:pPr>
        <w:pStyle w:val="Normal"/>
        <w:rPr>
          <w:sz w:val="21"/>
          <w:szCs w:val="21"/>
        </w:rPr>
      </w:pPr>
      <w:r>
        <w:rPr>
          <w:sz w:val="21"/>
          <w:szCs w:val="21"/>
        </w:rPr>
        <w:t>Вес брутто _____ кг</w:t>
      </w:r>
    </w:p>
    <w:p>
      <w:pPr>
        <w:pStyle w:val="Normal"/>
        <w:rPr>
          <w:sz w:val="21"/>
          <w:szCs w:val="21"/>
        </w:rPr>
      </w:pPr>
      <w:r>
        <w:rPr>
          <w:sz w:val="21"/>
          <w:szCs w:val="21"/>
        </w:rPr>
        <w:t>Вес нетто _____ кг</w:t>
      </w:r>
    </w:p>
    <w:p>
      <w:pPr>
        <w:pStyle w:val="Normal"/>
        <w:rPr>
          <w:sz w:val="21"/>
          <w:szCs w:val="21"/>
        </w:rPr>
      </w:pPr>
      <w:r>
        <w:rPr>
          <w:sz w:val="21"/>
          <w:szCs w:val="21"/>
        </w:rPr>
        <w:t>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pPr>
        <w:pStyle w:val="Normal"/>
        <w:rPr>
          <w:sz w:val="21"/>
          <w:szCs w:val="21"/>
        </w:rPr>
      </w:pPr>
      <w:r>
        <w:rPr>
          <w:sz w:val="21"/>
          <w:szCs w:val="21"/>
        </w:rPr>
        <w:tab/>
        <w:t>Вся упаковка должна соответствовать требованиям законодательства Российской Федерации, иметь маркировку на русском языке</w:t>
      </w:r>
    </w:p>
    <w:p>
      <w:pPr>
        <w:pStyle w:val="Normal"/>
        <w:rPr>
          <w:sz w:val="21"/>
          <w:szCs w:val="21"/>
        </w:rPr>
      </w:pPr>
      <w:r>
        <w:rPr>
          <w:sz w:val="21"/>
          <w:szCs w:val="21"/>
        </w:rPr>
        <w:tab/>
        <w:t>На поставляемых Товарах и их упаковке должны быть помещены товарные знаки, зарегистрированные в установленном порядке. Товарные знаки не помещаются на Товарах, которые в соответствии со стандартами (или техническими условиями) не подлежат маркировке.</w:t>
      </w:r>
    </w:p>
    <w:p>
      <w:pPr>
        <w:pStyle w:val="Normal"/>
        <w:rPr>
          <w:sz w:val="21"/>
          <w:szCs w:val="21"/>
        </w:rPr>
      </w:pPr>
      <w:r>
        <w:rPr>
          <w:sz w:val="21"/>
          <w:szCs w:val="21"/>
        </w:rPr>
        <w:tab/>
        <w:t>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 Товар, получивший при загрузке (разгрузке) и транспортировке повреждения (затрудняющие его использование по прямому назначению), считается не поставленным, Заказчик вправе отказаться от его приемки и оплаты.</w:t>
      </w:r>
    </w:p>
    <w:p>
      <w:pPr>
        <w:pStyle w:val="Normal"/>
        <w:rPr>
          <w:sz w:val="21"/>
          <w:szCs w:val="21"/>
        </w:rPr>
      </w:pPr>
      <w:r>
        <w:rPr>
          <w:sz w:val="21"/>
          <w:szCs w:val="21"/>
        </w:rPr>
        <w:tab/>
      </w:r>
    </w:p>
    <w:p>
      <w:pPr>
        <w:pStyle w:val="Normal"/>
        <w:rPr>
          <w:sz w:val="21"/>
          <w:szCs w:val="21"/>
        </w:rPr>
      </w:pPr>
      <w:r>
        <w:rPr>
          <w:sz w:val="21"/>
          <w:szCs w:val="21"/>
        </w:rPr>
        <w:t>2. Адрес поставки: Санкт-Петербург, ул. Вавиловых, дом 14, литера А (склад), с последующим перемещением в отделения Заказчика, далее – Место поставки. Доставка Товара в Место поставки осуществляется по рабочим дням с 09:00 до 16:00. Факт доставки Товара в Место поставки фиксируется Сторонами путем подписания товарной накладной или иного документа, подтверждающего факт доставки Товара.</w:t>
      </w:r>
    </w:p>
    <w:p>
      <w:pPr>
        <w:pStyle w:val="Normal"/>
        <w:rPr>
          <w:sz w:val="21"/>
          <w:szCs w:val="21"/>
        </w:rPr>
      </w:pPr>
      <w:r>
        <w:rPr>
          <w:sz w:val="21"/>
          <w:szCs w:val="21"/>
        </w:rPr>
      </w:r>
    </w:p>
    <w:p>
      <w:pPr>
        <w:pStyle w:val="Normal"/>
        <w:rPr>
          <w:sz w:val="21"/>
          <w:szCs w:val="21"/>
        </w:rPr>
      </w:pPr>
      <w:r>
        <w:rPr>
          <w:sz w:val="21"/>
          <w:szCs w:val="21"/>
        </w:rPr>
        <w:t>3. Сопроводительные документы:</w:t>
      </w:r>
    </w:p>
    <w:p>
      <w:pPr>
        <w:pStyle w:val="Normal"/>
        <w:rPr>
          <w:sz w:val="21"/>
          <w:szCs w:val="21"/>
        </w:rPr>
      </w:pPr>
      <w:r>
        <w:rPr>
          <w:sz w:val="21"/>
          <w:szCs w:val="21"/>
        </w:rPr>
        <w:t>а) товарная накладная, оформленная в установленном порядке (со ссылкой на дату и номер Контракта) в 2 (двух) экземплярах;</w:t>
      </w:r>
    </w:p>
    <w:p>
      <w:pPr>
        <w:pStyle w:val="Normal"/>
        <w:rPr>
          <w:sz w:val="21"/>
          <w:szCs w:val="21"/>
        </w:rPr>
      </w:pPr>
      <w:r>
        <w:rPr>
          <w:sz w:val="21"/>
          <w:szCs w:val="21"/>
        </w:rPr>
        <w:t>б) счет-фактура с указанием Товара, выставленная Заказчику (при налогообложении НДС, со ссылкой на дату и номер Контракта)1;</w:t>
      </w:r>
    </w:p>
    <w:p>
      <w:pPr>
        <w:pStyle w:val="Normal"/>
        <w:rPr>
          <w:sz w:val="21"/>
          <w:szCs w:val="21"/>
        </w:rPr>
      </w:pPr>
      <w:r>
        <w:rPr>
          <w:sz w:val="21"/>
          <w:szCs w:val="21"/>
        </w:rPr>
        <w:t>Допускается замена счет-фактуры и товарной накладной на универсальный передаточный документ (УПД).</w:t>
      </w:r>
    </w:p>
    <w:p>
      <w:pPr>
        <w:pStyle w:val="Normal"/>
        <w:rPr>
          <w:sz w:val="21"/>
          <w:szCs w:val="21"/>
        </w:rPr>
      </w:pPr>
      <w:r>
        <w:rPr>
          <w:sz w:val="21"/>
          <w:szCs w:val="21"/>
        </w:rPr>
        <w:t>в) счет (со ссылкой на дату и номер Контракта);</w:t>
      </w:r>
    </w:p>
    <w:p>
      <w:pPr>
        <w:pStyle w:val="Normal"/>
        <w:rPr>
          <w:sz w:val="21"/>
          <w:szCs w:val="21"/>
        </w:rPr>
      </w:pPr>
      <w:r>
        <w:rPr>
          <w:sz w:val="21"/>
          <w:szCs w:val="21"/>
        </w:rPr>
        <w:t>г) Акт приема-передачи Товара (в 2 (двух) экземплярах: 1 (один) экземпляр для Заказчика, 1 (один) экземпляр для Поставщика, подписанный со Стороны Поставщика;</w:t>
      </w:r>
    </w:p>
    <w:p>
      <w:pPr>
        <w:pStyle w:val="Normal"/>
        <w:rPr>
          <w:sz w:val="21"/>
          <w:szCs w:val="21"/>
        </w:rPr>
      </w:pPr>
      <w:r>
        <w:rPr>
          <w:sz w:val="21"/>
          <w:szCs w:val="21"/>
        </w:rPr>
        <w:t>д) копии регистрационных удостоверений на Товар, заверенные в установленном законом порядке2;</w:t>
      </w:r>
    </w:p>
    <w:p>
      <w:pPr>
        <w:pStyle w:val="Normal"/>
        <w:rPr>
          <w:sz w:val="21"/>
          <w:szCs w:val="21"/>
        </w:rPr>
      </w:pPr>
      <w:r>
        <w:rPr>
          <w:sz w:val="21"/>
          <w:szCs w:val="21"/>
        </w:rPr>
        <w:t>е) копии сертификатов и/или деклараций соответствия на Товар, заверенные в установленном законом порядке;3</w:t>
      </w:r>
    </w:p>
    <w:p>
      <w:pPr>
        <w:pStyle w:val="Normal"/>
        <w:rPr>
          <w:sz w:val="21"/>
          <w:szCs w:val="21"/>
        </w:rPr>
      </w:pPr>
      <w:r>
        <w:rPr>
          <w:sz w:val="21"/>
          <w:szCs w:val="21"/>
        </w:rPr>
        <w:t>ж) копии санитарно-эпидемиологических заключений на Товар, выданных Роспотребнадзором, заверенные в установленном законом порядке;4</w:t>
      </w:r>
    </w:p>
    <w:p>
      <w:pPr>
        <w:pStyle w:val="Normal"/>
        <w:rPr>
          <w:sz w:val="21"/>
          <w:szCs w:val="21"/>
        </w:rPr>
      </w:pPr>
      <w:r>
        <w:rPr>
          <w:sz w:val="21"/>
          <w:szCs w:val="21"/>
        </w:rPr>
        <w:t>з) документы, подтверждающие страну происхождения Товара;</w:t>
      </w:r>
    </w:p>
    <w:p>
      <w:pPr>
        <w:pStyle w:val="Normal"/>
        <w:rPr>
          <w:sz w:val="21"/>
          <w:szCs w:val="21"/>
        </w:rPr>
      </w:pPr>
      <w:r>
        <w:rPr>
          <w:sz w:val="21"/>
          <w:szCs w:val="21"/>
        </w:rPr>
        <w:t>и) руководство и (или) инструкцию по эксплуатации (пользователя) на Товар на русском языке на бумажном носителе, технический паспорт на Товар (при наличии);</w:t>
      </w:r>
    </w:p>
    <w:p>
      <w:pPr>
        <w:pStyle w:val="Normal"/>
        <w:rPr>
          <w:sz w:val="21"/>
          <w:szCs w:val="21"/>
        </w:rPr>
      </w:pPr>
      <w:r>
        <w:rPr>
          <w:sz w:val="21"/>
          <w:szCs w:val="21"/>
        </w:rPr>
        <w:t>к) гарантию производителя на Товар, срок действия которой составляет не менее 12 месяцев, оформленную в виде отдельного документа;</w:t>
      </w:r>
    </w:p>
    <w:p>
      <w:pPr>
        <w:pStyle w:val="Normal"/>
        <w:rPr>
          <w:sz w:val="21"/>
          <w:szCs w:val="21"/>
        </w:rPr>
      </w:pPr>
      <w:r>
        <w:rPr>
          <w:sz w:val="21"/>
          <w:szCs w:val="21"/>
        </w:rPr>
        <w:t>л)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pPr>
        <w:pStyle w:val="Normal"/>
        <w:rPr>
          <w:sz w:val="21"/>
          <w:szCs w:val="21"/>
        </w:rPr>
      </w:pPr>
      <w:r>
        <w:rPr>
          <w:sz w:val="21"/>
          <w:szCs w:val="21"/>
        </w:rPr>
        <w:t>На всех документах, указанных в подпунктах «а» - «г» пункта 2 Технического задания, должны быть указаны наименование Заказчика, Поставщика, номер и дата заключения Контракта, даты оформления документов.</w:t>
      </w:r>
    </w:p>
    <w:p>
      <w:pPr>
        <w:pStyle w:val="Normal"/>
        <w:rPr>
          <w:sz w:val="21"/>
          <w:szCs w:val="21"/>
        </w:rPr>
      </w:pPr>
      <w:r>
        <w:rPr>
          <w:sz w:val="21"/>
          <w:szCs w:val="21"/>
        </w:rPr>
      </w:r>
    </w:p>
    <w:p>
      <w:pPr>
        <w:pStyle w:val="Normal"/>
        <w:rPr>
          <w:sz w:val="21"/>
          <w:szCs w:val="21"/>
        </w:rPr>
      </w:pPr>
      <w:r>
        <w:rPr>
          <w:sz w:val="21"/>
          <w:szCs w:val="21"/>
        </w:rPr>
        <w:t>4. Срок поставки: поставка Товара осуществляется силами и средствами Поставщика, партиями по заявкам Заказчика в течение 5 (пяти) рабочих дней с момента поступления заявки от Заказчика, а в случае указания в заявке Заказчика о необходимости срочной поставки – в течение 24 часов с момента поступления заявки. Заявки направляются в период действия Контракта</w:t>
        <w:t xml:space="preserve">, </w:t>
      </w:r>
      <w:r>
        <w:rPr>
          <w:sz w:val="21"/>
          <w:szCs w:val="21"/>
        </w:rPr>
        <w:t>з</w:t>
      </w:r>
      <w:r>
        <w:rPr>
          <w:sz w:val="21"/>
          <w:szCs w:val="21"/>
        </w:rPr>
        <w:t>аявка направляется на адрес электронной почты поставщика с адреса электронной почты Заказчика  opz@eliz-spb.ru.</w:t>
      </w:r>
    </w:p>
    <w:p>
      <w:pPr>
        <w:pStyle w:val="Normal"/>
        <w:rPr>
          <w:sz w:val="21"/>
          <w:szCs w:val="21"/>
        </w:rPr>
      </w:pPr>
      <w:r>
        <w:rPr>
          <w:sz w:val="21"/>
          <w:szCs w:val="21"/>
        </w:rPr>
      </w:r>
    </w:p>
    <w:p>
      <w:pPr>
        <w:pStyle w:val="Normal"/>
        <w:rPr>
          <w:sz w:val="21"/>
          <w:szCs w:val="21"/>
        </w:rPr>
      </w:pPr>
      <w:r>
        <w:rPr>
          <w:sz w:val="21"/>
          <w:szCs w:val="21"/>
        </w:rPr>
        <w:t>5. Порядок приемки:</w:t>
      </w:r>
    </w:p>
    <w:p>
      <w:pPr>
        <w:pStyle w:val="Normal"/>
        <w:rPr>
          <w:sz w:val="21"/>
          <w:szCs w:val="21"/>
        </w:rPr>
      </w:pPr>
      <w:r>
        <w:rPr>
          <w:sz w:val="21"/>
          <w:szCs w:val="21"/>
        </w:rPr>
        <w:t>5.1. Приемка поставленного Товара осуществляется в ходе передачи Товара Заказчику в Месте поставки и включает в себя следующее:</w:t>
      </w:r>
    </w:p>
    <w:p>
      <w:pPr>
        <w:pStyle w:val="Normal"/>
        <w:rPr>
          <w:sz w:val="21"/>
          <w:szCs w:val="21"/>
        </w:rPr>
      </w:pPr>
      <w:r>
        <w:rPr>
          <w:sz w:val="21"/>
          <w:szCs w:val="21"/>
        </w:rPr>
        <w:t>а) проверку соответствия наименования, количества и иных характеристик поставляемого Товара, указанных в Спецификации (Приложение № 1 к Контракту), сведениям, содержащимся в транспортных и сопроводительных документах Поставщика;</w:t>
      </w:r>
    </w:p>
    <w:p>
      <w:pPr>
        <w:pStyle w:val="Normal"/>
        <w:rPr>
          <w:sz w:val="21"/>
          <w:szCs w:val="21"/>
        </w:rPr>
      </w:pPr>
      <w:r>
        <w:rPr>
          <w:sz w:val="21"/>
          <w:szCs w:val="21"/>
        </w:rPr>
        <w:t>б) проверку полноты и правильности оформления комплекта сопроводительных документов в соответствии с условиями Контракта;</w:t>
      </w:r>
    </w:p>
    <w:p>
      <w:pPr>
        <w:pStyle w:val="Normal"/>
        <w:rPr>
          <w:sz w:val="21"/>
          <w:szCs w:val="21"/>
        </w:rPr>
      </w:pPr>
      <w:r>
        <w:rPr>
          <w:sz w:val="21"/>
          <w:szCs w:val="21"/>
        </w:rPr>
        <w:t>в) контроль наличия/отсутствия внешних повреждений транспортной и оригинальной упаковки Товара;</w:t>
      </w:r>
    </w:p>
    <w:p>
      <w:pPr>
        <w:pStyle w:val="Normal"/>
        <w:rPr>
          <w:sz w:val="21"/>
          <w:szCs w:val="21"/>
        </w:rPr>
      </w:pPr>
      <w:r>
        <w:rPr>
          <w:sz w:val="21"/>
          <w:szCs w:val="21"/>
        </w:rPr>
        <w:t>г) проверку наличия необходимых документов (копий документов) на Товар в соответствии с подпунктами «д» - «л» пункта 3 Технического задания;</w:t>
      </w:r>
    </w:p>
    <w:p>
      <w:pPr>
        <w:pStyle w:val="Normal"/>
        <w:rPr>
          <w:sz w:val="21"/>
          <w:szCs w:val="21"/>
        </w:rPr>
      </w:pPr>
      <w:r>
        <w:rPr>
          <w:sz w:val="21"/>
          <w:szCs w:val="21"/>
        </w:rPr>
        <w:t>д) проверку целостности поставленного Товара (наличие/отсутствие дефектов непроизводственного характера);</w:t>
      </w:r>
    </w:p>
    <w:p>
      <w:pPr>
        <w:pStyle w:val="Normal"/>
        <w:rPr>
          <w:sz w:val="21"/>
          <w:szCs w:val="21"/>
        </w:rPr>
      </w:pPr>
      <w:r>
        <w:rPr>
          <w:sz w:val="21"/>
          <w:szCs w:val="21"/>
        </w:rPr>
        <w:t>е) проверку количества Товара, комплектности Товара, качества Товара и иных требований к Товару, предусмотренных Контрактом.</w:t>
      </w:r>
    </w:p>
    <w:p>
      <w:pPr>
        <w:pStyle w:val="Normal"/>
        <w:rPr>
          <w:sz w:val="21"/>
          <w:szCs w:val="21"/>
        </w:rPr>
      </w:pPr>
      <w:r>
        <w:rPr>
          <w:sz w:val="21"/>
          <w:szCs w:val="21"/>
        </w:rPr>
        <w:t>По факту приемки Товара Поставщик и Заказчик подписывают Акт приема-передачи Товара, подтверждающий приемку Товара. Фактической датой поставки считается дата, указанная в Акте приема-передачи Товара.</w:t>
      </w:r>
    </w:p>
    <w:p>
      <w:pPr>
        <w:pStyle w:val="Normal"/>
        <w:rPr>
          <w:sz w:val="21"/>
          <w:szCs w:val="21"/>
        </w:rPr>
      </w:pPr>
      <w:r>
        <w:rPr>
          <w:sz w:val="21"/>
          <w:szCs w:val="21"/>
        </w:rPr>
        <w:t>5.2. Заказчик в течение 3 (трех) рабочих дней с даты передачи Товара в Месте поставки и предоставления полного пакета надлежащим образом оформленных документов, указанных в пункте 3 Технического задания, осуществляет приемку Товара, в том числе проверку Товара по наименованию, количеству, комплектности, качеству, требованиям к маркировке и упаковке, а также документов, предусмотренных пунктом 3 Технического задания.</w:t>
      </w:r>
    </w:p>
    <w:p>
      <w:pPr>
        <w:pStyle w:val="Normal"/>
        <w:rPr>
          <w:sz w:val="21"/>
          <w:szCs w:val="21"/>
        </w:rPr>
      </w:pPr>
      <w:r>
        <w:rPr>
          <w:sz w:val="21"/>
          <w:szCs w:val="21"/>
        </w:rPr>
        <w:t>5.2.1. В случае отсутствия замечаний, Заказчик подписывает Акт приема-передачи Товара.</w:t>
      </w:r>
    </w:p>
    <w:p>
      <w:pPr>
        <w:pStyle w:val="Normal"/>
        <w:rPr>
          <w:sz w:val="21"/>
          <w:szCs w:val="21"/>
        </w:rPr>
      </w:pPr>
      <w:r>
        <w:rPr>
          <w:sz w:val="21"/>
          <w:szCs w:val="21"/>
        </w:rPr>
        <w:t>При наличии замечаний в случае несоответствия Товара условиям Контракта или отсутствия необходимых документов или предоставление документов, не соответствующих Контракту или Закону о контрактной системе, Заказчик направляет мотивированный отказ от подписания, в котором указываются недостатки и сроки их устранения.</w:t>
      </w:r>
    </w:p>
    <w:p>
      <w:pPr>
        <w:pStyle w:val="Normal"/>
        <w:rPr>
          <w:sz w:val="21"/>
          <w:szCs w:val="21"/>
        </w:rPr>
      </w:pPr>
      <w:r>
        <w:rPr>
          <w:sz w:val="21"/>
          <w:szCs w:val="21"/>
        </w:rPr>
        <w:t>5.3. Некачественный Товар, признанный таковым в момент приемки Товара Заказчиком, должен быть заменен Поставщиком на Товар, соответствующей условиям Контракта, непредставленные документы должны быть представлены Заказчику в течение 3 (трех) дней с момента получения мотивированного отказа от приемки Товара.</w:t>
      </w:r>
    </w:p>
    <w:p>
      <w:pPr>
        <w:pStyle w:val="Normal"/>
        <w:rPr>
          <w:sz w:val="21"/>
          <w:szCs w:val="21"/>
        </w:rPr>
      </w:pPr>
      <w:r>
        <w:rPr>
          <w:sz w:val="21"/>
          <w:szCs w:val="21"/>
        </w:rPr>
        <w:t>5.4. Некомплектный Товар, признанный таковым в момент приемки Товара Заказчиком, должен быть доукомплектован или заменен Поставщиком на Товар, соответствующей условиям Контракта, в течение 3 (трех) часов с момента получения от Заказчика соответствующего требования.</w:t>
      </w:r>
    </w:p>
    <w:p>
      <w:pPr>
        <w:pStyle w:val="Normal"/>
        <w:rPr>
          <w:sz w:val="21"/>
          <w:szCs w:val="21"/>
        </w:rPr>
      </w:pPr>
      <w:r>
        <w:rPr>
          <w:sz w:val="21"/>
          <w:szCs w:val="21"/>
        </w:rPr>
        <w:t>5.5. При поставке Товара в объеме меньшем, чем указано в Спецификации (Приложение № 1 к Контракту) Поставщик по требованию Заказчика обязан допоставить недостающий Товар в течение 3 (трех) часов с момента получения от Заказчика соответствующего требования.</w:t>
      </w:r>
    </w:p>
    <w:p>
      <w:pPr>
        <w:pStyle w:val="Normal"/>
        <w:rPr>
          <w:sz w:val="21"/>
          <w:szCs w:val="21"/>
        </w:rPr>
      </w:pPr>
      <w:r>
        <w:rPr>
          <w:sz w:val="21"/>
          <w:szCs w:val="21"/>
        </w:rPr>
        <w:t>5.6. Заказчик вправе отказаться от поставленного Товара в случае обнаружения недостатков, которые исключают возможность его использования и не могут быть устранены Поставщиком в разумный срок, а также в случае непредставления необходимых документов.</w:t>
      </w:r>
    </w:p>
    <w:p>
      <w:pPr>
        <w:pStyle w:val="Normal"/>
        <w:rPr>
          <w:sz w:val="21"/>
          <w:szCs w:val="21"/>
        </w:rPr>
      </w:pPr>
      <w:r>
        <w:rPr>
          <w:sz w:val="21"/>
          <w:szCs w:val="21"/>
        </w:rPr>
        <w:t xml:space="preserve">5.7. Соответствие поставленного Товара условиям Контракта определяется в ходе экспертизы, организуемой Заказчиком, в соответствии с требованием части 3 статьи 94 Закона о контрактной системе. Экспертиза может проводиться силами Заказчика или к ее проведению могут привлекаться эксперты, экспертные организации. </w:t>
      </w:r>
    </w:p>
    <w:p>
      <w:pPr>
        <w:pStyle w:val="Normal"/>
        <w:rPr>
          <w:sz w:val="21"/>
          <w:szCs w:val="21"/>
        </w:rPr>
      </w:pPr>
      <w:r>
        <w:rPr>
          <w:sz w:val="21"/>
          <w:szCs w:val="21"/>
        </w:rPr>
        <w:t>5.7.1. При проведении экспертизы Заказчик вправе запрашивать дополнительные материалы, относящиеся к условиям исполнения Контракта и/или отдельных этапов исполнения Контракта. Такой запрос должен быть направлен в пределах срока, установленного для приемки Товара в соответствии с п. 5.2 Технического задания. Данный запрос должен содержать срок предоставления необходимых материалов. В целях осуществления проверки поставленного Товара Заказчик вправе истребовать у Поставщика документы, подтверждающие соответствующие качественные характеристики поставленного Товара (паспорт, сертификат качества и т.п.).</w:t>
      </w:r>
    </w:p>
    <w:p>
      <w:pPr>
        <w:pStyle w:val="Normal"/>
        <w:rPr>
          <w:sz w:val="21"/>
          <w:szCs w:val="21"/>
        </w:rPr>
      </w:pPr>
      <w:r>
        <w:rPr>
          <w:sz w:val="21"/>
          <w:szCs w:val="21"/>
        </w:rPr>
        <w:t>5.7.2. В случае запроса дополнительных материалов в соответствии с п. 5.7.1 Технического задания, срок проведения экспертизы пролонгируется на время предоставления дополнительных материалов, но не более, чем на 15 (пятнадцать) рабочих дней с даты получения запрошенных материалов.</w:t>
      </w:r>
    </w:p>
    <w:p>
      <w:pPr>
        <w:pStyle w:val="Normal"/>
        <w:rPr>
          <w:sz w:val="21"/>
          <w:szCs w:val="21"/>
        </w:rPr>
      </w:pPr>
      <w:r>
        <w:rPr>
          <w:sz w:val="21"/>
          <w:szCs w:val="21"/>
        </w:rPr>
        <w:t>5.7.3. В случае, если после предоставления материалов у Заказчика будут отсутствовать замечания к поставленному Товару, то такой Товар будет считаться принятым в установленный Контрактом срок.</w:t>
      </w:r>
    </w:p>
    <w:p>
      <w:pPr>
        <w:pStyle w:val="Normal"/>
        <w:rPr>
          <w:sz w:val="21"/>
          <w:szCs w:val="21"/>
        </w:rPr>
      </w:pPr>
      <w:r>
        <w:rPr>
          <w:sz w:val="21"/>
          <w:szCs w:val="21"/>
        </w:rPr>
        <w:t>5.7.4. В случае, если после предоставления материалов Заказчиком будет направлен мотивированный отказ от приемки поставленного Товара, то в случае устранения недостатков, поименованных в мотивированном отказе, в установленный Заказчиком срок, Товар будет считаться поставленным без нарушения срока по Контракту.</w:t>
      </w:r>
    </w:p>
    <w:p>
      <w:pPr>
        <w:pStyle w:val="Normal"/>
        <w:rPr>
          <w:sz w:val="21"/>
          <w:szCs w:val="21"/>
        </w:rPr>
      </w:pPr>
      <w:r>
        <w:rPr>
          <w:sz w:val="21"/>
          <w:szCs w:val="21"/>
        </w:rPr>
      </w:r>
    </w:p>
    <w:p>
      <w:pPr>
        <w:pStyle w:val="Normal"/>
        <w:rPr>
          <w:sz w:val="21"/>
          <w:szCs w:val="21"/>
        </w:rPr>
      </w:pPr>
      <w:r>
        <w:rPr>
          <w:sz w:val="21"/>
          <w:szCs w:val="21"/>
        </w:rPr>
        <w:t>6. Срок замены некачественного Товара, Гарантийный срок/ срок годности на заменяемый товар:</w:t>
      </w:r>
    </w:p>
    <w:p>
      <w:pPr>
        <w:pStyle w:val="Normal"/>
        <w:rPr>
          <w:sz w:val="21"/>
          <w:szCs w:val="21"/>
        </w:rPr>
      </w:pPr>
      <w:r>
        <w:rPr>
          <w:sz w:val="21"/>
          <w:szCs w:val="21"/>
        </w:rPr>
        <w:t>6.1. Гарантийный срок/ срок годности составляет не менее 12 месяцев. Заказчик вправе предъявить претензии к Поставщику, связанные со скрытыми недостатками Товара по качеству, которые были умышленно скрыты Поставщиком либо которые не могли быть обнаружены при обычном способе приемки Товара, и выявлены лишь в процессе обработки, испытания, использования и хранения Товара.</w:t>
      </w:r>
    </w:p>
    <w:p>
      <w:pPr>
        <w:pStyle w:val="Normal"/>
        <w:rPr>
          <w:sz w:val="21"/>
          <w:szCs w:val="21"/>
        </w:rPr>
      </w:pPr>
      <w:r>
        <w:rPr>
          <w:sz w:val="21"/>
          <w:szCs w:val="21"/>
        </w:rPr>
        <w:t>6.2. Претензия по качеству Товара оформляется в письменной форме в течение 10 (десяти) рабочих дней с момента обнаружения скрытых недостатков Товара.</w:t>
      </w:r>
    </w:p>
    <w:p>
      <w:pPr>
        <w:pStyle w:val="Normal"/>
        <w:rPr>
          <w:sz w:val="21"/>
          <w:szCs w:val="21"/>
        </w:rPr>
      </w:pPr>
      <w:r>
        <w:rPr>
          <w:sz w:val="21"/>
          <w:szCs w:val="21"/>
        </w:rPr>
        <w:t>6.3. Поставщик обязан в течение 2 (двух) рабочих дней с момента получения претензии за свой счет произвести устранение скрытых недостатков Товара либо по согласованию с Заказчиком заменить некачественный Товар на Товар, соответствующий требованиям Договора.</w:t>
      </w:r>
    </w:p>
    <w:p>
      <w:pPr>
        <w:pStyle w:val="Normal"/>
        <w:rPr>
          <w:sz w:val="21"/>
          <w:szCs w:val="21"/>
        </w:rPr>
      </w:pPr>
      <w:r>
        <w:rPr>
          <w:sz w:val="21"/>
          <w:szCs w:val="21"/>
        </w:rPr>
        <w:t>6.4. Расходы по возврату Товара, восстановлению, замене Товара, производятся силами и за счет средств Поставщика</w:t>
      </w:r>
    </w:p>
    <w:p>
      <w:pPr>
        <w:pStyle w:val="Normal"/>
        <w:ind w:firstLine="709"/>
        <w:rPr>
          <w:szCs w:val="28"/>
          <w:lang w:eastAsia="en-US"/>
        </w:rPr>
      </w:pPr>
      <w:r>
        <w:rPr>
          <w:szCs w:val="28"/>
          <w:lang w:eastAsia="en-US"/>
        </w:rPr>
      </w:r>
    </w:p>
    <w:p>
      <w:pPr>
        <w:pStyle w:val="Normal"/>
        <w:tabs>
          <w:tab w:val="clear" w:pos="708"/>
          <w:tab w:val="left" w:pos="567" w:leader="none"/>
        </w:tabs>
        <w:jc w:val="both"/>
        <w:rPr>
          <w:sz w:val="20"/>
          <w:szCs w:val="20"/>
        </w:rPr>
      </w:pPr>
      <w:r>
        <w:rPr>
          <w:sz w:val="20"/>
          <w:szCs w:val="20"/>
        </w:rPr>
      </w:r>
    </w:p>
    <w:p>
      <w:pPr>
        <w:pStyle w:val="Normal"/>
        <w:tabs>
          <w:tab w:val="clear" w:pos="708"/>
          <w:tab w:val="left" w:pos="1701" w:leader="none"/>
        </w:tabs>
        <w:jc w:val="both"/>
        <w:rPr>
          <w:sz w:val="20"/>
          <w:szCs w:val="20"/>
        </w:rPr>
      </w:pPr>
      <w:r>
        <w:rPr>
          <w:sz w:val="20"/>
          <w:szCs w:val="20"/>
        </w:rPr>
      </w:r>
    </w:p>
    <w:p>
      <w:pPr>
        <w:pStyle w:val="Normal"/>
        <w:jc w:val="both"/>
        <w:rPr>
          <w:sz w:val="20"/>
          <w:szCs w:val="20"/>
        </w:rPr>
      </w:pPr>
      <w:r>
        <w:rPr>
          <w:sz w:val="20"/>
          <w:szCs w:val="20"/>
        </w:rPr>
      </w:r>
    </w:p>
    <w:tbl>
      <w:tblPr>
        <w:tblW w:w="97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107"/>
        <w:gridCol w:w="4673"/>
      </w:tblGrid>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Поставщик:</w:t>
            </w:r>
          </w:p>
        </w:tc>
      </w:tr>
      <w:tr>
        <w:trPr>
          <w:trHeight w:val="794"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Главный врач</w:t>
            </w:r>
          </w:p>
          <w:p>
            <w:pPr>
              <w:pStyle w:val="Normal"/>
              <w:rPr>
                <w:sz w:val="20"/>
                <w:szCs w:val="20"/>
              </w:rPr>
            </w:pPr>
            <w:r>
              <w:rPr>
                <w:sz w:val="20"/>
                <w:szCs w:val="20"/>
              </w:rPr>
              <w:t>________________________ С.В. Петров</w:t>
            </w:r>
          </w:p>
          <w:p>
            <w:pPr>
              <w:pStyle w:val="Normal"/>
              <w:rPr>
                <w:sz w:val="20"/>
                <w:szCs w:val="20"/>
              </w:rPr>
            </w:pPr>
            <w:r>
              <w:rPr>
                <w:sz w:val="20"/>
                <w:szCs w:val="20"/>
              </w:rPr>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widowControl w:val="false"/>
              <w:rPr>
                <w:b/>
                <w:sz w:val="20"/>
                <w:szCs w:val="20"/>
              </w:rPr>
            </w:pPr>
            <w:r>
              <w:rPr>
                <w:b/>
                <w:sz w:val="20"/>
                <w:szCs w:val="20"/>
              </w:rPr>
              <w:t>Наименование Поставщика</w:t>
            </w:r>
          </w:p>
          <w:p>
            <w:pPr>
              <w:pStyle w:val="Normal"/>
              <w:widowControl w:val="false"/>
              <w:rPr>
                <w:sz w:val="20"/>
                <w:szCs w:val="20"/>
              </w:rPr>
            </w:pPr>
            <w:r>
              <w:rPr>
                <w:sz w:val="20"/>
                <w:szCs w:val="20"/>
              </w:rPr>
              <w:t>Должность</w:t>
            </w:r>
          </w:p>
          <w:p>
            <w:pPr>
              <w:pStyle w:val="Normal"/>
              <w:widowControl w:val="false"/>
              <w:rPr>
                <w:sz w:val="20"/>
                <w:szCs w:val="20"/>
              </w:rPr>
            </w:pPr>
            <w:r>
              <w:rPr>
                <w:sz w:val="20"/>
                <w:szCs w:val="20"/>
              </w:rPr>
              <w:t>________________________ И.О. Фамилия</w:t>
            </w:r>
          </w:p>
          <w:p>
            <w:pPr>
              <w:pStyle w:val="Normal"/>
              <w:rPr>
                <w:sz w:val="20"/>
                <w:szCs w:val="20"/>
              </w:rPr>
            </w:pPr>
            <w:r>
              <w:rPr>
                <w:sz w:val="20"/>
                <w:szCs w:val="20"/>
              </w:rPr>
            </w:r>
          </w:p>
        </w:tc>
      </w:tr>
    </w:tbl>
    <w:p>
      <w:pPr>
        <w:pStyle w:val="Normal"/>
        <w:jc w:val="both"/>
        <w:rPr>
          <w:sz w:val="20"/>
          <w:szCs w:val="20"/>
        </w:rPr>
      </w:pPr>
      <w:r>
        <w:rPr>
          <w:sz w:val="20"/>
          <w:szCs w:val="20"/>
        </w:rPr>
      </w:r>
    </w:p>
    <w:sectPr>
      <w:headerReference w:type="default" r:id="rId5"/>
      <w:headerReference w:type="first" r:id="rId6"/>
      <w:type w:val="nextPage"/>
      <w:pgSz w:orient="landscape" w:w="16838" w:h="11906"/>
      <w:pgMar w:left="1134" w:right="851" w:gutter="0" w:header="708" w:top="765"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Times New Roman">
    <w:charset w:val="01"/>
    <w:family w:val="roman"/>
    <w:pitch w:val="default"/>
  </w:font>
  <w:font w:name="Segoe UI">
    <w:charset w:val="01"/>
    <w:family w:val="swiss"/>
    <w:pitch w:val="default"/>
  </w:font>
  <w:font w:name="Arial">
    <w:charset w:val="01"/>
    <w:family w:val="swiss"/>
    <w:pitch w:val="default"/>
  </w:font>
  <w:font w:name="PT Astra Serif">
    <w:charset w:val="01"/>
    <w:family w:val="roman"/>
    <w:pitch w:val="default"/>
  </w:font>
  <w:font w:name="Courier New">
    <w:charset w:val="01"/>
    <w:family w:val="auto"/>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rFonts w:ascii="Times New Roman" w:hAnsi="Times New Roman" w:cs="Times New Roman"/>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98"/>
  <w:defaultTabStop w:val="708"/>
  <w:autoHyphenation w:val="true"/>
  <w:hyphenationZone w:val="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f793b"/>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character" w:styleId="DefaultParagraphFont" w:default="1">
    <w:name w:val="Default Paragraph Font"/>
    <w:uiPriority w:val="1"/>
    <w:semiHidden/>
    <w:unhideWhenUsed/>
    <w:qFormat/>
    <w:rPr/>
  </w:style>
  <w:style w:type="character" w:styleId="defaultStyleCar" w:customStyle="1">
    <w:name w:val="defaultStyleCar"/>
    <w:link w:val="defaultStyle"/>
    <w:uiPriority w:val="99"/>
    <w:unhideWhenUsed/>
    <w:qFormat/>
    <w:rsid w:val="0068337f"/>
    <w:rPr>
      <w:rFonts w:ascii="Calibri" w:hAnsi="Calibri" w:eastAsia="Calibri" w:cs="Times New Roman"/>
      <w:color w:val="000000"/>
      <w:sz w:val="24"/>
      <w:lang w:eastAsia="ru-RU"/>
    </w:rPr>
  </w:style>
  <w:style w:type="character" w:styleId="Style14" w:customStyle="1">
    <w:name w:val="Текст сноски Знак"/>
    <w:basedOn w:val="DefaultParagraphFont"/>
    <w:uiPriority w:val="99"/>
    <w:qFormat/>
    <w:rsid w:val="0068337f"/>
    <w:rPr>
      <w:rFonts w:ascii="Times New Roman" w:hAnsi="Times New Roman" w:eastAsia="Times New Roman" w:cs="Times New Roman"/>
      <w:sz w:val="20"/>
      <w:szCs w:val="20"/>
      <w:lang w:eastAsia="ru-RU"/>
    </w:rPr>
  </w:style>
  <w:style w:type="character" w:styleId="Style15" w:customStyle="1">
    <w:name w:val="Символ сноски"/>
    <w:uiPriority w:val="99"/>
    <w:qFormat/>
    <w:rsid w:val="0068337f"/>
    <w:rPr>
      <w:vertAlign w:val="superscript"/>
    </w:rPr>
  </w:style>
  <w:style w:type="character" w:styleId="FootnoteReference">
    <w:name w:val="footnote reference"/>
    <w:rPr>
      <w:vertAlign w:val="superscript"/>
    </w:rPr>
  </w:style>
  <w:style w:type="character" w:styleId="Hyperlink">
    <w:name w:val="Hyperlink"/>
    <w:basedOn w:val="DefaultParagraphFont"/>
    <w:uiPriority w:val="99"/>
    <w:unhideWhenUsed/>
    <w:rsid w:val="00c538fe"/>
    <w:rPr>
      <w:color w:val="0000FF"/>
      <w:u w:val="single"/>
    </w:rPr>
  </w:style>
  <w:style w:type="character" w:styleId="Style16" w:customStyle="1">
    <w:name w:val="Текст выноски Знак"/>
    <w:basedOn w:val="DefaultParagraphFont"/>
    <w:link w:val="BalloonText"/>
    <w:uiPriority w:val="99"/>
    <w:semiHidden/>
    <w:qFormat/>
    <w:rsid w:val="00dc5f37"/>
    <w:rPr>
      <w:rFonts w:ascii="Segoe UI" w:hAnsi="Segoe UI" w:eastAsia="Times New Roman" w:cs="Segoe UI"/>
      <w:sz w:val="18"/>
      <w:szCs w:val="18"/>
      <w:lang w:eastAsia="ru-RU"/>
    </w:rPr>
  </w:style>
  <w:style w:type="character" w:styleId="ConsPlusNormal" w:customStyle="1">
    <w:name w:val="ConsPlusNormal Знак"/>
    <w:link w:val="ConsPlusNormal1"/>
    <w:qFormat/>
    <w:locked/>
    <w:rsid w:val="000b3789"/>
    <w:rPr>
      <w:rFonts w:ascii="Arial" w:hAnsi="Arial" w:eastAsia="Times New Roman" w:cs="Arial"/>
      <w:sz w:val="28"/>
      <w:szCs w:val="28"/>
      <w:lang w:eastAsia="ru-RU"/>
    </w:rPr>
  </w:style>
  <w:style w:type="character" w:styleId="Style17" w:customStyle="1">
    <w:name w:val="Символ концевой сноски"/>
    <w:qFormat/>
    <w:rPr>
      <w:vertAlign w:val="superscript"/>
    </w:rPr>
  </w:style>
  <w:style w:type="character" w:styleId="EndnoteReference">
    <w:name w:val="endnote reference"/>
    <w:rPr>
      <w:vertAlign w:val="superscript"/>
    </w:rPr>
  </w:style>
  <w:style w:type="paragraph" w:styleId="Style18" w:customStyle="1">
    <w:name w:val="Заголовок"/>
    <w:basedOn w:val="Normal"/>
    <w:next w:val="BodyText"/>
    <w:qFormat/>
    <w:pPr>
      <w:keepNext w:val="true"/>
      <w:spacing w:before="240" w:after="120"/>
    </w:pPr>
    <w:rPr>
      <w:rFonts w:ascii="PT Astra Serif" w:hAnsi="PT Astra Serif" w:eastAsia="Tahoma"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PT Astra Serif" w:hAnsi="PT Astra Serif" w:cs="Noto Sans Devanagari"/>
    </w:rPr>
  </w:style>
  <w:style w:type="paragraph" w:styleId="Caption">
    <w:name w:val="caption"/>
    <w:basedOn w:val="Normal"/>
    <w:qFormat/>
    <w:pPr>
      <w:suppressLineNumbers/>
      <w:spacing w:before="120" w:after="120"/>
    </w:pPr>
    <w:rPr>
      <w:rFonts w:ascii="PT Astra Serif" w:hAnsi="PT Astra Serif" w:cs="Noto Sans Devanagari"/>
      <w:i/>
      <w:iCs/>
    </w:rPr>
  </w:style>
  <w:style w:type="paragraph" w:styleId="Style19">
    <w:name w:val="Указатель"/>
    <w:basedOn w:val="Normal"/>
    <w:qFormat/>
    <w:pPr>
      <w:suppressLineNumbers/>
    </w:pPr>
    <w:rPr>
      <w:rFonts w:ascii="PT Astra Serif" w:hAnsi="PT Astra Serif" w:cs="Noto Sans Devanagari"/>
    </w:rPr>
  </w:style>
  <w:style w:type="paragraph" w:styleId="IndexHeading">
    <w:name w:val="index heading"/>
    <w:basedOn w:val="Normal"/>
    <w:qFormat/>
    <w:pPr>
      <w:suppressLineNumbers/>
    </w:pPr>
    <w:rPr>
      <w:rFonts w:ascii="PT Astra Serif" w:hAnsi="PT Astra Serif" w:cs="Noto Sans Devanagari"/>
    </w:rPr>
  </w:style>
  <w:style w:type="paragraph" w:styleId="ListParagraph">
    <w:name w:val="List Paragraph"/>
    <w:basedOn w:val="Normal"/>
    <w:uiPriority w:val="34"/>
    <w:qFormat/>
    <w:rsid w:val="00794920"/>
    <w:pPr>
      <w:spacing w:lineRule="auto" w:line="259" w:before="0" w:after="160"/>
      <w:ind w:left="720"/>
      <w:contextualSpacing/>
    </w:pPr>
    <w:rPr>
      <w:rFonts w:ascii="Calibri" w:hAnsi="Calibri" w:eastAsia="Calibri" w:cs="" w:asciiTheme="minorHAnsi" w:cstheme="minorBidi" w:eastAsiaTheme="minorHAnsi" w:hAnsiTheme="minorHAnsi"/>
      <w:sz w:val="22"/>
      <w:szCs w:val="22"/>
      <w:lang w:eastAsia="en-US"/>
    </w:rPr>
  </w:style>
  <w:style w:type="paragraph" w:styleId="NormalWeb">
    <w:name w:val="Normal (Web)"/>
    <w:basedOn w:val="Normal"/>
    <w:uiPriority w:val="99"/>
    <w:semiHidden/>
    <w:unhideWhenUsed/>
    <w:qFormat/>
    <w:rsid w:val="008506e0"/>
    <w:pPr/>
    <w:rPr/>
  </w:style>
  <w:style w:type="paragraph" w:styleId="msonormalmrcssattr" w:customStyle="1">
    <w:name w:val="msonormal_mr_css_attr"/>
    <w:basedOn w:val="Normal"/>
    <w:qFormat/>
    <w:rsid w:val="006f7579"/>
    <w:pPr>
      <w:spacing w:beforeAutospacing="1" w:afterAutospacing="1"/>
    </w:pPr>
    <w:rPr/>
  </w:style>
  <w:style w:type="paragraph" w:styleId="defaultStyle" w:customStyle="1">
    <w:name w:val="defaultStyle"/>
    <w:link w:val="defaultStyleCar"/>
    <w:uiPriority w:val="99"/>
    <w:unhideWhenUsed/>
    <w:qFormat/>
    <w:rsid w:val="0068337f"/>
    <w:pPr>
      <w:widowControl/>
      <w:suppressAutoHyphens w:val="true"/>
      <w:bidi w:val="0"/>
      <w:spacing w:lineRule="auto" w:line="360" w:before="0" w:after="200"/>
      <w:jc w:val="both"/>
    </w:pPr>
    <w:rPr>
      <w:rFonts w:ascii="Calibri" w:hAnsi="Calibri" w:eastAsia="Calibri" w:cs="Times New Roman"/>
      <w:color w:val="000000"/>
      <w:kern w:val="0"/>
      <w:sz w:val="24"/>
      <w:szCs w:val="22"/>
      <w:lang w:val="ru-RU" w:eastAsia="ru-RU" w:bidi="ar-SA"/>
    </w:rPr>
  </w:style>
  <w:style w:type="paragraph" w:styleId="FootnoteText">
    <w:name w:val="footnote text"/>
    <w:basedOn w:val="Normal"/>
    <w:link w:val="Style14"/>
    <w:uiPriority w:val="99"/>
    <w:qFormat/>
    <w:rsid w:val="0068337f"/>
    <w:pPr/>
    <w:rPr>
      <w:sz w:val="20"/>
      <w:szCs w:val="20"/>
    </w:rPr>
  </w:style>
  <w:style w:type="paragraph" w:styleId="NoSpacing">
    <w:name w:val="No Spacing"/>
    <w:uiPriority w:val="1"/>
    <w:qFormat/>
    <w:rsid w:val="00d87d76"/>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paragraph" w:styleId="BalloonText">
    <w:name w:val="Balloon Text"/>
    <w:basedOn w:val="Normal"/>
    <w:link w:val="Style16"/>
    <w:uiPriority w:val="99"/>
    <w:semiHidden/>
    <w:unhideWhenUsed/>
    <w:qFormat/>
    <w:rsid w:val="00dc5f37"/>
    <w:pPr/>
    <w:rPr>
      <w:rFonts w:ascii="Segoe UI" w:hAnsi="Segoe UI" w:cs="Segoe UI"/>
      <w:sz w:val="18"/>
      <w:szCs w:val="18"/>
    </w:rPr>
  </w:style>
  <w:style w:type="paragraph" w:styleId="ConsPlusNonformat" w:customStyle="1">
    <w:name w:val="ConsPlusNonformat"/>
    <w:qFormat/>
    <w:rsid w:val="00735ab3"/>
    <w:pPr>
      <w:widowControl/>
      <w:suppressAutoHyphens w:val="true"/>
      <w:bidi w:val="0"/>
      <w:spacing w:before="0" w:after="0"/>
      <w:jc w:val="left"/>
    </w:pPr>
    <w:rPr>
      <w:rFonts w:ascii="Courier New" w:hAnsi="Courier New" w:eastAsia="Times New Roman" w:cs="Courier New"/>
      <w:color w:val="auto"/>
      <w:kern w:val="0"/>
      <w:sz w:val="20"/>
      <w:szCs w:val="20"/>
      <w:lang w:val="ru-RU" w:eastAsia="ru-RU" w:bidi="ar-SA"/>
    </w:rPr>
  </w:style>
  <w:style w:type="paragraph" w:styleId="ConsPlusNormal1" w:customStyle="1">
    <w:name w:val="ConsPlusNormal"/>
    <w:link w:val="ConsPlusNormal"/>
    <w:qFormat/>
    <w:rsid w:val="000b3789"/>
    <w:pPr>
      <w:widowControl/>
      <w:suppressAutoHyphens w:val="true"/>
      <w:bidi w:val="0"/>
      <w:spacing w:before="0" w:after="0"/>
      <w:ind w:firstLine="720"/>
      <w:jc w:val="left"/>
    </w:pPr>
    <w:rPr>
      <w:rFonts w:ascii="Arial" w:hAnsi="Arial" w:eastAsia="Times New Roman" w:cs="Arial"/>
      <w:color w:val="auto"/>
      <w:kern w:val="0"/>
      <w:sz w:val="28"/>
      <w:szCs w:val="28"/>
      <w:lang w:val="ru-RU" w:eastAsia="ru-RU" w:bidi="ar-SA"/>
    </w:rPr>
  </w:style>
  <w:style w:type="paragraph" w:styleId="c9b8a43e859666fd6d50b0c0ecbd29f118f6f983830e33aa99aa78d3b532a93cmsonospacing" w:customStyle="1">
    <w:name w:val="c9b8a43e859666fd6d50b0c0ecbd29f118f6f983830e33aa99aa78d3b532a93cmsonospacing"/>
    <w:basedOn w:val="Normal"/>
    <w:qFormat/>
    <w:rsid w:val="007510a2"/>
    <w:pPr>
      <w:spacing w:beforeAutospacing="1" w:afterAutospacing="1"/>
    </w:pPr>
    <w:rPr>
      <w:lang w:val="en-US" w:eastAsia="en-US"/>
    </w:rPr>
  </w:style>
  <w:style w:type="paragraph" w:styleId="HeaderandFooter" w:customStyle="1">
    <w:name w:val="Header and Footer"/>
    <w:basedOn w:val="Normal"/>
    <w:qFormat/>
    <w:pPr/>
    <w:rPr/>
  </w:style>
  <w:style w:type="paragraph" w:styleId="Header">
    <w:name w:val="header"/>
    <w:basedOn w:val="HeaderandFooter"/>
    <w:pPr/>
    <w:rPr/>
  </w:style>
  <w:style w:type="paragraph" w:styleId="Style20" w:customStyle="1">
    <w:name w:val="Верхний колонтитул слева"/>
    <w:basedOn w:val="Header"/>
    <w:qFormat/>
    <w:pPr/>
    <w:rPr/>
  </w:style>
  <w:style w:type="paragraph" w:styleId="Style21" w:customStyle="1">
    <w:name w:val="Содержимое таблицы"/>
    <w:basedOn w:val="Normal"/>
    <w:qFormat/>
    <w:pPr>
      <w:widowControl w:val="false"/>
      <w:suppressLineNumbers/>
    </w:pPr>
    <w:rPr/>
  </w:style>
  <w:style w:type="paragraph" w:styleId="Style22" w:customStyle="1">
    <w:name w:val="Заголовок таблицы"/>
    <w:basedOn w:val="Style21"/>
    <w:qFormat/>
    <w:pPr>
      <w:jc w:val="center"/>
    </w:pPr>
    <w:rPr>
      <w:b/>
      <w:bCs/>
    </w:rPr>
  </w:style>
  <w:style w:type="numbering" w:styleId="Style23" w:customStyle="1">
    <w:name w:val="Без списка"/>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9">
    <w:name w:val="Table Grid"/>
    <w:basedOn w:val="a1"/>
    <w:uiPriority w:val="59"/>
    <w:rsid w:val="00ce570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Style1">
    <w:name w:val="TableStyle1"/>
    <w:rsid w:val="009f2936"/>
    <w:rPr>
      <w:rFonts w:eastAsiaTheme="minorEastAsia"/>
      <w:lang w:eastAsia="ru-RU"/>
      <w:sz w:val="16"/>
    </w:rPr>
    <w:tblPr>
      <w:tblCellMar>
        <w:top w:w="0" w:type="dxa"/>
        <w:left w:w="0" w:type="dxa"/>
        <w:bottom w:w="0" w:type="dxa"/>
        <w:right w:w="0" w:type="dxa"/>
      </w:tblCellMar>
    </w:tblPr>
  </w:style>
  <w:style w:type="table" w:customStyle="1" w:styleId="1">
    <w:name w:val="Сетка таблицы1"/>
    <w:basedOn w:val="a1"/>
    <w:rsid w:val="00362030"/>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
    <w:name w:val="Сетка таблицы2"/>
    <w:basedOn w:val="a1"/>
    <w:uiPriority w:val="59"/>
    <w:rsid w:val="009b02bb"/>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
    <w:name w:val="Сетка таблицы3"/>
    <w:basedOn w:val="a1"/>
    <w:uiPriority w:val="39"/>
    <w:rsid w:val="008548d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
    <w:name w:val="Сетка таблицы4"/>
    <w:basedOn w:val="a1"/>
    <w:uiPriority w:val="59"/>
    <w:rsid w:val="009e280e"/>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header" Target="header4.xml"/><Relationship Id="rId6" Type="http://schemas.openxmlformats.org/officeDocument/2006/relationships/header" Target="header5.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ED4BBC-3AD6-483F-9294-C52654E83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Application>LibreOffice/24.8.4.2$Linux_X86_64 LibreOffice_project/480$Build-2</Application>
  <AppVersion>15.0000</AppVersion>
  <Pages>11</Pages>
  <Words>4252</Words>
  <Characters>30301</Characters>
  <CharactersWithSpaces>34287</CharactersWithSpaces>
  <Paragraphs>279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2023-10-10T11:38:00Z</dcterms:created>
  <dc:creator>Сергеев Алексей Борисович</dc:creator>
  <dc:description/>
  <dc:language>ru-RU</dc:language>
  <cp:lastModifiedBy/>
  <cp:lastPrinted>2026-01-16T14:51:00Z</cp:lastPrinted>
  <dcterms:modified xsi:type="dcterms:W3CDTF">2026-05-21T15:46:50Z</dcterms:modified>
  <cp:revision>112</cp:revision>
  <dc:subject/>
  <dc:title/>
</cp:coreProperties>
</file>

<file path=docProps/custom.xml><?xml version="1.0" encoding="utf-8"?>
<Properties xmlns="http://schemas.openxmlformats.org/officeDocument/2006/custom-properties" xmlns:vt="http://schemas.openxmlformats.org/officeDocument/2006/docPropsVTypes"/>
</file>