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915" w:type="dxa"/>
        <w:jc w:val="left"/>
        <w:tblInd w:w="-11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19"/>
        <w:gridCol w:w="1771"/>
        <w:gridCol w:w="1755"/>
        <w:gridCol w:w="4543"/>
        <w:gridCol w:w="992"/>
        <w:gridCol w:w="1134"/>
      </w:tblGrid>
      <w:tr>
        <w:trPr>
          <w:trHeight w:val="8" w:hRule="atLeast"/>
        </w:trPr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7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hyperlink r:id="rId2" w:tgtFrame="_blank">
              <w:r>
                <w:rPr>
                  <w:rStyle w:val="Style9"/>
                  <w:rFonts w:cs="Times New Roman" w:ascii="Times New Roman" w:hAnsi="Times New Roman"/>
                  <w:b/>
                  <w:color w:themeColor="text1" w:val="000000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75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 xml:space="preserve">Международное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 xml:space="preserve">непатентованное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наименование</w:t>
            </w:r>
          </w:p>
        </w:tc>
        <w:tc>
          <w:tcPr>
            <w:tcW w:w="454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Характеристики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FDE9D9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color w:themeColor="accent6" w:themeTint="33" w:val="FDE9D9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Количество к поставке </w:t>
            </w:r>
          </w:p>
        </w:tc>
      </w:tr>
      <w:tr>
        <w:trPr>
          <w:trHeight w:val="3044" w:hRule="atLeast"/>
        </w:trPr>
        <w:tc>
          <w:tcPr>
            <w:tcW w:w="7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Да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u w:val="single"/>
              </w:rPr>
            </w:pPr>
            <w:hyperlink r:id="rId3" w:tgtFrame="_blank">
              <w:r>
                <w:rPr>
                  <w:rStyle w:val="Style9"/>
                  <w:rFonts w:eastAsia="Times New Roman" w:cs="Times New Roman" w:ascii="Times New Roman" w:hAnsi="Times New Roman"/>
                  <w:bCs/>
                  <w:sz w:val="20"/>
                  <w:szCs w:val="20"/>
                  <w:u w:val="single"/>
                </w:rPr>
                <w:t>21.20.10.235-000014-1-00090-0000000000000</w:t>
              </w:r>
            </w:hyperlink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color w:themeColor="text1" w:val="000000"/>
                <w:sz w:val="20"/>
                <w:szCs w:val="20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0"/>
                <w:szCs w:val="20"/>
                <w:shd w:fill="FFFFFF" w:val="clear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cs="Times New Roman" w:ascii="Times New Roman" w:hAnsi="Times New Roman"/>
                <w:color w:val="000000"/>
              </w:rPr>
              <w:t>Диазепам</w:t>
            </w:r>
          </w:p>
        </w:tc>
        <w:tc>
          <w:tcPr>
            <w:tcW w:w="45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sz w:val="20"/>
                <w:szCs w:val="20"/>
              </w:rPr>
              <w:t xml:space="preserve">Фармакотерапевтическая группа: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анксиолитическое средство (транквилизатор)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Лекарственная форма: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 xml:space="preserve">раствор для инъекций, </w:t>
            </w:r>
            <w:r>
              <w:rPr>
                <w:rFonts w:cs="Times New Roman" w:ascii="Times New Roman" w:hAnsi="Times New Roman"/>
                <w:i/>
                <w:iCs/>
                <w:color w:val="000000"/>
                <w:sz w:val="20"/>
                <w:szCs w:val="20"/>
              </w:rPr>
              <w:t>ГРЛС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: раствор для внутривенного и внутримышечного введения.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: 5 мг/мл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i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П</w:t>
            </w:r>
            <w:r>
              <w:rPr>
                <w:rFonts w:eastAsia="Calibri" w:cs="Times New Roman" w:ascii="Times New Roman" w:hAnsi="Times New Roman"/>
                <w:i/>
                <w:sz w:val="20"/>
                <w:szCs w:val="20"/>
                <w:lang w:val="en-US"/>
              </w:rPr>
              <w:t>III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                                                            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                                                                            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(см 3)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en-US"/>
              </w:rPr>
              <w:t>4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000</w:t>
            </w:r>
          </w:p>
        </w:tc>
      </w:tr>
      <w:tr>
        <w:trPr>
          <w:trHeight w:val="3044" w:hRule="atLeast"/>
        </w:trPr>
        <w:tc>
          <w:tcPr>
            <w:tcW w:w="71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Да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/>
            </w:pPr>
            <w:hyperlink r:id="rId4" w:tgtFrame="_blank">
              <w:r>
                <w:rPr>
                  <w:rStyle w:val="Style9"/>
                  <w:rFonts w:eastAsia="Times New Roman" w:cs="Times New Roman" w:ascii="Times New Roman" w:hAnsi="Times New Roman"/>
                  <w:bCs/>
                  <w:sz w:val="20"/>
                  <w:szCs w:val="20"/>
                  <w:u w:val="single"/>
                </w:rPr>
                <w:t>21.20.10.232-000051-1-00243-0000000000000</w:t>
              </w:r>
            </w:hyperlink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eastAsia="Times New Roman" w:cs="Times New Roman" w:ascii="Times New Roman" w:hAnsi="Times New Roman"/>
                <w:bCs/>
              </w:rPr>
              <w:t>Морфин</w:t>
            </w:r>
          </w:p>
        </w:tc>
        <w:tc>
          <w:tcPr>
            <w:tcW w:w="45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: анальгезирующее наркотическое средство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 xml:space="preserve">Лекарственная форма: 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раствор для инъекций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: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 xml:space="preserve"> 10 мг/мл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Наличие в лекарственном препарате наркотических средств, психотропных веществ и их прекурсоров: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  <w:lang w:val="en-US"/>
              </w:rPr>
              <w:t>HII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                                                            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                                                                            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>Остаточный срок годности: не менее 12 месяцев на момент поставки</w:t>
            </w: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(см 3)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250</w:t>
            </w:r>
          </w:p>
        </w:tc>
      </w:tr>
      <w:tr>
        <w:trPr>
          <w:trHeight w:val="3044" w:hRule="atLeast"/>
        </w:trPr>
        <w:tc>
          <w:tcPr>
            <w:tcW w:w="71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Да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/>
            </w:pPr>
            <w:hyperlink r:id="rId5" w:tgtFrame="_blank">
              <w:r>
                <w:rPr>
                  <w:rStyle w:val="Style9"/>
                  <w:rFonts w:eastAsia="Times New Roman" w:cs="Times New Roman" w:ascii="Times New Roman" w:hAnsi="Times New Roman"/>
                  <w:bCs/>
                  <w:sz w:val="20"/>
                  <w:szCs w:val="20"/>
                  <w:u w:val="single"/>
                </w:rPr>
                <w:t>21.20.10.231-000010-1-00043-0000000000000</w:t>
              </w:r>
            </w:hyperlink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eastAsia="Times New Roman" w:cs="Times New Roman" w:ascii="Times New Roman" w:hAnsi="Times New Roman"/>
                <w:bCs/>
              </w:rPr>
              <w:t>Тримеперидин</w:t>
            </w:r>
          </w:p>
        </w:tc>
        <w:tc>
          <w:tcPr>
            <w:tcW w:w="45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: анальгезирующее наркотическое средство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 xml:space="preserve">Лекарственная форма: 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раствор для инъекций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: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 xml:space="preserve"> 20 мг/мл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</w:t>
            </w:r>
            <w:r>
              <w:rPr>
                <w:rFonts w:cs="Times New Roman" w:ascii="Times New Roman" w:hAnsi="Times New Roman"/>
                <w:i/>
                <w:sz w:val="20"/>
                <w:szCs w:val="20"/>
                <w:lang w:val="en-US"/>
              </w:rPr>
              <w:t>II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                                                                            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(см 3)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20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val="en-US"/>
              </w:rPr>
              <w:t>0</w:t>
            </w:r>
          </w:p>
        </w:tc>
      </w:tr>
      <w:tr>
        <w:trPr>
          <w:trHeight w:val="3044" w:hRule="atLeast"/>
        </w:trPr>
        <w:tc>
          <w:tcPr>
            <w:tcW w:w="71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Да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u w:val="single"/>
              </w:rPr>
            </w:pPr>
            <w:hyperlink r:id="rId6" w:tgtFrame="_blank">
              <w:r>
                <w:rPr>
                  <w:rStyle w:val="Style9"/>
                  <w:rFonts w:eastAsia="Times New Roman" w:cs="Times New Roman" w:ascii="Times New Roman" w:hAnsi="Times New Roman"/>
                  <w:bCs/>
                  <w:sz w:val="20"/>
                  <w:szCs w:val="20"/>
                  <w:u w:val="single"/>
                </w:rPr>
                <w:t>21.20.10.231-000012-1-00070-0000000000000</w:t>
              </w:r>
            </w:hyperlink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/>
            </w:pPr>
            <w:r>
              <w:rPr/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eastAsia="Times New Roman" w:cs="Times New Roman" w:ascii="Times New Roman" w:hAnsi="Times New Roman"/>
                <w:bCs/>
              </w:rPr>
              <w:t>Фентанил</w:t>
            </w:r>
          </w:p>
        </w:tc>
        <w:tc>
          <w:tcPr>
            <w:tcW w:w="45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: анальгезирующее наркотическое средство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 xml:space="preserve">Лекарственная форма: 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раствор для внутривенного и внутримышечного введения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: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 xml:space="preserve"> 0,05 мг/мл, </w:t>
            </w:r>
            <w:r>
              <w:rPr>
                <w:rFonts w:cs="Times New Roman" w:ascii="Times New Roman" w:hAnsi="Times New Roman"/>
                <w:i/>
                <w:iCs/>
                <w:color w:val="000000"/>
                <w:sz w:val="20"/>
                <w:szCs w:val="20"/>
              </w:rPr>
              <w:t>ГРЛС: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50 мкг/мл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Наличие в лекарственном препарате наркотических средств, психотропных веществ и их прекурсоров: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  <w:lang w:val="en-US"/>
              </w:rPr>
              <w:t>HII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                                                            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                                                                            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>Остаточный срок годности: не менее 12 месяцев на момент поставки</w:t>
            </w: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(см 3)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24 000</w:t>
            </w:r>
          </w:p>
        </w:tc>
      </w:tr>
      <w:tr>
        <w:trPr>
          <w:trHeight w:val="3044" w:hRule="atLeast"/>
        </w:trPr>
        <w:tc>
          <w:tcPr>
            <w:tcW w:w="71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Да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/>
            </w:pPr>
            <w:hyperlink r:id="rId7" w:tgtFrame="_blank">
              <w:r>
                <w:rPr>
                  <w:rStyle w:val="Style9"/>
                  <w:rFonts w:eastAsia="Times New Roman" w:cs="Times New Roman" w:ascii="Times New Roman" w:hAnsi="Times New Roman"/>
                  <w:bCs/>
                  <w:sz w:val="20"/>
                  <w:szCs w:val="20"/>
                  <w:u w:val="single"/>
                </w:rPr>
                <w:t>21.20.10.231-000024-1-00005-0000000000000</w:t>
              </w:r>
            </w:hyperlink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eastAsia="Times New Roman" w:cs="Times New Roman" w:ascii="Times New Roman" w:hAnsi="Times New Roman"/>
                <w:bCs/>
              </w:rPr>
              <w:t>Кетамин</w:t>
            </w:r>
          </w:p>
        </w:tc>
        <w:tc>
          <w:tcPr>
            <w:tcW w:w="45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: средство для неингаляционной общей анестезии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 xml:space="preserve">Лекарственная форма: 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раствор для внутривенного и внутримышечного введения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:</w:t>
            </w: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 xml:space="preserve"> 50 мг/мл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П</w:t>
            </w:r>
            <w:r>
              <w:rPr>
                <w:rFonts w:cs="Times New Roman" w:ascii="Times New Roman" w:hAnsi="Times New Roman"/>
                <w:i/>
                <w:sz w:val="20"/>
                <w:szCs w:val="20"/>
                <w:lang w:val="en-US"/>
              </w:rPr>
              <w:t>II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                                                            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                                                                            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>Остаточный срок годности: не менее 12 месяцев на момент поставки</w:t>
            </w: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(см 3)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1 000</w:t>
            </w:r>
          </w:p>
        </w:tc>
      </w:tr>
    </w:tbl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 xml:space="preserve">         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sz w:val="20"/>
          <w:szCs w:val="20"/>
        </w:rPr>
        <w:t xml:space="preserve"> 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>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 вправе предложить: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sz w:val="20"/>
          <w:szCs w:val="20"/>
        </w:rPr>
        <w:t>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>
      <w:pPr>
        <w:pStyle w:val="Normal"/>
        <w:suppressAutoHyphens w:val="false"/>
        <w:spacing w:lineRule="auto" w:line="240" w:before="0" w:after="0"/>
        <w:ind w:firstLine="709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участник вправе предложить препарат с дозировкой в мг/ мл.);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    </w:t>
      </w:r>
      <w:r>
        <w:rPr>
          <w:rFonts w:cs="Times New Roman" w:ascii="Times New Roman" w:hAnsi="Times New Roman"/>
          <w:bCs/>
          <w:sz w:val="20"/>
          <w:szCs w:val="20"/>
        </w:rPr>
        <w:t>Поставляемый товар должен иметь инструкцию по медицинскому применению (листок-вкладыш) на русском языке, упаковочные листы.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</w:t>
      </w:r>
      <w:r>
        <w:rPr>
          <w:rFonts w:cs="Times New Roman" w:ascii="Times New Roman" w:hAnsi="Times New Roman"/>
          <w:bCs/>
          <w:sz w:val="20"/>
          <w:szCs w:val="20"/>
        </w:rPr>
        <w:t xml:space="preserve">Поставщик обязан предоставить </w:t>
      </w:r>
      <w:r>
        <w:rPr>
          <w:rFonts w:cs="Times New Roman" w:ascii="Times New Roman" w:hAnsi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cs="Times New Roman" w:ascii="Times New Roman" w:hAnsi="Times New Roman"/>
          <w:bCs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       </w:t>
      </w:r>
      <w:r>
        <w:rPr>
          <w:rFonts w:cs="Times New Roman" w:ascii="Times New Roman" w:hAnsi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</w:t>
      </w:r>
      <w:r>
        <w:rPr>
          <w:rFonts w:eastAsia="Calibri" w:cs="Times New Roman" w:ascii="Times New Roman" w:hAnsi="Times New Roman"/>
          <w:bCs/>
          <w:sz w:val="20"/>
          <w:szCs w:val="20"/>
        </w:rPr>
        <w:t xml:space="preserve">     </w:t>
      </w:r>
      <w:r>
        <w:rPr>
          <w:rFonts w:eastAsia="Arial" w:cs="Times New Roman" w:ascii="Times New Roman" w:hAnsi="Times New Roman"/>
          <w:sz w:val="20"/>
          <w:szCs w:val="20"/>
        </w:rPr>
        <w:t>Поставленный товар, признанный недоброкачественным и (или) фальсифицированным и (или) контрафактным 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уничтожению.</w:t>
      </w:r>
      <w:r>
        <w:rPr>
          <w:rFonts w:eastAsia="Arial" w:cs="Times New Roman"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bCs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bCs/>
          <w:sz w:val="20"/>
          <w:szCs w:val="20"/>
        </w:rPr>
        <w:t>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>
      <w:pPr>
        <w:pStyle w:val="ListParagraph"/>
        <w:suppressAutoHyphens w:val="false"/>
        <w:spacing w:lineRule="auto" w:line="240" w:before="0" w:after="0"/>
        <w:ind w:hanging="265" w:left="-16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</w:t>
      </w:r>
      <w:r>
        <w:rPr>
          <w:rFonts w:cs="Times New Roman" w:ascii="Times New Roman" w:hAnsi="Times New Roman"/>
          <w:sz w:val="20"/>
          <w:szCs w:val="20"/>
        </w:rPr>
        <w:t>Обоснование: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Потребность Заказчика определена исключительно исходя из назначений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Форма выпуска (первичная упаковка) является персонифицированной для каждого пациента больницы и необходима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Arial" w:hAnsi="Arial" w:cs="Arial"/>
          <w:color w:val="212529"/>
          <w:sz w:val="18"/>
          <w:szCs w:val="18"/>
          <w:shd w:fill="FFFFFF" w:val="clear"/>
        </w:rPr>
      </w:pPr>
      <w:r>
        <w:rPr>
          <w:rFonts w:cs="Arial" w:ascii="Arial" w:hAnsi="Arial"/>
          <w:color w:val="212529"/>
          <w:sz w:val="18"/>
          <w:szCs w:val="18"/>
          <w:shd w:fill="FFFFFF" w:val="clear"/>
        </w:rPr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Arial" w:hAnsi="Arial" w:cs="Arial"/>
          <w:color w:val="212529"/>
          <w:sz w:val="18"/>
          <w:szCs w:val="18"/>
          <w:shd w:fill="FFFFFF" w:val="clear"/>
        </w:rPr>
      </w:pPr>
      <w:r>
        <w:rPr>
          <w:rFonts w:cs="Arial" w:ascii="Arial" w:hAnsi="Arial"/>
          <w:color w:val="212529"/>
          <w:sz w:val="18"/>
          <w:szCs w:val="18"/>
          <w:shd w:fill="FFFFFF" w:val="clear"/>
        </w:rPr>
      </w:r>
    </w:p>
    <w:p>
      <w:pPr>
        <w:pStyle w:val="Normal"/>
        <w:spacing w:lineRule="auto" w:line="240" w:before="0" w:after="0"/>
        <w:rPr>
          <w:color w:val="000000"/>
          <w:sz w:val="27"/>
          <w:szCs w:val="27"/>
          <w:shd w:fill="FFFFFF" w:val="clear"/>
        </w:rPr>
      </w:pPr>
      <w:r>
        <w:rPr>
          <w:color w:val="000000"/>
          <w:sz w:val="27"/>
          <w:szCs w:val="27"/>
          <w:shd w:fill="FFFFFF" w:val="clear"/>
        </w:rPr>
      </w:r>
      <w:r>
        <w:br w:type="page"/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color w:val="000000"/>
          <w:sz w:val="27"/>
          <w:szCs w:val="27"/>
          <w:shd w:fill="FFFFFF" w:val="clear"/>
        </w:rPr>
      </w:pPr>
      <w:r>
        <w:rPr>
          <w:color w:val="000000"/>
          <w:sz w:val="27"/>
          <w:szCs w:val="27"/>
          <w:shd w:fill="FFFFFF" w:val="clear"/>
        </w:rPr>
      </w:r>
    </w:p>
    <w:sectPr>
      <w:type w:val="nextPage"/>
      <w:pgSz w:w="11906" w:h="16838"/>
      <w:pgMar w:left="1701" w:right="850" w:gutter="0" w:header="0" w:top="1134" w:footer="0" w:bottom="993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Arial">
    <w:charset w:val="01"/>
    <w:family w:val="swiss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f71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9f1068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styleId="cardmaininfotitle" w:customStyle="1">
    <w:name w:val="cardmaininfo__title"/>
    <w:basedOn w:val="DefaultParagraphFont"/>
    <w:qFormat/>
    <w:rsid w:val="002e587a"/>
    <w:rPr/>
  </w:style>
  <w:style w:type="character" w:styleId="FollowedHyperlink">
    <w:name w:val="FollowedHyperlink"/>
    <w:basedOn w:val="DefaultParagraphFont"/>
    <w:uiPriority w:val="99"/>
    <w:semiHidden/>
    <w:unhideWhenUsed/>
    <w:rsid w:val="001a4db2"/>
    <w:rPr>
      <w:color w:themeColor="followedHyperlink" w:val="800080"/>
      <w:u w:val="single"/>
    </w:rPr>
  </w:style>
  <w:style w:type="character" w:styleId="colorblue" w:customStyle="1">
    <w:name w:val="color_blue"/>
    <w:basedOn w:val="DefaultParagraphFont"/>
    <w:qFormat/>
    <w:rsid w:val="00655ecc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footnote" w:customStyle="1">
    <w:name w:val="footnote"/>
    <w:basedOn w:val="Normal"/>
    <w:qFormat/>
    <w:rsid w:val="00af5aed"/>
    <w:pPr>
      <w:spacing w:lineRule="atLeast" w:line="220" w:before="0" w:after="0"/>
    </w:pPr>
    <w:rPr>
      <w:rFonts w:ascii="Arial" w:hAnsi="Arial" w:eastAsia="Arial" w:cs="Arial"/>
      <w:sz w:val="16"/>
      <w:szCs w:val="16"/>
    </w:rPr>
  </w:style>
  <w:style w:type="paragraph" w:styleId="BalloonText">
    <w:name w:val="Balloon Text"/>
    <w:basedOn w:val="Normal"/>
    <w:uiPriority w:val="99"/>
    <w:semiHidden/>
    <w:unhideWhenUsed/>
    <w:qFormat/>
    <w:rsid w:val="00354cf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qFormat/>
    <w:rsid w:val="00655ecc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epz/ktru/medCard/commonInfo.html?extCode=d7e8d7af-c807-46cf-a0a7-53fdf0038883" TargetMode="External"/><Relationship Id="rId3" Type="http://schemas.openxmlformats.org/officeDocument/2006/relationships/hyperlink" Target="https://zakupki.gov.ru/epz/ktru/medCard/commonInfo.html?extCode=1edfc586-bf5b-11e9-bd5d-5ba41cc99cad&amp;backUrl=" TargetMode="External"/><Relationship Id="rId4" Type="http://schemas.openxmlformats.org/officeDocument/2006/relationships/hyperlink" Target="https://zakupki.gov.ru/epz/ktru/medCard/commonInfo.html?extCode=1ede3432-bf5b-11e9-bd5d-d34ecfe12c5f&amp;backUrl=" TargetMode="External"/><Relationship Id="rId5" Type="http://schemas.openxmlformats.org/officeDocument/2006/relationships/hyperlink" Target="https://zakupki.gov.ru/epz/ktru/medCard/commonInfo.html?extCode=1ee50bea-bf5b-11e9-bd5d-ff1f7aa95548" TargetMode="External"/><Relationship Id="rId6" Type="http://schemas.openxmlformats.org/officeDocument/2006/relationships/hyperlink" Target="https://zakupki.gov.ru/epz/ktru/medCard/commonInfo.html?extCode=1edbd264-bf5b-11e9-bd5d-23c8283ac9ff" TargetMode="External"/><Relationship Id="rId7" Type="http://schemas.openxmlformats.org/officeDocument/2006/relationships/hyperlink" Target="https://zakupki.gov.ru/epz/ktru/medCard/commonInfo.html?extCode=1edf7d60-bf5b-11e9-bd5d-6ba7b4851792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995AA-8BE6-420B-9FB8-B0923032E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LibreOffice/24.8.4.2$Linux_X86_64 LibreOffice_project/480$Build-2</Application>
  <AppVersion>15.0000</AppVersion>
  <Pages>3</Pages>
  <Words>540</Words>
  <Characters>4117</Characters>
  <CharactersWithSpaces>6287</CharactersWithSpaces>
  <Paragraphs>76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2026-05-25T16:49:00Z</dcterms:created>
  <dc:creator>Янна</dc:creator>
  <dc:description/>
  <dc:language>ru-RU</dc:language>
  <cp:lastModifiedBy/>
  <cp:lastPrinted>2026-01-26T10:00:00Z</cp:lastPrinted>
  <dcterms:modified xsi:type="dcterms:W3CDTF">2026-05-26T11:55:34Z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