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numbering.xml.rels" ContentType="application/vnd.openxmlformats-package.relationships+xml"/>
  <Override PartName="/word/_rels/document.xml.rels" ContentType="application/vnd.openxmlformats-package.relationships+xml"/>
  <Override PartName="/word/media/image1.wmf" ContentType="image/x-wmf"/>
  <Override PartName="/word/media/image2.wmf" ContentType="image/x-wmf"/>
  <Override PartName="/word/media/image3.wmf" ContentType="image/x-wmf"/>
  <Override PartName="/word/media/image4.wmf" ContentType="image/x-wmf"/>
  <Override PartName="/word/media/image5.wmf" ContentType="image/x-wmf"/>
  <Override PartName="/word/media/image6.png" ContentType="image/png"/>
  <Override PartName="/word/media/image7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460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a0" w:noHBand="0" w:noVBand="0" w:firstColumn="1" w:lastRow="0" w:lastColumn="0" w:firstRow="1"/>
      </w:tblPr>
      <w:tblGrid>
        <w:gridCol w:w="14601"/>
      </w:tblGrid>
      <w:tr>
        <w:trPr/>
        <w:tc>
          <w:tcPr>
            <w:tcW w:w="14601" w:type="dxa"/>
            <w:tcBorders/>
          </w:tcPr>
          <w:p>
            <w:pPr>
              <w:pStyle w:val="Normal"/>
              <w:ind w:left="5954"/>
              <w:jc w:val="right"/>
              <w:rPr>
                <w:spacing w:val="-1"/>
              </w:rPr>
            </w:pPr>
            <w:bookmarkStart w:id="0" w:name="_GoBack"/>
            <w:bookmarkEnd w:id="0"/>
            <w:r>
              <w:rPr>
                <w:spacing w:val="-1"/>
              </w:rPr>
              <w:t>Приложение№2</w:t>
            </w:r>
          </w:p>
          <w:p>
            <w:pPr>
              <w:pStyle w:val="Normal"/>
              <w:rPr>
                <w:spacing w:val="-1"/>
              </w:rPr>
            </w:pPr>
            <w:r>
              <w:rPr>
                <w:spacing w:val="-1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>
              <w:rPr>
                <w:spacing w:val="-1"/>
              </w:rPr>
              <w:t>к извещению об осуществлении закупки</w:t>
            </w:r>
          </w:p>
          <w:p>
            <w:pPr>
              <w:pStyle w:val="Normal"/>
              <w:ind w:left="5954"/>
              <w:jc w:val="right"/>
              <w:rPr>
                <w:spacing w:val="-1"/>
              </w:rPr>
            </w:pPr>
            <w:r>
              <w:rPr>
                <w:spacing w:val="-1"/>
              </w:rPr>
            </w:r>
          </w:p>
          <w:p>
            <w:pPr>
              <w:pStyle w:val="Normal"/>
              <w:ind w:left="5954"/>
              <w:jc w:val="center"/>
              <w:rPr>
                <w:b/>
                <w:spacing w:val="-1"/>
              </w:rPr>
            </w:pPr>
            <w:r>
              <w:rPr>
                <w:bCs/>
                <w:spacing w:val="60"/>
                <w:sz w:val="28"/>
                <w:szCs w:val="28"/>
              </w:rPr>
              <w:t xml:space="preserve">            </w:t>
            </w:r>
            <w:r>
              <w:rPr>
                <w:b/>
                <w:bCs/>
                <w:spacing w:val="60"/>
                <w:sz w:val="28"/>
                <w:szCs w:val="28"/>
              </w:rPr>
              <w:t>УТВЕРЖДАЮ</w:t>
            </w:r>
          </w:p>
          <w:p>
            <w:pPr>
              <w:pStyle w:val="Normal"/>
              <w:ind w:left="5954"/>
              <w:jc w:val="right"/>
              <w:rPr>
                <w:bCs/>
                <w:spacing w:val="60"/>
              </w:rPr>
            </w:pPr>
            <w:r>
              <w:rPr>
                <w:b/>
                <w:bCs/>
              </w:rPr>
              <w:t>Исполняющий обязанности директора  СПб ГКУ «ЦОМГЗ»</w:t>
            </w:r>
          </w:p>
        </w:tc>
      </w:tr>
      <w:tr>
        <w:trPr/>
        <w:tc>
          <w:tcPr>
            <w:tcW w:w="14601" w:type="dxa"/>
            <w:tcBorders/>
          </w:tcPr>
          <w:p>
            <w:pPr>
              <w:pStyle w:val="Normal"/>
              <w:ind w:left="5954"/>
              <w:jc w:val="right"/>
              <w:rPr>
                <w:b/>
                <w:bCs/>
                <w:spacing w:val="60"/>
              </w:rPr>
            </w:pPr>
            <w:r>
              <w:rPr>
                <w:b/>
                <w:bCs/>
                <w:spacing w:val="60"/>
              </w:rPr>
            </w:r>
          </w:p>
        </w:tc>
      </w:tr>
      <w:tr>
        <w:trPr/>
        <w:tc>
          <w:tcPr>
            <w:tcW w:w="14601" w:type="dxa"/>
            <w:tcBorders/>
          </w:tcPr>
          <w:p>
            <w:pPr>
              <w:pStyle w:val="Normal"/>
              <w:ind w:left="5103"/>
              <w:jc w:val="right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</w:rPr>
              <w:t>_________________С.В.Ботвиньев</w:t>
            </w:r>
          </w:p>
        </w:tc>
      </w:tr>
      <w:tr>
        <w:trPr/>
        <w:tc>
          <w:tcPr>
            <w:tcW w:w="14601" w:type="dxa"/>
            <w:tcBorders/>
          </w:tcPr>
          <w:p>
            <w:pPr>
              <w:pStyle w:val="Normal"/>
              <w:ind w:left="5103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</w:r>
          </w:p>
        </w:tc>
      </w:tr>
      <w:tr>
        <w:trPr/>
        <w:tc>
          <w:tcPr>
            <w:tcW w:w="14601" w:type="dxa"/>
            <w:tcBorders/>
          </w:tcPr>
          <w:p>
            <w:pPr>
              <w:pStyle w:val="Normal"/>
              <w:ind w:left="5103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</w:rPr>
              <w:t>«___» ___________ 2026 г</w:t>
            </w:r>
            <w:r>
              <w:rPr/>
              <w:t>.</w:t>
            </w:r>
          </w:p>
        </w:tc>
      </w:tr>
    </w:tbl>
    <w:p>
      <w:pPr>
        <w:pStyle w:val="Style17"/>
        <w:jc w:val="right"/>
        <w:rPr>
          <w:rFonts w:ascii="Times New Roman" w:hAnsi="Times New Roman" w:cs="Times New Roman"/>
          <w:caps/>
          <w:color w:val="000000"/>
          <w:sz w:val="28"/>
          <w:szCs w:val="28"/>
        </w:rPr>
      </w:pPr>
      <w:r>
        <w:rPr>
          <w:rFonts w:cs="Times New Roman" w:ascii="Times New Roman" w:hAnsi="Times New Roman"/>
          <w:caps/>
          <w:color w:val="000000"/>
          <w:sz w:val="28"/>
          <w:szCs w:val="28"/>
        </w:rPr>
      </w:r>
    </w:p>
    <w:p>
      <w:pPr>
        <w:pStyle w:val="Normal"/>
        <w:spacing w:before="4" w:after="4"/>
        <w:ind w:left="170" w:right="85"/>
        <w:jc w:val="right"/>
        <w:rPr/>
      </w:pPr>
      <w:r>
        <w:rPr/>
      </w:r>
    </w:p>
    <w:p>
      <w:pPr>
        <w:pStyle w:val="Normal"/>
        <w:spacing w:before="4" w:after="4"/>
        <w:ind w:left="170" w:right="85"/>
        <w:jc w:val="right"/>
        <w:rPr/>
      </w:pPr>
      <w:r>
        <w:rPr/>
      </w:r>
    </w:p>
    <w:p>
      <w:pPr>
        <w:pStyle w:val="Normal"/>
        <w:spacing w:before="4" w:after="4"/>
        <w:ind w:firstLine="360" w:left="170" w:right="85"/>
        <w:jc w:val="center"/>
        <w:rPr>
          <w:bCs/>
        </w:rPr>
      </w:pPr>
      <w:r>
        <w:rPr>
          <w:bCs/>
        </w:rPr>
        <w:t xml:space="preserve">ОБОСНОВАНИЕ НАЧАЛЬНОЙ (МАКСИМАЛЬНОЙ) ЦЕНЫ КОНТРАКТА </w:t>
      </w:r>
    </w:p>
    <w:p>
      <w:pPr>
        <w:pStyle w:val="Normal"/>
        <w:spacing w:before="4" w:after="4"/>
        <w:ind w:firstLine="360" w:left="170" w:right="85"/>
        <w:jc w:val="center"/>
        <w:rPr>
          <w:b/>
          <w:bCs/>
        </w:rPr>
      </w:pPr>
      <w:r>
        <w:rPr>
          <w:b/>
          <w:bCs/>
        </w:rPr>
      </w:r>
    </w:p>
    <w:p>
      <w:pPr>
        <w:pStyle w:val="FootnoteText"/>
        <w:spacing w:before="4" w:after="4"/>
        <w:ind w:firstLine="681" w:left="170" w:right="85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Начальная (максимальная) цена контракта сформирована Заказчиком </w:t>
      </w:r>
      <w:r>
        <w:rPr>
          <w:sz w:val="24"/>
          <w:szCs w:val="24"/>
        </w:rPr>
        <w:t xml:space="preserve"> методом сопоставимых рыночных цен (анализа рынка) в соответствии с требованиями 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>
        <w:rPr>
          <w:color w:val="000000"/>
          <w:sz w:val="24"/>
          <w:szCs w:val="24"/>
        </w:rPr>
        <w:t>с учётом расходов на перевозку до места назначения, погрузо-разгрузочные работы, страхование, уплату таможенных пошлин, налогов и других обязательных платежей,</w:t>
      </w:r>
      <w:r>
        <w:rPr>
          <w:sz w:val="24"/>
          <w:szCs w:val="24"/>
        </w:rPr>
        <w:t xml:space="preserve"> в том числе НДС.</w:t>
      </w:r>
    </w:p>
    <w:p>
      <w:pPr>
        <w:pStyle w:val="Normal"/>
        <w:spacing w:before="4" w:after="4"/>
        <w:ind w:firstLine="681" w:left="170" w:right="85"/>
        <w:jc w:val="both"/>
        <w:rPr/>
      </w:pPr>
      <w:r>
        <w:rPr/>
        <w:t xml:space="preserve">Для определения цены контракта проведен мониторинг на основании ценовых предложений поставщиков, а также </w:t>
      </w:r>
      <w:r>
        <w:rPr/>
        <w:t>был направлен Запрос Коммерческих Предложений № 20260529003 от  29 мая 2026 года в Электронном Магазине АИС ГЗ</w:t>
      </w:r>
      <w:r>
        <w:rPr/>
        <w:t>. Получены от источников (Поставщиков) ценовой информации сведения о ценах:</w:t>
      </w:r>
    </w:p>
    <w:p>
      <w:pPr>
        <w:pStyle w:val="Normal"/>
        <w:spacing w:before="4" w:after="4"/>
        <w:ind w:left="170" w:right="85"/>
        <w:rPr/>
      </w:pPr>
      <w:r>
        <w:rPr/>
        <w:t xml:space="preserve">Поставщик №1 коммерческое предложение от 24.04.26 № 24.04-26/2, </w:t>
      </w:r>
      <w:r>
        <w:rPr/>
        <w:t>Вх. №1025 от 29 мая 23026 г.</w:t>
      </w:r>
    </w:p>
    <w:p>
      <w:pPr>
        <w:pStyle w:val="Normal"/>
        <w:spacing w:before="4" w:after="4"/>
        <w:ind w:right="85"/>
        <w:rPr/>
      </w:pPr>
      <w:r>
        <w:rPr/>
        <w:t xml:space="preserve">   </w:t>
      </w:r>
      <w:r>
        <w:rPr/>
        <w:t xml:space="preserve">Поставщик №2 коммерческое предложение от 27.04.26 № ПЕУТ-002704-1 </w:t>
      </w:r>
      <w:r>
        <w:rPr/>
        <w:t>Вх. №1026 от 29 мая 23026 г.</w:t>
      </w:r>
    </w:p>
    <w:p>
      <w:pPr>
        <w:pStyle w:val="Normal"/>
        <w:spacing w:before="4" w:after="4"/>
        <w:ind w:left="170" w:right="-31"/>
        <w:rPr/>
      </w:pPr>
      <w:r>
        <w:rPr/>
        <w:t xml:space="preserve">Поставщик №3 коммерческое предложение от 27.04.26 № 26КРО427/2 </w:t>
      </w:r>
      <w:r>
        <w:rPr/>
        <w:t>Вх. №1027 от 29 мая 23026 г.</w:t>
      </w:r>
    </w:p>
    <w:p>
      <w:pPr>
        <w:pStyle w:val="Normal"/>
        <w:spacing w:before="4" w:after="4"/>
        <w:ind w:left="170" w:right="-31"/>
        <w:rPr/>
      </w:pPr>
      <w:r>
        <w:rPr/>
      </w:r>
    </w:p>
    <w:p>
      <w:pPr>
        <w:pStyle w:val="Normal"/>
        <w:spacing w:before="4" w:after="4"/>
        <w:ind w:left="170" w:right="-31"/>
        <w:rPr/>
      </w:pPr>
      <w:r>
        <w:rPr/>
      </w:r>
    </w:p>
    <w:p>
      <w:pPr>
        <w:pStyle w:val="Normal"/>
        <w:spacing w:before="4" w:after="4"/>
        <w:ind w:left="170" w:right="-31"/>
        <w:rPr/>
      </w:pPr>
      <w:r>
        <w:rPr/>
      </w:r>
    </w:p>
    <w:p>
      <w:pPr>
        <w:pStyle w:val="Normal"/>
        <w:spacing w:before="4" w:after="4"/>
        <w:ind w:left="170" w:right="-31"/>
        <w:rPr/>
      </w:pPr>
      <w:r>
        <w:rPr/>
      </w:r>
    </w:p>
    <w:p>
      <w:pPr>
        <w:pStyle w:val="Normal"/>
        <w:spacing w:before="4" w:after="4"/>
        <w:ind w:left="170" w:right="-31"/>
        <w:rPr/>
      </w:pPr>
      <w:r>
        <w:rPr/>
      </w:r>
    </w:p>
    <w:p>
      <w:pPr>
        <w:pStyle w:val="Normal"/>
        <w:spacing w:before="4" w:after="4"/>
        <w:ind w:left="170" w:right="-31"/>
        <w:rPr/>
      </w:pPr>
      <w:r>
        <w:rPr/>
      </w:r>
    </w:p>
    <w:p>
      <w:pPr>
        <w:pStyle w:val="Normal"/>
        <w:spacing w:before="4" w:after="4"/>
        <w:ind w:firstLine="540" w:left="170" w:right="85"/>
        <w:jc w:val="both"/>
        <w:rPr/>
      </w:pPr>
      <w:r>
        <w:rPr/>
      </w:r>
    </w:p>
    <w:p>
      <w:pPr>
        <w:pStyle w:val="Normal"/>
        <w:spacing w:before="4" w:after="4"/>
        <w:ind w:right="85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9"/>
        <w:tblW w:w="13830" w:type="dxa"/>
        <w:jc w:val="left"/>
        <w:tblInd w:w="1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23"/>
        <w:gridCol w:w="2069"/>
        <w:gridCol w:w="1965"/>
        <w:gridCol w:w="1701"/>
        <w:gridCol w:w="1585"/>
        <w:gridCol w:w="1108"/>
        <w:gridCol w:w="1276"/>
        <w:gridCol w:w="992"/>
        <w:gridCol w:w="1134"/>
        <w:gridCol w:w="1275"/>
      </w:tblGrid>
      <w:tr>
        <w:trPr/>
        <w:tc>
          <w:tcPr>
            <w:tcW w:w="723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val="ru-RU" w:bidi="ar-SA"/>
              </w:rPr>
              <w:t>п/п</w:t>
            </w:r>
          </w:p>
        </w:tc>
        <w:tc>
          <w:tcPr>
            <w:tcW w:w="2069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Наименование</w:t>
            </w:r>
          </w:p>
          <w:p>
            <w:pPr>
              <w:pStyle w:val="Normal"/>
              <w:widowControl/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65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Источник ценовой информации</w:t>
            </w:r>
          </w:p>
        </w:tc>
        <w:tc>
          <w:tcPr>
            <w:tcW w:w="1701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Цены поставщиков за единицу товара, рублей</w:t>
            </w:r>
          </w:p>
        </w:tc>
        <w:tc>
          <w:tcPr>
            <w:tcW w:w="3969" w:type="dxa"/>
            <w:gridSpan w:val="3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Однородность совокупности значений выявленных цен, используемых в расчете НМЦ</w:t>
            </w:r>
          </w:p>
        </w:tc>
        <w:tc>
          <w:tcPr>
            <w:tcW w:w="992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Количество (</w:t>
            </w:r>
            <w:r>
              <w:rPr>
                <w:kern w:val="0"/>
                <w:lang w:val="en-US" w:bidi="ar-SA"/>
              </w:rPr>
              <w:t>V</w:t>
            </w:r>
            <w:r>
              <w:rPr>
                <w:kern w:val="0"/>
                <w:lang w:val="ru-RU" w:bidi="ar-SA"/>
              </w:rPr>
              <w:t>)</w:t>
            </w:r>
          </w:p>
        </w:tc>
        <w:tc>
          <w:tcPr>
            <w:tcW w:w="1134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Ед. изм.</w:t>
            </w:r>
          </w:p>
        </w:tc>
        <w:tc>
          <w:tcPr>
            <w:tcW w:w="1275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НМЦК </w:t>
            </w:r>
            <w:r>
              <w:rPr>
                <w:kern w:val="0"/>
                <w:sz w:val="20"/>
                <w:szCs w:val="20"/>
                <w:lang w:val="ru-RU" w:bidi="ar-SA"/>
              </w:rPr>
              <w:t xml:space="preserve">норм, </w:t>
            </w:r>
            <w:r>
              <w:rPr>
                <w:kern w:val="0"/>
                <w:lang w:val="ru-RU" w:bidi="ar-SA"/>
              </w:rPr>
              <w:t>руб.</w:t>
            </w:r>
          </w:p>
        </w:tc>
      </w:tr>
      <w:tr>
        <w:trPr/>
        <w:tc>
          <w:tcPr>
            <w:tcW w:w="723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2069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65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701" w:type="dxa"/>
            <w:vMerge w:val="continue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85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Средняя цена, руб. (Ц</w:t>
            </w:r>
            <w:r>
              <w:rPr>
                <w:kern w:val="0"/>
                <w:sz w:val="20"/>
                <w:szCs w:val="20"/>
                <w:lang w:val="ru-RU" w:bidi="ar-SA"/>
              </w:rPr>
              <w:t>пред</w:t>
            </w:r>
            <w:r>
              <w:rPr>
                <w:kern w:val="0"/>
                <w:lang w:val="ru-RU" w:bidi="ar-SA"/>
              </w:rPr>
              <w:t>)</w:t>
            </w:r>
          </w:p>
        </w:tc>
        <w:tc>
          <w:tcPr>
            <w:tcW w:w="1108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Среднее квадратичное отклонение σ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Коэффициент вариации цен V (%)     </w:t>
            </w:r>
          </w:p>
        </w:tc>
        <w:tc>
          <w:tcPr>
            <w:tcW w:w="992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134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275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both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723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</w:t>
            </w:r>
          </w:p>
        </w:tc>
        <w:tc>
          <w:tcPr>
            <w:tcW w:w="2069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left="170" w:right="85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Аптечка для оказания первой помощи с применением медицинских изделий пострадавшим в дорожно-транспортных происшествиях (автомобильная)</w:t>
            </w:r>
          </w:p>
        </w:tc>
        <w:tc>
          <w:tcPr>
            <w:tcW w:w="1965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Коммерческое предложение №1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790,00</w:t>
            </w:r>
          </w:p>
        </w:tc>
        <w:tc>
          <w:tcPr>
            <w:tcW w:w="1585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813,33</w:t>
            </w:r>
          </w:p>
        </w:tc>
        <w:tc>
          <w:tcPr>
            <w:tcW w:w="1108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67,87</w:t>
            </w:r>
          </w:p>
        </w:tc>
        <w:tc>
          <w:tcPr>
            <w:tcW w:w="1276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8,01</w:t>
            </w:r>
          </w:p>
        </w:tc>
        <w:tc>
          <w:tcPr>
            <w:tcW w:w="992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7</w:t>
            </w:r>
          </w:p>
        </w:tc>
        <w:tc>
          <w:tcPr>
            <w:tcW w:w="1134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КОМПЛ</w:t>
            </w:r>
            <w:r>
              <w:rPr>
                <w:kern w:val="0"/>
                <w:lang w:val="ru-RU" w:bidi="ar-SA"/>
              </w:rPr>
              <w:t>.</w:t>
            </w:r>
          </w:p>
        </w:tc>
        <w:tc>
          <w:tcPr>
            <w:tcW w:w="1275" w:type="dxa"/>
            <w:vMerge w:val="restart"/>
            <w:tcBorders/>
            <w:vAlign w:val="center"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5 693,3</w:t>
            </w:r>
            <w:r>
              <w:rPr>
                <w:kern w:val="0"/>
                <w:lang w:val="ru-RU" w:bidi="ar-SA"/>
              </w:rPr>
              <w:t>1</w:t>
            </w:r>
          </w:p>
        </w:tc>
      </w:tr>
      <w:tr>
        <w:trPr/>
        <w:tc>
          <w:tcPr>
            <w:tcW w:w="723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2069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965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Коммерческое предложение №2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850,00</w:t>
            </w:r>
          </w:p>
        </w:tc>
        <w:tc>
          <w:tcPr>
            <w:tcW w:w="1585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108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276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992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134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275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723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2069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965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Коммерческое предложение №3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800,00</w:t>
            </w:r>
          </w:p>
        </w:tc>
        <w:tc>
          <w:tcPr>
            <w:tcW w:w="1585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108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276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992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134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275" w:type="dxa"/>
            <w:vMerge w:val="continue"/>
            <w:tcBorders/>
          </w:tcPr>
          <w:p>
            <w:pPr>
              <w:pStyle w:val="Normal"/>
              <w:widowControl/>
              <w:spacing w:before="4" w:after="4"/>
              <w:ind w:right="85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</w:tbl>
    <w:p>
      <w:pPr>
        <w:pStyle w:val="Normal"/>
        <w:spacing w:before="4" w:after="4"/>
        <w:ind w:right="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>
      <w:pPr>
        <w:pStyle w:val="Normal"/>
        <w:widowControl w:val="false"/>
        <w:spacing w:before="4" w:after="4"/>
        <w:ind w:left="170" w:right="85"/>
        <w:jc w:val="center"/>
        <w:rPr/>
      </w:pPr>
      <w:r>
        <w:rPr/>
        <w:drawing>
          <wp:inline distT="0" distB="0" distL="0" distR="0">
            <wp:extent cx="1209675" cy="33337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>,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где: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V - коэффициент вариации;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drawing>
          <wp:inline distT="0" distB="0" distL="0" distR="0">
            <wp:extent cx="1590675" cy="523875"/>
            <wp:effectExtent l="0" t="0" r="0" b="0"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t>- среднее квадратичное отклонение;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drawing>
          <wp:inline distT="0" distB="0" distL="0" distR="0">
            <wp:extent cx="114300" cy="219075"/>
            <wp:effectExtent l="0" t="0" r="0" b="0"/>
            <wp:docPr id="3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t>- цена единицы товара, работы, услуги, указанная в источнике с номером i;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&lt;ц&gt; - средняя арифметическая величина цены единицы товара, работы, услуги;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n - количество значений, используемых в расчете.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>
      <w:pPr>
        <w:pStyle w:val="Normal"/>
        <w:widowControl w:val="false"/>
        <w:spacing w:before="4" w:after="4"/>
        <w:ind w:left="170" w:right="85"/>
        <w:jc w:val="center"/>
        <w:rPr/>
      </w:pPr>
      <w:r>
        <w:rPr/>
        <w:drawing>
          <wp:inline distT="0" distB="0" distL="0" distR="0">
            <wp:extent cx="1619250" cy="333375"/>
            <wp:effectExtent l="0" t="0" r="0" b="0"/>
            <wp:docPr id="4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>,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где: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drawing>
          <wp:inline distT="0" distB="0" distL="0" distR="0">
            <wp:extent cx="657225" cy="219075"/>
            <wp:effectExtent l="0" t="0" r="0" b="0"/>
            <wp:docPr id="5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t>- НМЦК, определяемая методом сопоставимых рыночных цен (анализа рынка);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v - количество (объем) закупаемого товара (работы, услуги);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n - количество значений, используемых в расчете;</w:t>
      </w:r>
    </w:p>
    <w:p>
      <w:pPr>
        <w:pStyle w:val="Normal"/>
        <w:widowControl w:val="false"/>
        <w:spacing w:before="4" w:after="4"/>
        <w:ind w:firstLine="540" w:left="170" w:right="85"/>
        <w:jc w:val="both"/>
        <w:rPr/>
      </w:pPr>
      <w:r>
        <w:rPr/>
        <w:t>i - номер источника ценовой информации;</w:t>
      </w:r>
    </w:p>
    <w:p>
      <w:pPr>
        <w:pStyle w:val="ListParagraph"/>
        <w:numPr>
          <w:ilvl w:val="0"/>
          <w:numId w:val="1"/>
        </w:numPr>
        <w:spacing w:before="4" w:after="4"/>
        <w:ind w:hanging="360" w:left="720" w:right="85"/>
        <w:contextualSpacing/>
        <w:jc w:val="both"/>
        <w:rPr/>
      </w:pPr>
      <w:r>
        <w:rPr/>
        <w:t>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>
      <w:pPr>
        <w:pStyle w:val="Normal"/>
        <w:spacing w:before="4" w:after="4"/>
        <w:ind w:left="170" w:right="85"/>
        <w:rPr>
          <w:b/>
        </w:rPr>
      </w:pPr>
      <w:r>
        <w:rPr>
          <w:b/>
        </w:rPr>
      </w:r>
    </w:p>
    <w:p>
      <w:pPr>
        <w:pStyle w:val="Normal"/>
        <w:spacing w:before="4" w:after="4"/>
        <w:ind w:left="170" w:right="85"/>
        <w:rPr>
          <w:b/>
        </w:rPr>
      </w:pPr>
      <w:r>
        <w:rPr>
          <w:b/>
        </w:rPr>
        <w:t>ИТОГО начальная (максимальная) цена контракта =  5 693,33  руб.</w:t>
      </w:r>
    </w:p>
    <w:p>
      <w:pPr>
        <w:pStyle w:val="Normal"/>
        <w:spacing w:before="4" w:after="4"/>
        <w:ind w:right="-30"/>
        <w:rPr/>
      </w:pPr>
      <w:r>
        <w:rPr/>
      </w:r>
    </w:p>
    <w:p>
      <w:pPr>
        <w:pStyle w:val="Normal"/>
        <w:spacing w:before="4" w:after="4"/>
        <w:ind w:left="170" w:right="85"/>
        <w:rPr/>
      </w:pPr>
      <w:r>
        <w:rPr/>
        <w:t>Расчет произвел:</w:t>
      </w:r>
    </w:p>
    <w:p>
      <w:pPr>
        <w:pStyle w:val="Normal"/>
        <w:spacing w:before="4" w:after="4"/>
        <w:ind w:left="170" w:right="85"/>
        <w:rPr/>
      </w:pPr>
      <w:r>
        <w:rPr/>
      </w:r>
    </w:p>
    <w:tbl>
      <w:tblPr>
        <w:tblW w:w="974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5971"/>
        <w:gridCol w:w="1795"/>
        <w:gridCol w:w="1983"/>
      </w:tblGrid>
      <w:tr>
        <w:trPr>
          <w:trHeight w:val="1050" w:hRule="atLeast"/>
        </w:trPr>
        <w:tc>
          <w:tcPr>
            <w:tcW w:w="5971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Начальник транспортного отдела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795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drawing>
                <wp:inline distT="0" distB="0" distL="0" distR="0">
                  <wp:extent cx="1089660" cy="673735"/>
                  <wp:effectExtent l="0" t="0" r="0" b="0"/>
                  <wp:docPr id="6" name="Изображение2" descr="49D419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2" descr="49D419F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673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                           </w:t>
            </w:r>
            <w:r>
              <w:rPr/>
              <w:t>С.А.Осипов</w:t>
            </w:r>
          </w:p>
        </w:tc>
      </w:tr>
    </w:tbl>
    <w:p>
      <w:pPr>
        <w:pStyle w:val="Normal"/>
        <w:spacing w:before="4" w:after="4"/>
        <w:ind w:left="170" w:right="85"/>
        <w:rPr/>
      </w:pPr>
      <w:r>
        <w:rPr/>
      </w:r>
    </w:p>
    <w:p>
      <w:pPr>
        <w:pStyle w:val="Normal"/>
        <w:spacing w:before="4" w:after="4"/>
        <w:ind w:left="170" w:right="85"/>
        <w:rPr/>
      </w:pPr>
      <w:r>
        <w:rPr/>
      </w:r>
    </w:p>
    <w:p>
      <w:pPr>
        <w:pStyle w:val="Normal"/>
        <w:spacing w:before="4" w:after="4"/>
        <w:ind w:left="170" w:right="85"/>
        <w:rPr/>
      </w:pPr>
      <w:r>
        <w:rPr/>
        <w:t>«_____» апреля 2026 г.</w:t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4977" w:leader="none"/>
        </w:tabs>
        <w:rPr/>
      </w:pPr>
      <w:r>
        <w:rPr/>
        <w:tab/>
      </w:r>
    </w:p>
    <w:p>
      <w:pPr>
        <w:pStyle w:val="Normal"/>
        <w:spacing w:before="4" w:after="4"/>
        <w:ind w:left="170" w:right="85"/>
        <w:jc w:val="right"/>
        <w:rPr>
          <w:rFonts w:cs="" w:cstheme="minorBidi"/>
        </w:rPr>
      </w:pPr>
      <w:r>
        <w:rPr>
          <w:rFonts w:cs="" w:cstheme="minorBidi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172.8pt;height:259.2pt" o:bullet="t">
        <v:imagedata r:id="rId1" o:title=""/>
      </v:shape>
    </w:pict>
  </w:numPicBullet>
  <w:abstractNum w:abstractNumId="1"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694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uiPriority w:val="99"/>
    <w:qFormat/>
    <w:rsid w:val="00eb694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uiPriority w:val="99"/>
    <w:qFormat/>
    <w:rsid w:val="00eb694d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5" w:customStyle="1">
    <w:name w:val="Абзац списка Знак"/>
    <w:link w:val="ListParagraph"/>
    <w:uiPriority w:val="34"/>
    <w:qFormat/>
    <w:locked/>
    <w:rsid w:val="00eb694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eb694d"/>
    <w:rPr>
      <w:rFonts w:ascii="Tahoma" w:hAnsi="Tahoma" w:eastAsia="Times New Roman" w:cs="Tahoma"/>
      <w:sz w:val="16"/>
      <w:szCs w:val="16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7" w:customStyle="1">
    <w:name w:val="Заголовок"/>
    <w:next w:val="BodyText"/>
    <w:qFormat/>
    <w:rsid w:val="00b626b6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2"/>
      <w:szCs w:val="22"/>
      <w:lang w:eastAsia="ru-RU" w:val="ru-RU" w:bidi="ar-SA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FootnoteText">
    <w:name w:val="footnote text"/>
    <w:basedOn w:val="Normal"/>
    <w:link w:val="Style14"/>
    <w:uiPriority w:val="99"/>
    <w:rsid w:val="00eb694d"/>
    <w:pPr>
      <w:spacing w:before="0" w:after="60"/>
      <w:jc w:val="both"/>
    </w:pPr>
    <w:rPr>
      <w:sz w:val="20"/>
      <w:szCs w:val="20"/>
    </w:rPr>
  </w:style>
  <w:style w:type="paragraph" w:styleId="BodyText2">
    <w:name w:val="Body Text 2"/>
    <w:basedOn w:val="Normal"/>
    <w:link w:val="2"/>
    <w:uiPriority w:val="99"/>
    <w:qFormat/>
    <w:rsid w:val="00eb694d"/>
    <w:pPr/>
    <w:rPr>
      <w:szCs w:val="20"/>
    </w:rPr>
  </w:style>
  <w:style w:type="paragraph" w:styleId="ListParagraph">
    <w:name w:val="List Paragraph"/>
    <w:basedOn w:val="Normal"/>
    <w:link w:val="Style15"/>
    <w:uiPriority w:val="34"/>
    <w:qFormat/>
    <w:rsid w:val="00eb694d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eb694d"/>
    <w:pPr/>
    <w:rPr>
      <w:rFonts w:ascii="Tahoma" w:hAnsi="Tahoma" w:cs="Tahoma"/>
      <w:sz w:val="16"/>
      <w:szCs w:val="16"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2c17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image" Target="media/image3.wmf"/><Relationship Id="rId5" Type="http://schemas.openxmlformats.org/officeDocument/2006/relationships/image" Target="media/image4.wmf"/><Relationship Id="rId6" Type="http://schemas.openxmlformats.org/officeDocument/2006/relationships/image" Target="media/image5.wmf"/><Relationship Id="rId7" Type="http://schemas.openxmlformats.org/officeDocument/2006/relationships/image" Target="media/image6.pn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7.wmf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17D1A-6772-4E89-B761-C87ABE0D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LibreOffice/24.8.5.2$Linux_X86_64 LibreOffice_project/480$Build-2</Application>
  <AppVersion>15.0000</AppVersion>
  <DocSecurity>4</DocSecurity>
  <Pages>3</Pages>
  <Words>468</Words>
  <Characters>3178</Characters>
  <CharactersWithSpaces>3823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2026-05-29T08:08:00Z</dcterms:created>
  <dc:creator>Осипов</dc:creator>
  <dc:description/>
  <dc:language>ru-RU</dc:language>
  <cp:lastModifiedBy/>
  <cp:lastPrinted>2022-08-23T06:22:00Z</cp:lastPrinted>
  <dcterms:modified xsi:type="dcterms:W3CDTF">2026-05-29T14:51:29Z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