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11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ДОГОВОР № Д26/ЭМО –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08"/>
        <w:jc w:val="both"/>
        <w:spacing w:before="0" w:beforeAutospacing="0" w:after="0" w:afterAutospacing="0"/>
        <w:shd w:val="clear" w:color="auto" w:fill="ffffff"/>
      </w:pPr>
      <w:r>
        <w:t xml:space="preserve">г. Санкт-Петербург                                                    Электронный магазин АИС ГЗ июнь 2026 г </w:t>
      </w:r>
      <w:r/>
    </w:p>
    <w:p>
      <w:pPr>
        <w:pStyle w:val="808"/>
        <w:jc w:val="right"/>
        <w:spacing w:before="0" w:beforeAutospacing="0" w:after="0" w:afterAutospacing="0"/>
        <w:shd w:val="clear" w:color="auto" w:fill="ffffff"/>
      </w:pPr>
      <w:r>
        <w:t xml:space="preserve">Реестровый номер закупки ________________</w:t>
      </w:r>
      <w:r/>
    </w:p>
    <w:p>
      <w:pPr>
        <w:pStyle w:val="711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</w:rPr>
        <w:t xml:space="preserve">Санкт-Петербу</w:t>
      </w:r>
      <w:r>
        <w:rPr>
          <w:rFonts w:ascii="Times New Roman" w:hAnsi="Times New Roman"/>
          <w:spacing w:val="-5"/>
          <w:sz w:val="24"/>
          <w:szCs w:val="24"/>
        </w:rPr>
        <w:t xml:space="preserve">ргское государственное унит</w:t>
      </w:r>
      <w:r>
        <w:rPr>
          <w:rFonts w:ascii="Times New Roman" w:hAnsi="Times New Roman"/>
          <w:spacing w:val="-5"/>
          <w:sz w:val="24"/>
          <w:szCs w:val="24"/>
        </w:rPr>
        <w:t xml:space="preserve">арное предприятие Пассажирского автомобильного транспорта (СПб ГУП «Пассажиравтотранс»), именуемое в дальнейшем «Заказчик», в лице главного инженера – заместителя генерального директора Беляева Анатолия Николаевича, действующего на основании доверенности №</w:t>
      </w:r>
      <w:r>
        <w:rPr>
          <w:rFonts w:ascii="Times New Roman" w:hAnsi="Times New Roman"/>
          <w:spacing w:val="-5"/>
          <w:sz w:val="24"/>
          <w:szCs w:val="24"/>
        </w:rPr>
        <w:t xml:space="preserve">199 от 02.12.2025 г., с одной стороны и _____________  (________), именуемое в дальнейшем «Исполнитель», в лице ________, действующего на основании _______, с другой стороны, далее совместно именуемые «Стороны», заключили настоящий Договор о нижеследующем:</w:t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  <w14:ligatures w14:val="none"/>
        </w:rPr>
      </w:pP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40"/>
        <w:jc w:val="center"/>
        <w:spacing w:before="0" w:after="0" w:line="240" w:lineRule="auto"/>
        <w:rPr>
          <w:rFonts w:ascii="Times New Roman" w:hAnsi="Times New Roman"/>
          <w:spacing w:val="-5"/>
          <w:sz w:val="24"/>
          <w:szCs w:val="24"/>
          <w14:ligatures w14:val="none"/>
        </w:rPr>
        <w:outlineLvl w:val="0"/>
      </w:pPr>
      <w:r>
        <w:rPr>
          <w:rFonts w:ascii="Times New Roman" w:hAnsi="Times New Roman"/>
          <w:spacing w:val="-5"/>
          <w:sz w:val="24"/>
          <w:szCs w:val="24"/>
        </w:rPr>
        <w:t xml:space="preserve">1. ПРЕДМЕТ ДОГОВОРА.</w:t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1.1. Заказчик поручает, а Исполнитель принимает на себя обязательства оказать квалифицированные услуги </w:t>
      </w:r>
      <w:r>
        <w:rPr>
          <w:rFonts w:ascii="Times New Roman" w:hAnsi="Times New Roman"/>
          <w:color w:val="000000"/>
          <w:sz w:val="24"/>
        </w:rPr>
        <w:t xml:space="preserve">по обслуживанию узлов коммерческого учета тепловой энергии СПб ГУП «Пассажиравтотранс»  на объектах Заказчика</w:t>
      </w:r>
      <w:r>
        <w:rPr>
          <w:rFonts w:ascii="Times New Roman" w:hAnsi="Times New Roman"/>
          <w:spacing w:val="-5"/>
          <w:sz w:val="24"/>
          <w:szCs w:val="24"/>
        </w:rPr>
        <w:t xml:space="preserve">.  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  <w14:ligatures w14:val="none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1.2. Услуги оказываются в соответствии с Техническим заданием (Приложение №1) что будет являться неотъемлемой частью договора.</w:t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  <w14:ligatures w14:val="none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1.3. Заказчик обязуется принять оказанные услуги и оплатить их в порядке и на условиях, определенных настоящим договором.</w:t>
      </w:r>
      <w:r>
        <w:rPr>
          <w:rFonts w:ascii="Times New Roman" w:hAnsi="Times New Roman"/>
          <w:spacing w:val="-5"/>
          <w:sz w:val="24"/>
          <w:szCs w:val="24"/>
          <w14:ligatures w14:val="none"/>
        </w:rPr>
        <w:t xml:space="preserve">  </w:t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  <w14:ligatures w14:val="none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1.4. </w:t>
      </w:r>
      <w:r>
        <w:rPr>
          <w:rFonts w:ascii="Times New Roman" w:hAnsi="Times New Roman"/>
          <w:color w:val="000000"/>
          <w:sz w:val="24"/>
        </w:rPr>
        <w:t xml:space="preserve">Срок оказания услуг: с 01.07.2026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</w:rPr>
        <w:t xml:space="preserve">по 30.06.2027.   </w:t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  <w14:ligatures w14:val="none"/>
        </w:rPr>
      </w:pP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40"/>
        <w:jc w:val="center"/>
        <w:spacing w:before="0" w:after="0" w:line="240" w:lineRule="auto"/>
        <w:rPr>
          <w:rFonts w:ascii="Times New Roman" w:hAnsi="Times New Roman"/>
          <w:spacing w:val="-5"/>
          <w:sz w:val="24"/>
          <w:szCs w:val="24"/>
          <w14:ligatures w14:val="none"/>
        </w:rPr>
        <w:outlineLvl w:val="0"/>
      </w:pPr>
      <w:r>
        <w:rPr>
          <w:rFonts w:ascii="Times New Roman" w:hAnsi="Times New Roman"/>
          <w:spacing w:val="-5"/>
          <w:sz w:val="24"/>
          <w:szCs w:val="24"/>
        </w:rPr>
        <w:t xml:space="preserve">2. СТОИМОСТЬ ДОГОВОРА И ПОРЯДОК РАСЧЕТОВ</w:t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</w:p>
    <w:p>
      <w:pPr>
        <w:pStyle w:val="765"/>
        <w:ind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  <w:highlight w:val="none"/>
          <w14:ligatures w14:val="none"/>
        </w:rPr>
      </w:pP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2.1. </w:t>
      </w: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Общая стоимость Договора (Приложение № 2 к Договору) составляет ____________ руб. ____ коп. (_____________ прописью), в том числе НДС ___% - _______руб. </w:t>
      </w: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____ коп.</w:t>
      </w:r>
      <w:r/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 (__________________прописью) (либо НДС не облагается с указанием пункта и статьи НК РФ).</w:t>
      </w: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 </w:t>
      </w:r>
      <w:r>
        <w:rPr>
          <w:rFonts w:ascii="Times New Roman" w:hAnsi="Times New Roman"/>
          <w:spacing w:val="-5"/>
          <w:sz w:val="24"/>
          <w:szCs w:val="24"/>
          <w:highlight w:val="none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:highlight w:val="none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2</w:t>
      </w: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.2. Изменение ставки НДС, а также применение (утрата) Исполнителем права на освобождение от НДС (ст.145 НК РФ), не влечет за собой изменение суммы договора и /или цены единичных расценок. При этом сумма НДС исчисляется по ставке, ук</w:t>
      </w: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азанной в ст. 164 НК РФ на дату оказания услуг Стороны подписывают Дополнительное соглашение об изменении применяемой Исполнителем ставки НДС с соответствующей корректировкой п. 2.1 Д</w:t>
      </w: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оговора и расчета цены договора без изменения общей стоимости договора, указанного в п. 2.1.</w:t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В случае, если догов</w:t>
      </w: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ор заключается с физическим лицом, за исключением индивидуального предпринимателя, или иного, занимающегося частной практикой, лица, сумма, подлежащая уплате физическому лицу, подлежит уменьшению на размер налоговых платежей, связанных с оплатой договора. </w:t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/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pacing w:val="-5"/>
          <w:sz w:val="24"/>
          <w:szCs w:val="24"/>
          <w14:ligatures w14:val="none"/>
        </w:rPr>
        <w:t xml:space="preserve">2.3. Цена за единицу услуги является неизменной на протяжении всего срока действия договора.  </w:t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</w:p>
    <w:p>
      <w:pPr>
        <w:pStyle w:val="765"/>
        <w:ind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2.4. В стоимость услуг входят все услуги и затраты, в том числе: стоимость материалов, расходы на перевозку, погрузо-разгрузочные работы, непредвиденные расходы и за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траты, не упомянутые в техническом задании, но предусмотренные технологиями, принятыми для аналогичного вида услуг, и необходимые для завершения полного комплекса услуг по настоящему Договору с надлежащим качеством и для сдачи результата оказанных услуг За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казчику. Исполнитель не вправе требовать дополнительной оплаты этих услуг и в случае, когда эти услуги включены в акт сдачи-приемки оказанных услуг (далее – акт сдачи-приемки) или в универсальный передаточный документ (далее – УПД) и подписаны Заказчиком.   </w:t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2.5. Заказчик производит оп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лату только за фактически оказанные услуги, после их полного завершения, включая устранение выявленных недостатков, в течение 7 (семи) рабочих дней после подписания Заказчиком акта сдачи-приемки или УПД и предоставления Исполнителем счета и счета-фактуры. 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2.6. Услуги, оказанные Исполнителем с недостатками и отклонениями от Технического задания и настоящего договора, не подлежат оплате Заказчиком до устранения недостатков и отклонений.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2.7. Оплата оказанных услуг осуществляется за счет средств Заказчика, авансирование не предусмотрено.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2.8. Расчеты по настоящему договору производятся в безналичном порядке путем перечисления денежных средств на расчетный счет исполнителя либо иным путем, предусмотренным действующим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законодательством РФ. В случае перечисления оплаты по настоящему договору в безналичном порядке на расчетный счет Исполнителя, обязательства Заказчика по оплате услуг считаются исполненными с момента списания денежных средств с расчетного счета Заказчика.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2.9. При оплате оказанных услуг Заказчик имеет право удержать все штрафы и пени с суммы, причитающейся к оплате Исполнителю.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2.10. Первичные учетные документы должны быть оформлены в соответствии с требованиями Федерального закона от 06.12.2011 №402-ФЗ «О бухга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лтерском учете». Счета-фактуры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№1137. 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2.11. Исполнитель обязуется оформить бухгалтерские документы на каждую заявку с указанием наименования и адреса филиала в соответствии со следующими требованиями: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2.11.1.  В счете указывать в строке Плательщик (Покупатель) –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СПб ГУП «Пассажиравтотранс», 195197, Санкт-Петербург, Полюстровский пр., д. 39, ИНН / КПП 7830001758 / 785150001.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В счете также указывается № и даты договора и адреса оказания услуг.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2.11.2. В акте сдачи-приемки оказанных услуг указывать в строке Заказчик –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СПб ГУП «Пассажиравтотранс», 195197, Санкт-Петербург, Полюстровский пр., д. 39, ИНН / КПП 7830001758 / 785150001;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В строке Получатель услуг и его адрес – наименование и адрес филиала из таблицы ниже.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Также в акте сдачи-приемки оказанных услуг указывается № и даты договора. 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2.11.3. В счете-фактуре указывать: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Строка Грузополучатель и его адрес – не заполняется;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В строке ИНН / КПП покупателя – ИНН / КПП филиала получателя услуг, из таблицы ниже. 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2.11.4. В УПД указывать: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Строка Грузополучатель и его адрес – не заполняется;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В строке ИНН / КПП покупателя – ИНН / КПП филиала получателя услуг, из таблицы ниже.  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В строке Наименование экономического субъекта – составителя документа – СПб ГУП «Пассажиравтотранс», ИНН / КПП 7830001758 / 785150001.</w:t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  <w:r>
        <w:rPr>
          <w:rFonts w:ascii="Times New Roman" w:hAnsi="Times New Roman"/>
          <w:color w:val="000000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 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tbl>
      <w:tblPr>
        <w:tblW w:w="9630" w:type="dxa"/>
        <w:jc w:val="center"/>
        <w:tblInd w:w="0" w:type="dxa"/>
        <w:tblLayout w:type="fixed"/>
        <w:tblCellMar>
          <w:left w:w="57" w:type="dxa"/>
          <w:top w:w="28" w:type="dxa"/>
          <w:right w:w="57" w:type="dxa"/>
          <w:bottom w:w="28" w:type="dxa"/>
        </w:tblCellMar>
        <w:tblLook w:val="04A0" w:firstRow="1" w:lastRow="0" w:firstColumn="1" w:lastColumn="0" w:noHBand="0" w:noVBand="1"/>
      </w:tblPr>
      <w:tblGrid>
        <w:gridCol w:w="2354"/>
        <w:gridCol w:w="3795"/>
        <w:gridCol w:w="1740"/>
        <w:gridCol w:w="1740"/>
      </w:tblGrid>
      <w:tr>
        <w:tblPrEx/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235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Наименование филиала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Адрес филиала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ИНН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КПП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235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СПб ГУП «Пассажиравтотранс»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195197, СПб, Полюстровский пр., 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  <w:p>
            <w:pPr>
              <w:pStyle w:val="806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д. 39, литер А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7830 001758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7851 50001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235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Автобусный парк №1  (АП № 1)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192102, СПб, ул. Бухарестская, д. 18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7830 001758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7816 45001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235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Автобусный парк №2  (АП № 2)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197375, СПб, ул. Автобусная, д.8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7830 001758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7814 43001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235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Автобусный парк №5  (АП № 5)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198207, СПб, пр. Стачек, д.108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7830 001758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7805 43001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235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Автобусный парк №6  (АП № 6)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195253, СПб, ул. Стасовой, д.14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7830 001758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7806 43002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235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Автобусный парк №7  (АП № 7)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196240, СПб, ул. Кубинская, д.86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7830 001758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7810 43001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235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Колпинский автобусный парк (КАП)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196650, СПб, г. Колпино, </w:t>
              <w:br/>
              <w:t xml:space="preserve"> ул. Финляндская, д. 22, литер 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7830 001758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7817 43001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235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Медико-санитарная часть №70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(МСЧ №70)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3795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both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195009, СПб, ул. Комсомола, д. 12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7830 001758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174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7804 02002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r>
          </w:p>
        </w:tc>
      </w:tr>
    </w:tbl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 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2.11.5. Неверно оформленные первичные учетные документы, в том числе с арифметическими ошибками, подлежат возврату и замене.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2.12. Замена неверно оформленных первичных учетных документов производится Испол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нителем в течение 3 (трех) рабочих дней с момента получения по телефону или по электронной почте уведомления об обнаруженных ошибках, путем предоставления Заказчику, по адресу которого оказывались услуги, правильно оформленных первичных учетных документов.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2.13. Стороны обязуются ежеквартально (либо по требованию одной из Сторон), по состоянию на последнее число отчетного периода, провести сверку взаимных расчетов (требований и обязательст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в). Результаты сверки оформляются Актом сверки, содержащим сведения об оборотах и остатках на начало и конец отчетного периода. Акт сверки составляется и подписывается в двух экземплярах не позднее последнего числа месяца, следующего за отчетным периодом. 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Сверка осуществляется в следующем порядке: Исполнитель не позднее 15 числа месяца, следующего за отчетным периодом, направляет Заказчику</w:t>
      </w:r>
      <w:bookmarkStart w:id="0" w:name="_GoBack"/>
      <w:r/>
      <w:bookmarkEnd w:id="0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акт сверки. В случае отсутствия возражений, Заказчик направляет Исполнителю, подписанный акт сверки.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При возникновении разногласий по Акту сверки Стороны обя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зуются урегулировать их и подписать Акт сверки не позднее последнего числа месяца, следующего за отчетным периодом. Заказчик вправе самостоятельно подготовить и направить в адрес Исполнителя акт сверки в порядке, предусмотренном настоящим пунктом Договора.</w:t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  <w:r>
        <w:rPr>
          <w:rFonts w:ascii="Times New Roman" w:hAnsi="Times New Roman"/>
          <w:spacing w:val="-5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3. ПОРЯДОК ОКАЗАНИЯ И ПРИЕМКИ УСЛУГ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65"/>
        <w:numPr>
          <w:ilvl w:val="0"/>
          <w:numId w:val="0"/>
        </w:numPr>
        <w:ind w:left="0" w:firstLine="567"/>
        <w:jc w:val="both"/>
        <w:spacing w:before="0" w:after="0" w:line="240" w:lineRule="auto"/>
        <w:rPr>
          <w:rFonts w:ascii="Times New Roman" w:hAnsi="Times New Roman"/>
          <w:sz w:val="24"/>
          <w:szCs w:val="24"/>
          <w:highlight w:val="none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3.1. Услуги по обслуживанию узлов коммерческого учета тепловой энергии </w:t>
        <w:br/>
        <w:t xml:space="preserve"> (далее – УКУТЭ) оказываются ежемесячно согласно Техническому заданию (Приложение №1 к договору). </w:t>
      </w:r>
      <w:r>
        <w:rPr>
          <w:rFonts w:ascii="Times New Roman" w:hAnsi="Times New Roman"/>
          <w:sz w:val="24"/>
          <w:szCs w:val="24"/>
          <w:highlight w:val="none"/>
          <w14:ligatures w14:val="none"/>
        </w:rPr>
      </w:r>
      <w:r>
        <w:rPr>
          <w:rFonts w:ascii="Times New Roman" w:hAnsi="Times New Roman"/>
          <w:sz w:val="24"/>
          <w:szCs w:val="24"/>
          <w:highlight w:val="none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3.2. Исполнитель получает от Заказчика необходимую для оказания услуг информацию и документацию.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3.3. Услуги оказываются персоналом Исполнителя ежемесячно в рабочие дни с 8:30 до 17:00 часов. День выхода на обслуживание УКУТЭ Исполнитель согласовывает с Заказчиком не позднее чем за 2 рабочих дня до дня оказания услуг.   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3.4. Приемка услуг оформляется актом сдачи-пр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иемки или УПД, который вместе со счетом и счетом-фактурой выставляются на каждый адрес оказания услуг отдельно и предоставляется Исполнителем Заказчику, по адресу которого оказывались услуги, в течение 5 (пяти) рабочих дней месяца, следующего за отчетным.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3.5. Оказанные услуги по плановой п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оверке приборов УКУТЭ включаются в акт сдачи-приемки или УПД только после запуска поверенного прибора в коммерческую эксплуатацию (получение разрешения от теплоснабжающей организации на включение УКУТЭ на передачу показаний в теплоснабжающую организацию).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3.6. Направление Исполнителем актов сдачи-приемки или УПД, счетов и счетов-фактур в адрес Заказчика, по адресу которого оказывались услуги, осуществляетс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я с сопроводительным письмом с обязательным указанием исходящего номера и даты, наименования услуги и номера договора, с перечнем прилагаемых учетных документов, за подписью Исполнителя в двух экземплярах посредством почтовой связи, курьером или нарочным.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3.7. Заказчик в течение 10 (десяти) рабочих дней с момента получения подписывает акт сдачи-приемки оказанных услуг либо в тот же срок направляет Исполнителю мотивированный отказ.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3.8. В случае выявления недостатков, отклонений в оказанных услугах исполнитель обязан устранить данные нарушения в установленный Заказчиком срок.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3.9. Услуги считаются оказанными с момента подписания Сторонами акта сдачи-приемки или УПД.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sz w:val="24"/>
          <w:szCs w:val="24"/>
          <w14:ligatures w14:val="none"/>
        </w:rPr>
        <w:t xml:space="preserve"> 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0"/>
        <w:jc w:val="center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 ПРАВА И ОБЯЗАННОСТИ СТОРОН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 Исполнитель обязуется: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4.1.1. Оказать предусмотренные настоящим договором услуги, обеспечив их надлежащее качество в соответствии с техническим заданием, требованиями действующих стандартов, норм, правил и иных требований Законодательства РФ.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4.1.2. Оказать услуги в сроки, установленные Заказчиком.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4.1.3. Исполнять указания Заказчика относительно порядка оказания услуг.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4.1.4. Предоставить все необходимые документы в сроки и в порядке, установленные разделом 3 настоящего Договора.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4.1.5. Обеспечить надежную и бесперебойную работу УКУТЭ.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4.1.6. Своими силами и за свой счет устранять в кратчайшие сроки недостатки, допущенные по вине Исполните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ля в ходе технического обслуживания УКУТЭ. Наличие недостатков, допущенных Исполнителем в ходе технического обслуживания, может устанавливаться Заказчиком и/или иными контролирующими и эксплуатирующими организациями в течение всего срока действия договора.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4.1.7. При нанесении ущерба, заменить поврежденное оборудование на идентичное исправное, приобретая его за свой счет в сроки, установленные Заказчиком.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4.1.8. Уведомлять Заказчика в письменной форме при обнаружении не зависящих от Исполнителя обстоятельств, которые создают невозможность оказания услуг в установленные сроки. 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4.1.9. При исполнении услуг на территории Заказчика, соблюдать требования норм по охране труда и пожарной безопасности, санитарно-гигиенические и экологические нормы, правила внутреннего трудового распорядка Заказчика.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4.1.10. При оказании услуг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 руководствоваться «Правилами допуска на объект транспортной инфраструктуры автомобильного и городского наземного электрического транспорта» и «Положением о допуске персонала сторонних организаций к выполнению работ на объектах СПб ГУП «Пассажиравтотранс».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4.1.11. По окончанию оказания услуг убрать мусор.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67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4.2. Исполнитель вправе: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4.2.1. Требовать своевременной оплаты на условиях, установленных договором, надлежащим образом оказанных и принятых Заказчиком услуг. 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4.3. Заказчик обязуется: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4.3.1. Предоставить Исполнителю необходимую информацию для оказания услуг по настоящему Договору.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4.3.2. Оплатить услуги Исполнителя в соответствии с разделом 2 настоящего Договора.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4.3.3. Оказывать содействие Исполнителю в оказании услуг по настоящему Договору. 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65"/>
        <w:ind w:left="0" w:right="0" w:firstLine="567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4.4. Заказчик вправе: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67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4.4.1. Требовать от Исполнителя надлежащего исполнения обязательств, установленных Договором. 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67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4.4.2. Требовать от Исполнителя своевременного устранения недостатков, выявленных как в ходе приемки услуг, так и в течение гарантийного периода. 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67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4.4.3. Проверять ход и качество оказания Исполнителем услуг по договору, не вмешиваясь в деятельность Исполнителя и соблюдая правила техники безопасности, установленные Исполнителем.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67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4.4.4. Не оплачивать услуги, выполненные с недостатками, до их устранения.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67"/>
        <w:jc w:val="both"/>
        <w:spacing w:before="0" w:after="0" w:line="240" w:lineRule="auto"/>
        <w:rPr>
          <w:rFonts w:ascii="Times New Roman" w:hAnsi="Times New Roman"/>
          <w:color w:val="000000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4.4.5. В случае нарушения Исполнителем обязательств по Договору, удержать пени и штрафы, начисленные в соответствии с разделом 5 Договора, из суммы, подлежащей уплате Исполнителю. </w:t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  <w:r>
        <w:rPr>
          <w:rFonts w:ascii="Times New Roman" w:hAnsi="Times New Roman"/>
          <w:color w:val="000000"/>
          <w:sz w:val="24"/>
          <w:szCs w:val="24"/>
          <w14:ligatures w14:val="none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14:ligatures w14:val="none"/>
        </w:rPr>
      </w:pPr>
      <w:r>
        <w:rPr>
          <w:rFonts w:ascii="Times New Roman" w:hAnsi="Times New Roman"/>
          <w:color w:val="000000"/>
          <w:sz w:val="24"/>
          <w:szCs w:val="24"/>
          <w14:ligatures w14:val="none"/>
        </w:rPr>
        <w:t xml:space="preserve">4.4.6. Не расходовать всю сумму Договора, указанную в п. 2.1.  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 ОТВЕТСТВЕННОСТЬ СТОРОН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widowControl w:val="off"/>
        <w:rPr>
          <w:rFonts w:ascii="Times New Roman" w:hAnsi="Times New Roman"/>
          <w:sz w:val="24"/>
          <w:szCs w:val="24"/>
          <w14:ligatures w14:val="none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5.1. За неисполнение или ненадлежащее исполнение обязательств по Договору Заказчик и Исполнитель несут ответственность в соответствии с действующем законодательством Российской Федерации.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widowControl w:val="off"/>
        <w:rPr>
          <w:rFonts w:ascii="Times New Roman" w:hAnsi="Times New Roman"/>
          <w:sz w:val="24"/>
          <w:szCs w:val="24"/>
          <w14:ligatures w14:val="none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5.2. За каждый факт неис</w:t>
      </w:r>
      <w:r>
        <w:rPr>
          <w:rFonts w:ascii="Times New Roman" w:hAnsi="Times New Roman"/>
          <w:sz w:val="24"/>
          <w:szCs w:val="24"/>
        </w:rPr>
        <w:t xml:space="preserve">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устанавливается штраф в размере 10% (десяти процентов) от цены Договора.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widowControl w:val="off"/>
        <w:rPr>
          <w:rFonts w:ascii="Times New Roman" w:hAnsi="Times New Roman"/>
          <w14:ligatures w14:val="none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5.3.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устанавливается штраф в размере 1 000 (одной тысячи) рублей. </w:t>
      </w:r>
      <w:r>
        <w:rPr>
          <w:rFonts w:ascii="Times New Roman" w:hAnsi="Times New Roman"/>
          <w14:ligatures w14:val="none"/>
        </w:rPr>
      </w:r>
      <w:r>
        <w:rPr>
          <w:rFonts w:ascii="Times New Roman" w:hAnsi="Times New Roman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widowControl w:val="off"/>
        <w:rPr>
          <w:rFonts w:ascii="Times New Roman" w:hAnsi="Times New Roman"/>
          <w14:ligatures w14:val="none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5.4. В случае просрочки исполнения обяза</w:t>
      </w:r>
      <w:r>
        <w:rPr>
          <w:rFonts w:ascii="Times New Roman" w:hAnsi="Times New Roman"/>
          <w:sz w:val="24"/>
          <w:szCs w:val="24"/>
        </w:rPr>
        <w:t xml:space="preserve">тельств, предусмотренных договором, Исполнителю начисляются пени. Пени начисляются за каждый день просрочки исполнения Исполнителем обязательств, предусмотренных договором, в размере 0,3 % от стоимости неисполненного в срок соответствующего обязательства. </w:t>
      </w:r>
      <w:r>
        <w:rPr>
          <w:rFonts w:ascii="Times New Roman" w:hAnsi="Times New Roman"/>
          <w14:ligatures w14:val="none"/>
        </w:rPr>
      </w:r>
      <w:r>
        <w:rPr>
          <w:rFonts w:ascii="Times New Roman" w:hAnsi="Times New Roman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widowControl w:val="off"/>
        <w:rPr>
          <w:rFonts w:ascii="Times New Roman" w:hAnsi="Times New Roman"/>
          <w14:ligatures w14:val="none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5.5. В случае просроч</w:t>
      </w:r>
      <w:r>
        <w:rPr>
          <w:rFonts w:ascii="Times New Roman" w:hAnsi="Times New Roman"/>
          <w:sz w:val="24"/>
          <w:szCs w:val="24"/>
        </w:rPr>
        <w:t xml:space="preserve">ки исполнения гарантийного обязательства предусмотренного договором, Исполнителю начисляются пени. Пени начисляются за каждый день просрочки исполнения Исполнителем гарантийных обязательств, предусмотренных договором, в размере 1 000 (одной тысячи) рублей.</w:t>
      </w:r>
      <w:r>
        <w:rPr>
          <w:rFonts w:ascii="Times New Roman" w:hAnsi="Times New Roman"/>
          <w14:ligatures w14:val="none"/>
        </w:rPr>
      </w:r>
      <w:r>
        <w:rPr>
          <w:rFonts w:ascii="Times New Roman" w:hAnsi="Times New Roman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widowControl w:val="off"/>
        <w:rPr>
          <w:rFonts w:ascii="Times New Roman" w:hAnsi="Times New Roman"/>
          <w:sz w:val="24"/>
          <w:szCs w:val="24"/>
          <w14:ligatures w14:val="none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5.6. За</w:t>
      </w:r>
      <w:r>
        <w:rPr>
          <w:rFonts w:ascii="Times New Roman" w:hAnsi="Times New Roman"/>
          <w:sz w:val="24"/>
          <w:szCs w:val="24"/>
        </w:rPr>
        <w:t xml:space="preserve"> каждый факт нарушения срока передачи документов, подтверждающих выполнение гарантийного ремонта (актов выполненных работ с сопроводительным письмом), предусмотренных договором, с Исполнителя подлежит взысканию штраф в размере 1 000 (одной тысячи) рублей.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widowControl w:val="off"/>
        <w:rPr>
          <w:rFonts w:ascii="Times New Roman" w:hAnsi="Times New Roman"/>
          <w:sz w:val="24"/>
          <w:szCs w:val="24"/>
          <w14:ligatures w14:val="none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5.7. Общая сумма начисленных штрафных санкций за неисполнение или ненадлежащее исполнение Исполнителем обязательств, предусмотренных договором, не может превышать цену Договора.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widowControl w:val="off"/>
        <w:rPr>
          <w:rFonts w:ascii="Times New Roman" w:hAnsi="Times New Roman"/>
          <w:sz w:val="24"/>
          <w:szCs w:val="24"/>
          <w14:ligatures w14:val="none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5.8. Исполнитель несет ответственность за ущерб, нанесенный Заказчику уничтожением  имущества по вине лиц Исполнителя оказывающих услуг по настоящему Договору.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widowControl w:val="off"/>
        <w:rPr>
          <w:rFonts w:ascii="Times New Roman" w:hAnsi="Times New Roman"/>
          <w:sz w:val="24"/>
          <w:szCs w:val="24"/>
          <w14:ligatures w14:val="none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5.9. Исполнитель несет ответственность за организацию и выполнение мероприятий по охране труда, обеспечение пожарной безопасности и охраны окружающей среды, а также за квалификацию своих работников и соблюдение ими соответствующих норм и правил.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widowControl w:val="off"/>
        <w:rPr>
          <w:rFonts w:ascii="Times New Roman" w:hAnsi="Times New Roman"/>
          <w:sz w:val="24"/>
          <w:szCs w:val="24"/>
          <w14:ligatures w14:val="none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5.10. Заказчик вправе произвести Исполнителю оплату оказанных услуг за вычетом суммы неустойки (пеней, штрафов), начисленной Заказчиком в соответствии с настоящим договором. 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widowControl w:val="off"/>
        <w:rPr>
          <w:rFonts w:ascii="Times New Roman" w:hAnsi="Times New Roman"/>
          <w:sz w:val="24"/>
          <w:szCs w:val="24"/>
          <w14:ligatures w14:val="none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5.11. Уплата штрафных санкций не освобождает Исполнителя от исполнения обязательств по договору.</w:t>
      </w:r>
      <w:r>
        <w:rPr>
          <w:rFonts w:ascii="Times New Roman" w:hAnsi="Times New Roman"/>
          <w:sz w:val="24"/>
          <w:szCs w:val="24"/>
          <w14:ligatures w14:val="none"/>
        </w:rPr>
      </w:r>
      <w:r>
        <w:rPr>
          <w:rFonts w:ascii="Times New Roman" w:hAnsi="Times New Roman"/>
          <w:sz w:val="24"/>
          <w:szCs w:val="24"/>
          <w14:ligatures w14:val="none"/>
        </w:rPr>
      </w:r>
    </w:p>
    <w:p>
      <w:pPr>
        <w:pStyle w:val="711"/>
        <w:numPr>
          <w:ilvl w:val="0"/>
          <w:numId w:val="0"/>
        </w:numPr>
        <w:ind w:left="0" w:firstLine="567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5.12. Также Стороны соглашаются о том, что проценты по денежному обязательству, предусмотренные ст. 317.1 ГК РФ по настоящему Договору не начисляются и не выплачиваются.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567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left="780" w:firstLine="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ПОРЯДОК УРЕГУЛИРОВАНИЯ ВОЗМОЖНЫХ СПОРОВ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Все споры, которые могут возникнуть из настоящего договора, Стороны пытаются решить путем переговоров и направления претензий. Претензии направляются в письменном виде с использованием средств почтовой связи с уведомлением.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Если Стороны не достигнут согласованного решения, спор разрешается в Арбитражном суде Санкт-Петербурга и Ленинградской области.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jc w:val="center"/>
        <w:spacing w:before="0" w:after="0" w:line="240" w:lineRule="auto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>
        <w:rPr>
          <w:rFonts w:ascii="Times New Roman" w:hAnsi="Times New Roman"/>
          <w:caps/>
          <w:sz w:val="24"/>
          <w:szCs w:val="24"/>
        </w:rPr>
        <w:t xml:space="preserve">Конфиденциальность </w:t>
      </w:r>
      <w:r>
        <w:rPr>
          <w:rFonts w:ascii="Times New Roman" w:hAnsi="Times New Roman"/>
          <w:caps/>
          <w:sz w:val="24"/>
          <w:szCs w:val="24"/>
        </w:rPr>
      </w:r>
      <w:r>
        <w:rPr>
          <w:rFonts w:ascii="Times New Roman" w:hAnsi="Times New Roman"/>
          <w:caps/>
          <w:sz w:val="24"/>
          <w:szCs w:val="24"/>
        </w:rPr>
      </w:r>
    </w:p>
    <w:p>
      <w:pPr>
        <w:pStyle w:val="711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 xml:space="preserve">полученной сторонами информации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 Если сторона, в результате исполнения своего обязательства по настоящему договору, получила от друг</w:t>
      </w:r>
      <w:r>
        <w:rPr>
          <w:rFonts w:ascii="Times New Roman" w:hAnsi="Times New Roman"/>
          <w:sz w:val="24"/>
          <w:szCs w:val="24"/>
        </w:rPr>
        <w:t xml:space="preserve">ой стороны информацию о новых решениях и технических знаниях, в том числе не защищаемых законом, а также сведения, которые составляют коммерческую тайну, сторона, получившая такую информацию, не вправе сообщать ее третьим лицам без согласия другой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8. ФОРС-МАЖОРНЫЕ ОБСТОЯТЕЛЬСТВА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8.1.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</w:t>
      </w:r>
      <w:r>
        <w:rPr>
          <w:rFonts w:ascii="Times New Roman" w:hAnsi="Times New Roman"/>
          <w:sz w:val="24"/>
          <w:szCs w:val="24"/>
        </w:rPr>
        <w:t xml:space="preserve">икших после заключения договора в результате событий чрезвычайного характера, наступление которых Сторона, не исполнившая обязательство полностью или частично, не могла ни предвидеть, ни предотвратить разумными мерами (форс-мажор), в том числе: наводнение,</w:t>
      </w:r>
      <w:r>
        <w:rPr>
          <w:rFonts w:ascii="Times New Roman" w:hAnsi="Times New Roman"/>
          <w:sz w:val="24"/>
          <w:szCs w:val="24"/>
        </w:rPr>
        <w:t xml:space="preserve"> пожар, землетрясение и иные стихийные бедствия, а также взрыв, военные действия любого характера, забастовка, а также издание законодательного или правительственного акта или решения, повлекшие невозможность исполнения обязательств по настоящему договору.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8.2. При этом срок исполнения обязательств по настоящему договору отодвигается соразмерно времени, в течение которого будут действовать такие обстоятельства или их последствия, но </w:t>
      </w:r>
      <w:r>
        <w:rPr>
          <w:rFonts w:ascii="Times New Roman" w:hAnsi="Times New Roman"/>
          <w:sz w:val="24"/>
          <w:szCs w:val="24"/>
        </w:rPr>
        <w:t xml:space="preserve">не более чем на 30 (тридцать) суток. В противном случае каждая из Сторон будет иметь право отказаться от исполнения обязательств по настоящему договору, и в этом случае ни одна из Сторон не будет иметь право на возмещение другой Стороной возможных убытков.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8.3. Сторона, для которой создалась невозможность исполнения обязательств по настоящему договору, должна незамедлительно известить в письменной форме другую Сторону и </w:t>
      </w:r>
      <w:r>
        <w:rPr>
          <w:rFonts w:ascii="Times New Roman" w:hAnsi="Times New Roman"/>
          <w:sz w:val="24"/>
          <w:szCs w:val="24"/>
        </w:rPr>
        <w:t xml:space="preserve">предоставить подтверждение Торгово-промышленной палаты (ТПП). Непредставление подтверждения ТПП, а также неуведомление или несвоевременное уведомление о наступлении обстоятельств форс-мажора, лишает виновную Сторону права ссылаться на такие обстоятельства.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right="284" w:firstLine="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9. ГАРАНТИЙНЫЕ ОБЯЗАТЕЛЬСТВА.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9.1. На результаты оказанных услуг установлен гарантийный срок 6 месяцев с момента подписания акта сдачи-приемки оказанных услуг или УПД.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9.2. В случае, выявления недостатков результата оказания услуг в период гарантийного срока, Заказчик в 10-ти дневный срок обязан известить об этом Исполнителя в письменном виде.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9.3. Исполнитель обязан устранить выявле</w:t>
      </w:r>
      <w:r>
        <w:rPr>
          <w:rFonts w:ascii="Times New Roman" w:hAnsi="Times New Roman"/>
          <w:sz w:val="24"/>
          <w:szCs w:val="24"/>
        </w:rPr>
        <w:t xml:space="preserve">нные недостатки в течение 30 дней с момента получения уведомления. В случае если в указанный срок недостатки не будут устранены, Заказчик вправе устранить данные недостатки своими силами, а Исполнитель обязан возместить Заказчику расходы на их устранение. 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9.4. Гарантийные обязательства не распространяются на случаи при которых приборы и оборудование подвергалось воздействию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сторонних факторов как то механические повреждения, залитие водой плат управления и обмоток статора, самостоятельный ремонт, воздействие повышенных электрических напряжений, а так же повреждение деталей и компонентов, подверженных естественному износу.   </w:t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10. ИЗМЕНЕНИЕ И РАСТОРЖЕНИЕ ДОГОВОРА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10.1. Все изменения и дополнения к настоящему Договору должны быть составлены в письменной форме и подписаны обеими Сторонами, кроме изменения реквизитов одной из Сторон, которые производятся по простому письменному уведомлению.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10.2. Договор может быть расторгнут досрочно по письменному соглашению сторон, либо в одностороннем порядке по инициативе Заказчика при условии уведомления Исполнителя не менее, чем за 14 (четырнадцать) рабочих дней до даты расторжения.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11. ПРОЧИЕ УСЛОВИЯ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11.1. Настоящий Договор вступает в силу с момента его подписания и действует до 31.10.2027 года, а в части, касающейся оплаты услуг – до исполнения Сторонами обязательств по договору.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11.2. Во всем, что не урегулировано настоящим Договором, подлежит применению действующее законодательство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11.3. Все </w:t>
      </w:r>
      <w:r>
        <w:rPr>
          <w:rFonts w:ascii="Times New Roman" w:hAnsi="Times New Roman"/>
          <w:sz w:val="24"/>
          <w:szCs w:val="24"/>
        </w:rPr>
        <w:t xml:space="preserve">уведомления и сообщения должны направляться в письменной форме. Сообщения будут считаться исполненными надлежащим образом, если они посланы заказным письмом, телефаксу или доставлены лично по юридическим (почтовым) адресам сторон с получением под расписку.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11.4. Настоящий Договор составлен в двух экземплярах, по одному экземпляру для каждой из Сторон.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ПРИЛОЖЕНИЯ К ДОГОВОРУ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65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12.1. Техническое задание на оказание услуг по обслуживанию узлов коммерческого учета тепловой энергии СПб ГУП «Пассажиравтотранс» (Приложение № 1).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65"/>
        <w:ind w:left="0" w:right="0"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12.2. Расчет цены договора на оказание услуг по обслуживанию узлов коммерческого учета тепловой энергии СПб ГУП «Пассажиравтотранс» (Приложение № 2).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ind w:firstLine="540"/>
        <w:jc w:val="both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0"/>
        <w:jc w:val="center"/>
        <w:spacing w:before="0"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13. АДРЕСА И БАНКОВСКИЕ РЕКВИЗИТЫ СТОРОН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numPr>
          <w:ilvl w:val="0"/>
          <w:numId w:val="0"/>
        </w:numPr>
        <w:ind w:left="0" w:firstLine="0"/>
        <w:jc w:val="center"/>
        <w:outlineLvl w:val="0"/>
      </w:pPr>
      <w:r/>
      <w:r/>
    </w:p>
    <w:tbl>
      <w:tblPr>
        <w:tblW w:w="9571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785"/>
        <w:gridCol w:w="4785"/>
      </w:tblGrid>
      <w:tr>
        <w:tblPrEx/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pStyle w:val="799"/>
              <w:widowControl w:val="off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Заказчик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pStyle w:val="799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СПб ГУП «Пассажиравтотранс»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spacing w:line="252" w:lineRule="auto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ИНН 7830001758  /  КПП 785150001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spacing w:line="252" w:lineRule="auto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195197, Санкт-Петербург,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spacing w:line="252" w:lineRule="auto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Полюстровский пр., д. 39, литер А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spacing w:line="252" w:lineRule="auto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Р/сч.</w:t>
              <w:tab/>
              <w:t xml:space="preserve">40 602 810 145 000 001 954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ПАО «БАНК «САНКТ-ПЕТЕРБУРГ»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К/сч.</w:t>
              <w:tab/>
              <w:t xml:space="preserve">30 101 810 900 000 000 790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spacing w:line="252" w:lineRule="auto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БИК 044 030 790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spacing w:line="252" w:lineRule="auto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ОКПО 05142928        ОКОГУ 49003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spacing w:line="252" w:lineRule="auto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ОКВЭД 49.31.21        ОКОПФ 42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spacing w:line="252" w:lineRule="auto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ОКТМО 40330000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widowControl w:val="off"/>
              <w:rPr>
                <w:lang w:eastAsia="ru-RU"/>
              </w:rPr>
            </w:pPr>
            <w:r>
              <w:rPr>
                <w:lang w:eastAsia="ru-RU"/>
              </w:rPr>
              <w:t xml:space="preserve">ОГРН 1027809247300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  <w:p>
            <w:pPr>
              <w:pStyle w:val="799"/>
              <w:widowControl w:val="off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pStyle w:val="799"/>
              <w:widowControl w:val="off"/>
              <w:rPr>
                <w:highlight w:val="none"/>
                <w:shd w:val="clear" w:color="auto" w:fill="auto"/>
              </w:rPr>
            </w:pPr>
            <w:r>
              <w:rPr>
                <w:b/>
                <w:shd w:val="clear" w:color="auto" w:fill="auto"/>
                <w:lang w:eastAsia="ru-RU"/>
              </w:rPr>
              <w:t xml:space="preserve">Исполнитель</w:t>
            </w:r>
            <w:r>
              <w:rPr>
                <w:highlight w:val="none"/>
                <w:shd w:val="clear" w:color="auto" w:fill="auto"/>
              </w:rPr>
            </w:r>
            <w:r>
              <w:rPr>
                <w:highlight w:val="none"/>
                <w:shd w:val="clear" w:color="auto" w:fill="auto"/>
              </w:rPr>
            </w:r>
          </w:p>
          <w:p>
            <w:pPr>
              <w:pStyle w:val="799"/>
              <w:widowControl w:val="off"/>
              <w:rPr>
                <w:highlight w:val="none"/>
                <w:shd w:val="clear" w:color="auto" w:fill="auto"/>
              </w:rPr>
            </w:pPr>
            <w:r>
              <w:rPr>
                <w:shd w:val="clear" w:color="auto" w:fill="auto"/>
              </w:rPr>
            </w:r>
            <w:r>
              <w:rPr>
                <w:highlight w:val="none"/>
                <w:shd w:val="clear" w:color="auto" w:fill="auto"/>
              </w:rPr>
            </w:r>
            <w:r>
              <w:rPr>
                <w:highlight w:val="none"/>
                <w:shd w:val="clear" w:color="auto" w:fill="auto"/>
              </w:rPr>
            </w:r>
          </w:p>
        </w:tc>
      </w:tr>
    </w:tbl>
    <w:p>
      <w:pPr>
        <w:pStyle w:val="711"/>
        <w:jc w:val="center"/>
        <w:rPr>
          <w:rFonts w:ascii="Times New Roman" w:hAnsi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pStyle w:val="711"/>
        <w:jc w:val="center"/>
        <w:rPr>
          <w:rFonts w:ascii="Times New Roman" w:hAnsi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/>
          <w:b/>
          <w:sz w:val="24"/>
          <w:szCs w:val="24"/>
        </w:rPr>
        <w:t xml:space="preserve">ПОДПИСИ  СТОРОН</w:t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pStyle w:val="711"/>
        <w:ind w:right="-3792" w:firstLine="708"/>
        <w:spacing w:before="0" w:after="0" w:line="240" w:lineRule="auto"/>
        <w:rPr>
          <w:rFonts w:ascii="Times New Roman" w:hAnsi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Заказчик: </w:t>
        <w:tab/>
        <w:tab/>
        <w:tab/>
        <w:tab/>
        <w:tab/>
        <w:tab/>
        <w:tab/>
        <w:t xml:space="preserve">Исполнитель:   </w:t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pStyle w:val="714"/>
        <w:ind w:right="-3792" w:firstLine="0"/>
        <w:spacing w:line="240" w:lineRule="auto"/>
        <w:rPr>
          <w:b/>
          <w:color w:val="auto"/>
          <w:highlight w:val="none"/>
        </w:rPr>
      </w:pPr>
      <w:r>
        <w:rPr>
          <w:b/>
          <w:color w:val="auto"/>
        </w:rPr>
        <w:t xml:space="preserve">Главный  инженер - заместитель</w:t>
        <w:tab/>
      </w:r>
      <w:r>
        <w:rPr>
          <w:b/>
          <w:color w:val="auto"/>
          <w:highlight w:val="none"/>
        </w:rPr>
      </w:r>
      <w:r>
        <w:rPr>
          <w:b/>
          <w:color w:val="auto"/>
          <w:highlight w:val="none"/>
        </w:rPr>
      </w:r>
    </w:p>
    <w:p>
      <w:pPr>
        <w:pStyle w:val="711"/>
        <w:spacing w:before="0" w:after="0" w:line="240" w:lineRule="auto"/>
        <w:rPr>
          <w:rFonts w:ascii="Times New Roman" w:hAnsi="Times New Roman"/>
          <w:b/>
          <w:sz w:val="24"/>
          <w:szCs w:val="24"/>
          <w:highlight w:val="none"/>
        </w:rPr>
      </w:pPr>
      <w:r>
        <w:rPr>
          <w:rFonts w:ascii="Times New Roman" w:hAnsi="Times New Roman"/>
          <w:b/>
          <w:sz w:val="24"/>
          <w:szCs w:val="24"/>
        </w:rPr>
        <w:t xml:space="preserve">генерального директора</w:t>
        <w:tab/>
        <w:tab/>
        <w:tab/>
      </w: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sz w:val="24"/>
          <w:szCs w:val="24"/>
          <w:highlight w:val="none"/>
        </w:rPr>
      </w:r>
    </w:p>
    <w:p>
      <w:pPr>
        <w:pStyle w:val="711"/>
        <w:ind w:right="-3792" w:firstLine="0"/>
        <w:spacing w:before="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СПб ГУП «Пассажиравтотранс»   </w:t>
        <w:tab/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11"/>
        <w:ind w:right="-3792" w:firstLine="0"/>
        <w:spacing w:before="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11"/>
        <w:ind w:right="-3792" w:firstLine="0"/>
        <w:spacing w:before="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________________  А.Н. Беляев                            </w:t>
      </w:r>
      <w:r>
        <w:br w:type="page" w:clear="all"/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11"/>
        <w:jc w:val="right"/>
        <w:spacing w:before="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№1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11"/>
        <w:jc w:val="right"/>
        <w:spacing w:before="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Договору № Д26/ЭМО-______ от ___________2026 г.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11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spacing w:before="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11"/>
        <w:jc w:val="center"/>
        <w:spacing w:before="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ТЕХНИЧЕСКОЕ ЗАДАНИЕ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11"/>
        <w:jc w:val="center"/>
        <w:spacing w:before="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на оказание услуг по обслуживанию узлов коммерческого учета </w:t>
      </w:r>
      <w:r>
        <w:rPr>
          <w:rFonts w:ascii="Times New Roman" w:hAnsi="Times New Roman"/>
          <w:b/>
          <w:color w:val="000000"/>
          <w:sz w:val="24"/>
          <w:szCs w:val="24"/>
        </w:rPr>
        <w:br w:type="textWrapping" w:clear="all"/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 тепловой энергии СПб ГУП «Пассажиравтотранс».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ind w:left="0" w:right="0" w:firstLine="0"/>
        <w:jc w:val="center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 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ind w:left="0" w:right="0" w:firstLine="0"/>
        <w:jc w:val="center"/>
        <w:spacing w:before="0" w:after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Раздел 1. Общие требования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765"/>
        <w:ind w:left="0" w:right="0" w:firstLine="0"/>
        <w:jc w:val="both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1.1. Код, соответствующий предмету электронного аукциона: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numPr>
          <w:ilvl w:val="0"/>
          <w:numId w:val="1"/>
        </w:numPr>
        <w:ind w:left="709" w:right="0" w:hanging="283"/>
        <w:jc w:val="both"/>
        <w:spacing w:before="0" w:after="0"/>
        <w:tabs>
          <w:tab w:val="left" w:pos="0" w:leader="none"/>
          <w:tab w:val="clear" w:pos="708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по Общероссийскому классификатору продукции по видам экономической деятельности (ОКПД2) 43.22.12.120 – Работы по установке и техническому обслуживанию систем управления центральным отоплением;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numPr>
          <w:ilvl w:val="0"/>
          <w:numId w:val="1"/>
        </w:numPr>
        <w:ind w:left="709" w:right="0" w:hanging="283"/>
        <w:jc w:val="both"/>
        <w:spacing w:before="0" w:after="0"/>
        <w:tabs>
          <w:tab w:val="left" w:pos="0" w:leader="none"/>
          <w:tab w:val="clear" w:pos="708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по Общероссийскому классификатору видов экономической деятельности (ОКВЭД2) 43.22 – Производство санитарно-технических работ, монтаж отопительных систем и систем кондиционирования воздуха.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ind w:left="0" w:right="0" w:firstLine="0"/>
        <w:jc w:val="center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 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ind w:left="0" w:right="0" w:firstLine="0"/>
        <w:jc w:val="center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Раздел 2. Перечень приборов узлов коммерческих учетов тепловой энергии (УКУТЭ) и адреса оказания услуг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ind w:left="0" w:right="0" w:firstLine="0"/>
        <w:jc w:val="center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 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9675" w:type="dxa"/>
        <w:tblInd w:w="108" w:type="dxa"/>
        <w:tblLayout w:type="fixed"/>
        <w:tblCellMar>
          <w:left w:w="108" w:type="dxa"/>
          <w:top w:w="28" w:type="dxa"/>
          <w:right w:w="108" w:type="dxa"/>
          <w:bottom w:w="28" w:type="dxa"/>
        </w:tblCellMar>
        <w:tblLook w:val="04A0" w:firstRow="1" w:lastRow="0" w:firstColumn="1" w:lastColumn="0" w:noHBand="0" w:noVBand="1"/>
      </w:tblPr>
      <w:tblGrid>
        <w:gridCol w:w="1287"/>
        <w:gridCol w:w="3558"/>
        <w:gridCol w:w="3000"/>
        <w:gridCol w:w="1829"/>
      </w:tblGrid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Адрес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парк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Приборы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Дата поверки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Инвентар.№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пр. Полюстровский, д. 39, литер А (УКУТЭ отопление+ГВС)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ГУП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СПТ-943.1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47002015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Питерфлоу PC 32-15-C-C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Питерфлоу PC 32-15-А-C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Сентябрь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Сентябрь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КТПТР-05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20-12-А-C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ВСГ-20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ул.Бухарестская, д.18 Ввод (УКУТЭ  отопление+ГВС)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АП-1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СПТ-944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Июнь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6020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100-140-C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Июнь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100-140-C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Июнь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32-15-C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Август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ТЭМ-110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Июнь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ТЭМ-100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Июнь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ул.Бухарестская, д.18 АБК (УУТЭ   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АП-1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СПТ-941.20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Июнь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6020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20-6-А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Август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ТЭМ-100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Июнь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ул.Бухарестская, д.18 Мойка (УУТЭ   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АП-1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СПТ-941.20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Июнь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6020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32-15-А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Август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ТЭМ-100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Июнь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 Автобусная, д. 8 (УКУТЭ №1      отопление+ГВС)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СПТ-944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10000053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150-630-C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150-630-C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50-36-C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Август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ТЭМ-110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ТЭМ-100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 Автобусная, д. 8 (УУТЭ №2    ГВС)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СПТ-941.20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Август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10000053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32-15-А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Июль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ТЭМ-100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 Автобусная, д. 8 (УУТЭ №3    ГВС)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СПТ-941.20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Июль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10000053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32-15-А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ТЭМ-100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shd w:val="clear" w:color="auto" w:fill="ffffff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 Автобусная, д. 8 (УУТЭ №4    ГВС)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СПТ-941.20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Июль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10000053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20-6-А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Июль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ТЭМ-100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 Автобусная, д. 8 (УУТЭ №5    ГВС)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СПТ-941.20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Июль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10000053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20-6-А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Июль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ТЭМ-100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пр.Стачек, д.108 Ремзона (УКУТЭ отопление+ГВС)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СПТ-943.2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8714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ПРЭМ 150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ПРЭМ 150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КТПТР-01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пр.Стачек, д.108 Профилакт. (УКУТЭ отопление+ГВС)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СПТ-943.2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8715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ПРЭМ 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ПРЭМ 80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КТПТР-01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г. Петергоф, ул.Троицкая, д.1 (УКУТЭ отопление+ГВС)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ТВ7-04.М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711"/>
              <w:jc w:val="center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без инв. №, учет по счету 08.05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65-60-65-С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65-60-65-С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20-6-20-С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110-17-01-А      L=100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110-17-01-А      L=100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20-6-20-А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Питерфлоу PC 20-6-20-А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110-15-01-А      L=70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110-15-01-А      L=70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 Стасовой, д. 14 Администрат. корпус (УКУТЭ отопление+ГВС)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СПТ-944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Июль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ЛГК410-50-36-II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ЛГК410-50-36-II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110      L=80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110      L=80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Сентябрь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Сентябрь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ЛГК410-32-15-II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100      L=70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Сентябрь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 Стасовой, д. 14  Производ. корпус (УКУТЭ отопление+ГВС)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СПТ-944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Июль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ЛГК410-100-140-II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ЛГК410-100-140-II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110      L=100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110      L=100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ЛГК410-32-15-II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100      L=70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Сентябрь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 Стасовой, д. 14  Вспомогат. корпус (УКУТЭ отопление+ГВС)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СПТ-944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Июль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ЛГК410-32-15-II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ЛГК410-32-15-II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110      L=70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110      L=70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Сентябрь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Сентябрь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ЛГК410-20-6-II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ТЭМ 100      L=70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Сентябрь 2027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 Кубинская, д. 86 (УКУТЭ отопление+ГВС)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АП-7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СПТ-943.01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43855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ПРЭМ-3 100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ПРЭМ-3 100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МИДА-ДИ-13П-01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МИДА-ДИ-13П-01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Сентябрь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КТПТР-05 133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ВСГ 20      ТЦ-1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Февраль2027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ВСГ 40      ТЦ-2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ВСГ 20      ТЦ-3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Февраль2027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г.Колпино, ул.Финляндская, д. 22, лит.А (УКУТЭ отопление 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КАП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СПТ-942.01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812К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КТПТР-05 100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КРТ-9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Июнь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ЭРСВ-450Л 50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КРТ-9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Июнь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ЭРСВ-450 50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83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СПб, ул. Комсомола, д. 12 (УКУТЭ отопление+ГВС)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МСЧ-70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ТВ7-05М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restart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1187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Питерфлоу PC 65-60-А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Питерфлоу PC 65-60-А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«Коммуналец» СДВ-И-1,6-4-20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2030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КТПТР-01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Питерфлоу PC 32-15-А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«Коммуналец» СДВ-И-1,6-4-20 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ТПТ-1-3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Питерфлоу PC 20-6-C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Arial" w:hAnsi="Arial"/>
                <w:b w:val="0"/>
                <w:bCs w:val="0"/>
                <w:color w:val="000000"/>
                <w:sz w:val="20"/>
                <w:szCs w:val="24"/>
              </w:rPr>
            </w:pPr>
            <w:r>
              <w:rPr>
                <w:rFonts w:ascii="Arial" w:hAnsi="Arial"/>
                <w:b w:val="0"/>
                <w:bCs w:val="0"/>
                <w:color w:val="000000"/>
                <w:sz w:val="20"/>
                <w:szCs w:val="24"/>
              </w:rPr>
              <w:t xml:space="preserve">ВСХНД-40</w:t>
            </w:r>
            <w:r>
              <w:rPr>
                <w:rFonts w:ascii="Arial" w:hAnsi="Arial"/>
                <w:b w:val="0"/>
                <w:bCs w:val="0"/>
                <w:color w:val="000000"/>
                <w:sz w:val="20"/>
                <w:szCs w:val="24"/>
              </w:rPr>
            </w:r>
            <w:r>
              <w:rPr>
                <w:rFonts w:ascii="Arial" w:hAnsi="Arial"/>
                <w:b w:val="0"/>
                <w:bCs w:val="0"/>
                <w:color w:val="000000"/>
                <w:sz w:val="20"/>
                <w:szCs w:val="24"/>
              </w:rPr>
            </w:r>
          </w:p>
        </w:tc>
        <w:tc>
          <w:tcPr>
            <w:shd w:val="clear" w:color="auto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Июль 2026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deada"/>
              <w:widowControl/>
              <w:rPr>
                <w:rFonts w:ascii="Arial" w:hAnsi="Arial"/>
                <w:b w:val="0"/>
                <w:bCs w:val="0"/>
                <w:color w:val="000000"/>
                <w:sz w:val="20"/>
                <w:szCs w:val="24"/>
              </w:rPr>
            </w:pPr>
            <w:r>
              <w:rPr>
                <w:rFonts w:ascii="Arial" w:hAnsi="Arial"/>
                <w:b w:val="0"/>
                <w:bCs w:val="0"/>
                <w:color w:val="000000"/>
                <w:sz w:val="20"/>
                <w:szCs w:val="24"/>
              </w:rPr>
              <w:t xml:space="preserve">ВСГ-20</w:t>
            </w:r>
            <w:r>
              <w:rPr>
                <w:rFonts w:ascii="Arial" w:hAnsi="Arial"/>
                <w:b w:val="0"/>
                <w:bCs w:val="0"/>
                <w:color w:val="000000"/>
                <w:sz w:val="20"/>
                <w:szCs w:val="24"/>
              </w:rPr>
            </w:r>
            <w:r>
              <w:rPr>
                <w:rFonts w:ascii="Arial" w:hAnsi="Arial"/>
                <w:b w:val="0"/>
                <w:bCs w:val="0"/>
                <w:color w:val="000000"/>
                <w:sz w:val="20"/>
                <w:szCs w:val="24"/>
              </w:rPr>
            </w:r>
          </w:p>
        </w:tc>
        <w:tc>
          <w:tcPr>
            <w:shd w:val="clear" w:color="auto" w:fill="ffff0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deada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Январь 2027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W w:w="1829" w:type="dxa"/>
            <w:vAlign w:val="center"/>
            <w:vMerge w:val="continue"/>
            <w:textDirection w:val="lrTb"/>
            <w:noWrap w:val="false"/>
          </w:tcPr>
          <w:p>
            <w:pPr>
              <w:pStyle w:val="806"/>
              <w:spacing w:before="0" w:after="20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  <w:r>
              <w:rPr>
                <w:sz w:val="4"/>
                <w:szCs w:val="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tcW w:w="128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558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shd w:val="clear" w:color="auto" w:fill="ffffff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W w:w="3000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shd w:val="clear" w:color="auto" w:fill="ffffff"/>
              <w:widowControl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W w:w="1829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</w:tbl>
    <w:p>
      <w:pPr>
        <w:pStyle w:val="765"/>
        <w:ind w:left="0" w:right="0" w:firstLine="0"/>
        <w:jc w:val="center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 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ind w:left="0" w:right="0" w:firstLine="0"/>
        <w:jc w:val="center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 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ind w:left="0" w:right="0" w:firstLine="0"/>
        <w:jc w:val="center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Раздел 3. Перечень и периодичность оказываемых услуг по обслуживанию УКУТЭ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ind w:left="0" w:right="0" w:firstLine="0"/>
        <w:jc w:val="center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 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9808" w:type="dxa"/>
        <w:tblInd w:w="108" w:type="dxa"/>
        <w:tblLayout w:type="fixed"/>
        <w:tblCellMar>
          <w:left w:w="108" w:type="dxa"/>
          <w:top w:w="28" w:type="dxa"/>
          <w:right w:w="108" w:type="dxa"/>
          <w:bottom w:w="28" w:type="dxa"/>
        </w:tblCellMar>
        <w:tblLook w:val="04A0" w:firstRow="1" w:lastRow="0" w:firstColumn="1" w:lastColumn="0" w:noHBand="0" w:noVBand="1"/>
      </w:tblPr>
      <w:tblGrid>
        <w:gridCol w:w="474"/>
        <w:gridCol w:w="3892"/>
        <w:gridCol w:w="2757"/>
        <w:gridCol w:w="2684"/>
      </w:tblGrid>
      <w:tr>
        <w:tblPrEx/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НАИМЕНОВАНИЕ  УСЛУГ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ПЕРИОДИЧНОСТЬ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СРОК  ВЫПОЛНЕНИЯ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tcW w:w="980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</w:rPr>
              <w:t xml:space="preserve">Ежемесячное обслуживание</w:t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tcW w:w="9807" w:type="dxa"/>
            <w:vAlign w:val="center"/>
            <w:textDirection w:val="lrTb"/>
            <w:noWrap w:val="false"/>
          </w:tcPr>
          <w:p>
            <w:pPr>
              <w:pStyle w:val="806"/>
              <w:numPr>
                <w:ilvl w:val="0"/>
                <w:numId w:val="2"/>
              </w:numPr>
              <w:ind w:left="709" w:right="0" w:hanging="283"/>
              <w:jc w:val="center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Планово-профилактические мероприятия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Контроль технического состояния, проверка работоспособности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numPr>
                <w:ilvl w:val="0"/>
                <w:numId w:val="3"/>
              </w:numPr>
              <w:ind w:left="709" w:right="0" w:hanging="283"/>
              <w:jc w:val="left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Дистанционно, ежедневно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  <w:p>
            <w:pPr>
              <w:pStyle w:val="806"/>
              <w:numPr>
                <w:ilvl w:val="0"/>
                <w:numId w:val="3"/>
              </w:numPr>
              <w:ind w:left="709" w:right="0" w:hanging="283"/>
              <w:jc w:val="left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 выходом на место эксплуатации - не реже чем 1 раз в месяц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Удаленный контроль за расходом теплоносителя и теплопотреблением. Снятие и анализ показаний на превышение нормированных показателей теплоносителя, нештатных ситуаций.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Ежедневно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При отклонении от нормативных показателей незамедлительно информировать ответственного представителя филиала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Текущий ремонт: замена прокладок, замена крепежа, чистка расходомеров в случае выявления некорректных показаний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Доставка на место эксплуатации УКУТЭ необходимых приборов и оборудования, расходных материалов.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Планово-профилактические работы: демонтаж, монтаж, чистка (промывка) расходомеров, калибровка средств измерени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я, наладка оборудования, устранение протечек, ревизия запорной арматуры, долив масла в гильзы термосопротивлений, проверка  изоляции  электрических  цепей  приборов  и  надежности  заземления, проверка качества подключения внешних связей к клеммам приборов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numPr>
                <w:ilvl w:val="0"/>
                <w:numId w:val="4"/>
              </w:numPr>
              <w:ind w:left="283" w:right="46" w:hanging="283"/>
              <w:jc w:val="left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 периодичностью, указанной в технической документации;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  <w:p>
            <w:pPr>
              <w:pStyle w:val="806"/>
              <w:numPr>
                <w:ilvl w:val="0"/>
                <w:numId w:val="4"/>
              </w:numPr>
              <w:ind w:left="283" w:right="46" w:hanging="283"/>
              <w:jc w:val="left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  <w:p>
            <w:pPr>
              <w:pStyle w:val="806"/>
              <w:numPr>
                <w:ilvl w:val="0"/>
                <w:numId w:val="4"/>
              </w:numPr>
              <w:ind w:left="283" w:right="46" w:hanging="283"/>
              <w:jc w:val="left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случаях выхода из строя оборудования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Изменение параметров режима тепловычислителей лето – зима,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зима – лето.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 раза в год  - в начале отопительного / межотопительного сезона, по мере необходимости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Предъявление представителю теплоснабжающей организации узла учета тепловой энергии для оформления Акта допуска в эксплуатацию после восстановления работоспособности УКУТЭ.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согласованный с теплоснабжающей организацией срок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Установка модемов за счет Исполнителя на все время обслуживания для снятия показаний с УКУТЭ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 раз в год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5 рабочих дней после заключения договора.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Обеспечение доступа ответственным специалистам Заказчика к специализированным сайтам, которые должны предоставлять данные в режиме онлайн, т.е. в режиме реального времени о показаниях приборов.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течении действия договора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10 рабочих дней после заключения договора.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Обеспечение передачи данных с УКУТЭ в теплоснабжающие организации по графику, установленному в теплоснабжающей организации.  В штат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е Исполнителя должен иметься специалист прошедший обучение работы с программными комплексами диспетчеризации теплоснабжающих организаций, и знающих все тонкости настройки и работы с данным ПО, а также имеющий навыки организации и обеспечения связи с УКУТЭ.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Ежедневно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 момента подписание до окончания договора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tcW w:w="9807" w:type="dxa"/>
            <w:vAlign w:val="center"/>
            <w:textDirection w:val="lrTb"/>
            <w:noWrap w:val="false"/>
          </w:tcPr>
          <w:p>
            <w:pPr>
              <w:pStyle w:val="806"/>
              <w:numPr>
                <w:ilvl w:val="0"/>
                <w:numId w:val="5"/>
              </w:numPr>
              <w:ind w:left="709" w:right="0" w:hanging="283"/>
              <w:jc w:val="center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Подготовка отчетов о теплопотреблении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Снятие показаний с УКУТЭ о теплопотреблении (суточные, часовые, месячные архивы и нештатные ситуации), обработка показаний, оценка текущего состояния и работоспособности оборудования.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Не реже 2 раза в месяц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Формирование отчётов установленной формы, сдача их в теплоснабжающую организацию в установленные сроки. Получение согласованных отчетов, передача Заказчику.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Не реже 1 раз в месяц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 по графику теплоснабжающей организации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tcW w:w="9807" w:type="dxa"/>
            <w:vAlign w:val="center"/>
            <w:textDirection w:val="lrTb"/>
            <w:noWrap w:val="false"/>
          </w:tcPr>
          <w:p>
            <w:pPr>
              <w:pStyle w:val="806"/>
              <w:numPr>
                <w:ilvl w:val="0"/>
                <w:numId w:val="6"/>
              </w:numPr>
              <w:ind w:left="709" w:right="0" w:hanging="283"/>
              <w:jc w:val="center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Передача данных о водопотреблении горячей воды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Снятие показаний с УКУТЭ о расходе горячей воды в ГВС.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Одновременно с подготовкой отчетов о теплопотреблении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Формирование сводного отчётов установленной формы, сдача их в теплоснабжающую организацию в установленные сроки. Получение согласованных отчетов, передача Заказчику.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 22 по 30 число каждого месяца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tcW w:w="9807" w:type="dxa"/>
            <w:vAlign w:val="center"/>
            <w:textDirection w:val="lrTb"/>
            <w:noWrap w:val="false"/>
          </w:tcPr>
          <w:p>
            <w:pPr>
              <w:pStyle w:val="806"/>
              <w:numPr>
                <w:ilvl w:val="0"/>
                <w:numId w:val="7"/>
              </w:numPr>
              <w:ind w:left="709" w:right="0" w:hanging="283"/>
              <w:jc w:val="center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Контроль параметров теплопотребления / теплоснабжения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Контроль и анализ данных о параметрах теплопотреблении/теплоснабжения, уведомление Заказчика о несоответствии параметров действующим нормам.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numPr>
                <w:ilvl w:val="0"/>
                <w:numId w:val="8"/>
              </w:numPr>
              <w:ind w:left="709" w:right="46" w:hanging="283"/>
              <w:jc w:val="center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отопительный сезон - ежедневно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  <w:p>
            <w:pPr>
              <w:pStyle w:val="806"/>
              <w:numPr>
                <w:ilvl w:val="0"/>
                <w:numId w:val="8"/>
              </w:numPr>
              <w:ind w:left="709" w:right="0" w:hanging="283"/>
              <w:jc w:val="center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межотопительный сезон - по мере необходимости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12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Регулировка расхода теплоносителя в соответствии договорными нагрузками.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Уведомление Заказчика о регулировке.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Консультации в проведении мероприятий, направленных на экономию теплоэнергетических ресурсов, по эксплуатации систем теплопотребления в соответствии с действующими нормами и правилам.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По мере необходимости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tcW w:w="9807" w:type="dxa"/>
            <w:vAlign w:val="center"/>
            <w:textDirection w:val="lrTb"/>
            <w:noWrap w:val="false"/>
          </w:tcPr>
          <w:p>
            <w:pPr>
              <w:pStyle w:val="806"/>
              <w:numPr>
                <w:ilvl w:val="0"/>
                <w:numId w:val="9"/>
              </w:numPr>
              <w:ind w:left="709" w:right="0" w:hanging="283"/>
              <w:jc w:val="center"/>
              <w:spacing w:before="0" w:after="0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Подготовка к отопительному сезону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Осмотр, промывка и чистка расходомеров, проверка исправности оборудования, проверка комплектности необходимой документации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46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 раз в год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Перед началом отопительного сезона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 рабочего дня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Ежегодное предъявление представителю теплоснабжающей организации узла учета тепловой энергии для оформления Акта допуска в эксплуатацию.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46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 раз в год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начале отопительного сезона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согласованный с теплоснабжающей организацией срок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tcW w:w="980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/>
                <w:color w:val="000000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4"/>
              </w:rPr>
              <w:t xml:space="preserve">Плановая поверка</w:t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</w:rPr>
            </w:r>
            <w:r>
              <w:rPr>
                <w:rFonts w:ascii="Times New Roman" w:hAnsi="Times New Roman"/>
                <w:b/>
                <w:color w:val="000000"/>
                <w:sz w:val="28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12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Организация плановой поверки оборудования в специализированных организациях (входит в стоимость обслуживания):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  <w:p>
            <w:pPr>
              <w:pStyle w:val="806"/>
              <w:ind w:left="0" w:right="12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- Демонтаж приборов и оборудования УКУТЭ;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  <w:p>
            <w:pPr>
              <w:pStyle w:val="806"/>
              <w:ind w:left="0" w:right="12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- Доставка приборов в поверяющую организацию, получение поверенных приборов и свидетельств о поверке;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  <w:p>
            <w:pPr>
              <w:pStyle w:val="806"/>
              <w:ind w:left="0" w:right="12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- Установка приборов и оборудования на месте эксплуатации УКУТЭ, включение в измерительную схему, проверка базы данных, наладка работоспособности УКУТЭ.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46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 периодичностью в соответствии с межповерочными интервалами, указанными в паспортах на приборы, входящие в состав УКУТЭ, и на основании «Правил учёта тепловой энергии и теплоносителя»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 течение 15 календарных дней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47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3892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left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По требованию Заказчика представлять подтверждение проведения плановой поверки ссылкой на результаты поверки средства измерений в модуле «ПОВЕРКИ» во ФГИС «АРШИН».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2757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Результат проведения поверки средства измерений, является запись о поверке в Федеральном Информационном Фонде по Обеспечению Единства Измерений, в соответствии с Законом об обеспечении единства измерений №102-ФЗ (Статья № 13 пункт 4).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tcW w:w="2684" w:type="dxa"/>
            <w:vAlign w:val="center"/>
            <w:textDirection w:val="lrTb"/>
            <w:noWrap w:val="false"/>
          </w:tcPr>
          <w:p>
            <w:pPr>
              <w:pStyle w:val="806"/>
              <w:ind w:left="0" w:right="0" w:firstLine="0"/>
              <w:jc w:val="center"/>
              <w:spacing w:before="0" w:after="0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Согласно приказу Минпромторга России от 31.07.2020 №2510 "Об утверждении порядка проведения поверки средств измерений, требований к знаку поверки и содержанию свидетельства о поверке"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pStyle w:val="765"/>
        <w:ind w:left="0" w:right="0" w:firstLine="0"/>
        <w:jc w:val="center"/>
        <w:spacing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 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765"/>
        <w:ind w:left="0" w:right="0" w:firstLine="0"/>
        <w:jc w:val="center"/>
        <w:spacing w:before="0" w:after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Раздел 4. Требования к качеству и безопасности оказания услуг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765"/>
        <w:ind w:left="0" w:right="0" w:firstLine="0"/>
        <w:jc w:val="both"/>
        <w:spacing w:before="0" w:after="0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Услуги оказываются согласно действующим нормам и "Правилам коммерческого учета тепловой энергии, теплоносителя" (утверждены Постановлением Правительства РФ от 18.11.2013 №1034 "О коммерческом учете тепловой энергии, теплоносителя") и "Прави</w:t>
      </w: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лам подготовки и проведения отопительного сезона в Санкт-Петербурге" (введены в действие протоколом Правительства Санкт-Петербурга от 04.06.2014 №7), и должны соответствовать ГОСТ, СП, СНиП и СанПиН, регламентирующим выполнение соответствующих видов услуг.</w:t>
      </w:r>
      <w:r>
        <w:rPr>
          <w:rFonts w:ascii="Times New Roman" w:hAnsi="Times New Roman"/>
          <w:b w:val="0"/>
          <w:bCs w:val="0"/>
          <w:sz w:val="24"/>
          <w:szCs w:val="24"/>
        </w:rPr>
      </w:r>
      <w:r>
        <w:rPr>
          <w:rFonts w:ascii="Times New Roman" w:hAnsi="Times New Roman"/>
          <w:b w:val="0"/>
          <w:bCs w:val="0"/>
          <w:sz w:val="24"/>
          <w:szCs w:val="24"/>
        </w:rPr>
      </w:r>
    </w:p>
    <w:p>
      <w:pPr>
        <w:pStyle w:val="765"/>
        <w:ind w:left="0" w:right="0" w:firstLine="0"/>
        <w:jc w:val="both"/>
        <w:spacing w:before="0" w:after="0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 </w:t>
      </w:r>
      <w:r>
        <w:rPr>
          <w:rFonts w:ascii="Times New Roman" w:hAnsi="Times New Roman"/>
          <w:b w:val="0"/>
          <w:bCs w:val="0"/>
          <w:sz w:val="24"/>
          <w:szCs w:val="24"/>
        </w:rPr>
      </w:r>
      <w:r>
        <w:rPr>
          <w:rFonts w:ascii="Times New Roman" w:hAnsi="Times New Roman"/>
          <w:b w:val="0"/>
          <w:bCs w:val="0"/>
          <w:sz w:val="24"/>
          <w:szCs w:val="24"/>
        </w:rPr>
      </w:r>
    </w:p>
    <w:p>
      <w:pPr>
        <w:pStyle w:val="765"/>
        <w:ind w:left="0" w:right="0" w:firstLine="0"/>
        <w:jc w:val="both"/>
        <w:spacing w:before="0" w:after="0"/>
        <w:rPr>
          <w:rFonts w:ascii="Times New Roman" w:hAnsi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Раздел 5. Срок оказания услуг</w:t>
      </w: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</w: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</w:r>
    </w:p>
    <w:p>
      <w:pPr>
        <w:pStyle w:val="765"/>
        <w:ind w:left="0" w:right="0" w:firstLine="0"/>
        <w:jc w:val="both"/>
        <w:spacing w:before="0" w:after="0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Оказание услуг осуществляется ежемесячно с 01.07.2026 по 30.06.2027 года.</w:t>
      </w:r>
      <w:r>
        <w:rPr>
          <w:rFonts w:ascii="Times New Roman" w:hAnsi="Times New Roman"/>
          <w:b w:val="0"/>
          <w:bCs w:val="0"/>
          <w:sz w:val="24"/>
          <w:szCs w:val="24"/>
        </w:rPr>
      </w:r>
      <w:r>
        <w:rPr>
          <w:rFonts w:ascii="Times New Roman" w:hAnsi="Times New Roman"/>
          <w:b w:val="0"/>
          <w:bCs w:val="0"/>
          <w:sz w:val="24"/>
          <w:szCs w:val="24"/>
        </w:rPr>
      </w:r>
    </w:p>
    <w:p>
      <w:pPr>
        <w:pStyle w:val="711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</w:r>
      <w:r>
        <w:rPr>
          <w:rFonts w:ascii="Times New Roman" w:hAnsi="Times New Roman"/>
          <w:b w:val="0"/>
          <w:bCs w:val="0"/>
          <w:sz w:val="24"/>
          <w:szCs w:val="24"/>
        </w:rPr>
      </w:r>
      <w:r>
        <w:rPr>
          <w:rFonts w:ascii="Times New Roman" w:hAnsi="Times New Roman"/>
          <w:b w:val="0"/>
          <w:bCs w:val="0"/>
          <w:sz w:val="24"/>
          <w:szCs w:val="24"/>
        </w:rPr>
      </w:r>
    </w:p>
    <w:p>
      <w:pPr>
        <w:pStyle w:val="711"/>
        <w:jc w:val="both"/>
        <w:spacing w:before="0" w:after="0" w:line="240" w:lineRule="auto"/>
        <w:tabs>
          <w:tab w:val="clear" w:pos="708" w:leader="none"/>
          <w:tab w:val="left" w:pos="993" w:leader="none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711"/>
        <w:spacing w:before="0" w:after="20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828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785"/>
        <w:gridCol w:w="5042"/>
      </w:tblGrid>
      <w:tr>
        <w:tblPrEx/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pStyle w:val="797"/>
              <w:ind w:right="0" w:firstLine="0"/>
              <w:jc w:val="center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Заказчик: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 инженер – заместитель генерального директора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СПб ГУП «Пассажиравтотранс»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  А.Н.Беляев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5042" w:type="dxa"/>
            <w:textDirection w:val="lrTb"/>
            <w:noWrap w:val="false"/>
          </w:tcPr>
          <w:p>
            <w:pPr>
              <w:pStyle w:val="797"/>
              <w:ind w:right="0" w:firstLine="0"/>
              <w:jc w:val="center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Исполнитель: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</w:tbl>
    <w:p>
      <w:pPr>
        <w:sectPr>
          <w:footnotePr/>
          <w:endnotePr/>
          <w:type w:val="nextPage"/>
          <w:pgSz w:w="11906" w:h="16838" w:orient="portrait"/>
          <w:pgMar w:top="1134" w:right="851" w:bottom="1134" w:left="1247" w:header="0" w:footer="0" w:gutter="0"/>
          <w:cols w:num="1" w:sep="0" w:space="1701" w:equalWidth="1"/>
          <w:docGrid w:linePitch="360"/>
        </w:sectPr>
      </w:pPr>
      <w:r/>
      <w:r/>
    </w:p>
    <w:p>
      <w:pPr>
        <w:pStyle w:val="711"/>
        <w:jc w:val="right"/>
        <w:spacing w:before="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№2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11"/>
        <w:jc w:val="right"/>
        <w:spacing w:before="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Договору № Д26/ЭМО-_______ от ___________2026 г.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11"/>
        <w:spacing w:before="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11"/>
        <w:spacing w:before="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711"/>
        <w:ind w:right="113" w:firstLine="0"/>
        <w:jc w:val="center"/>
        <w:spacing w:before="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Расчет цены договора</w:t>
        <w:br/>
      </w:r>
      <w:r>
        <w:rPr>
          <w:rFonts w:ascii="Times New Roman" w:hAnsi="Times New Roman"/>
          <w:b/>
          <w:color w:val="000000"/>
          <w:sz w:val="24"/>
          <w:szCs w:val="28"/>
        </w:rPr>
        <w:t xml:space="preserve">на оказание услуг по обслуживанию узлов коммерческого учета тепловой энергии</w:t>
        <w:br/>
        <w:t xml:space="preserve"> СПб ГУП «Пассажиравтотранс».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65"/>
        <w:ind w:left="0" w:right="113" w:firstLine="0"/>
        <w:jc w:val="center"/>
        <w:spacing w:before="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 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tbl>
      <w:tblPr>
        <w:tblW w:w="14570" w:type="dxa"/>
        <w:tblInd w:w="0" w:type="dxa"/>
        <w:tblLayout w:type="fixed"/>
        <w:tblCellMar>
          <w:left w:w="15" w:type="dxa"/>
          <w:top w:w="0" w:type="dxa"/>
          <w:right w:w="5" w:type="dxa"/>
          <w:bottom w:w="0" w:type="dxa"/>
        </w:tblCellMar>
        <w:tblLook w:val="04A0" w:firstRow="1" w:lastRow="0" w:firstColumn="1" w:lastColumn="0" w:noHBand="0" w:noVBand="1"/>
      </w:tblPr>
      <w:tblGrid>
        <w:gridCol w:w="779"/>
        <w:gridCol w:w="4027"/>
        <w:gridCol w:w="1405"/>
        <w:gridCol w:w="986"/>
        <w:gridCol w:w="1390"/>
        <w:gridCol w:w="1408"/>
        <w:gridCol w:w="1373"/>
        <w:gridCol w:w="1118"/>
        <w:gridCol w:w="2082"/>
      </w:tblGrid>
      <w:tr>
        <w:tblPrEx/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п/п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Наименование товара/услуги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Единица измерения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Кол-во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Цена за ед.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без НДС,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руб. коп.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Стоимость без НДС, руб. коп.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Налоговая ставка, %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Сумма НДС,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руб. коп.</w:t>
            </w:r>
            <w:r>
              <w:rPr>
                <w:rFonts w:ascii="Times New Roman" w:hAnsi="Times New Roman"/>
                <w:b/>
                <w:sz w:val="28"/>
                <w:szCs w:val="28"/>
              </w:rPr>
            </w: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Стоимость с НДС, руб. коп.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8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1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bottom w:val="single" w:color="000000" w:sz="12" w:space="0"/>
              <w:right w:val="single" w:color="000000" w:sz="8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2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bottom w:val="single" w:color="000000" w:sz="12" w:space="0"/>
              <w:right w:val="single" w:color="000000" w:sz="8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3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bottom w:val="single" w:color="000000" w:sz="12" w:space="0"/>
              <w:right w:val="single" w:color="000000" w:sz="8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4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bottom w:val="single" w:color="000000" w:sz="12" w:space="0"/>
              <w:right w:val="single" w:color="000000" w:sz="8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5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bottom w:val="single" w:color="000000" w:sz="12" w:space="0"/>
              <w:right w:val="single" w:color="000000" w:sz="8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6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bottom w:val="single" w:color="000000" w:sz="12" w:space="0"/>
              <w:right w:val="single" w:color="000000" w:sz="8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7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bottom w:val="single" w:color="000000" w:sz="12" w:space="0"/>
              <w:right w:val="single" w:color="000000" w:sz="8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8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bottom w:val="single" w:color="000000" w:sz="12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9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</w:tr>
      <w:tr>
        <w:tblPrEx/>
        <w:trPr/>
        <w:tc>
          <w:tcPr>
            <w:gridSpan w:val="9"/>
            <w:tcBorders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tcW w:w="1456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  <w:t xml:space="preserve">Ежемесячное обслуживание УКУТЭ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10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ГУП, пр.Полюстровский, д. 39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11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№ 1, ул.Бухарестская, д.18, АП-1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12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№ 2, ул.Бухарестская, д.18, АП-1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13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№ 3, ул.Бухарестская, д.18, АП-1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14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№ 1,  ул.Автобусная, д. 8, АП-2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15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№ 2,  ул.Автобусная, д. 8, АП-2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16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№ 3,  ул.Автобусная, д. 8, АП-2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17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№ 4,  ул.Автобусная, д. 8, АП-2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18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№ 5,  ул.Автобусная, д. 8, АП-2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19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АП-5, пр.Стачек, д.108,  Ремзона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20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АП-5, пр.Стачек, д.108,  Профилакторий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8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21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АП-5, Петергоф, ул.Троицкая, д.1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22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АП-6, ул. Стасовой, д.14,  Административ.корпус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23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АП-6, ул. Стасовой, д.14, Производ.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корпус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24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АП-6, ул. Стасовой, д.14, Вспомогат.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корпус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25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АП-7, ул.Кубинская, д. 86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26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КАП, ул.Финляндская, д.22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27"/>
              </w:numPr>
              <w:ind w:left="709" w:right="0" w:hanging="283"/>
              <w:jc w:val="center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  <w:t xml:space="preserve">УКУТЭ МСЧ-70, ул.Комсомола, д. 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Усл.ед.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  <w:t xml:space="preserve">12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righ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  <w:t xml:space="preserve">ИТОГО обслуживание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9"/>
            <w:tcBorders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tcW w:w="1456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  <w:t xml:space="preserve">Плановая поверка приборов УКУТЭ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108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numPr>
                <w:ilvl w:val="0"/>
                <w:numId w:val="0"/>
              </w:numPr>
              <w:ind w:left="0" w:right="0" w:firstLine="0"/>
              <w:jc w:val="lef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СПТ-944          АП-1</w:t>
              <w:br/>
              <w:t xml:space="preserve">Бухарестская,  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Питерфлоу PC 100-140-C      АП-1  Бухарестская,  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Питерфлоу PC 32-15-C       АП-1  Бухарестская,  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ТЭМ-110           АП-1</w:t>
              <w:br/>
              <w:t xml:space="preserve">Бухарестская,  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ТЭМ-100           АП-1</w:t>
              <w:br/>
              <w:t xml:space="preserve">Бухарестская,  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СПТ-941.20         АП-1</w:t>
              <w:br/>
              <w:t xml:space="preserve">Бухарестская,  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7.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Питерфлоу PC 32-15-C       АП-1  Бухарестская,  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8.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Питерфлоу PC 20-6-А      АП-1     Бухарестская,  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9.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ТЭМ-100           АП-1</w:t>
              <w:br/>
              <w:t xml:space="preserve">Бухарестская,  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10.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СПТ-944      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11.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ЛГК410-50-36-II  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12.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ТЭМ 110      L=80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13.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ЛГК410-32-15-II   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14.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ТЭМ 100     L=70 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15.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СПТ-944      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16.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ЛГК410-100-140-II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17.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ТЭМ 110      L=70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18.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ТЭМ 100     L=70 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19.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СПТ-944      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20.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ЛГК410-32-15-II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21.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ТЭМ 110      L=100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22.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ЛГК410-20-6-II 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23.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ТЭМ 100     L=70     АП-6</w:t>
              <w:br/>
              <w:t xml:space="preserve">Стасовой, . 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24.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МИДА-ДИ-13П-01   АП-7</w:t>
              <w:br/>
              <w:t xml:space="preserve">Кубинская,  86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25.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ВСГ-20           АП-7</w:t>
              <w:br/>
              <w:t xml:space="preserve">Кубинская,  86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26.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ВСХНД-40      МСЧ-70</w:t>
              <w:br/>
              <w:t xml:space="preserve">Комсомола,   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27.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ВСГ-20      МСЧ-70</w:t>
              <w:br/>
              <w:t xml:space="preserve">Комсомола,   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right w:w="51" w:type="dxa"/>
              <w:bottom w:w="28" w:type="dxa"/>
            </w:tcMar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143" w:right="0" w:firstLine="0"/>
              <w:jc w:val="left"/>
              <w:spacing w:before="0" w:after="0" w:line="240" w:lineRule="auto"/>
              <w:widowControl/>
              <w:tabs>
                <w:tab w:val="left" w:pos="0" w:leader="none"/>
                <w:tab w:val="clear" w:pos="708" w:leader="none"/>
              </w:tabs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27.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711"/>
              <w:jc w:val="left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КРТ-9          КАП    </w:t>
              <w:br/>
              <w:t xml:space="preserve">Финляндская,   22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711"/>
              <w:jc w:val="center"/>
              <w:spacing w:before="0" w:after="0" w:line="276" w:lineRule="auto"/>
              <w:rPr>
                <w:sz w:val="22"/>
                <w:szCs w:val="22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position w:val="0"/>
                <w:sz w:val="22"/>
                <w:szCs w:val="22"/>
                <w:u w:val="none"/>
                <w:vertAlign w:val="baseline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12" w:space="0"/>
              <w:bottom w:val="single" w:color="000000" w:sz="4" w:space="0"/>
              <w:right w:val="single" w:color="000000" w:sz="4" w:space="0"/>
            </w:tcBorders>
            <w:tcW w:w="779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4027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right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  <w:t xml:space="preserve">ИТОГО поверка приборов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5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9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90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40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373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4" w:space="0"/>
            </w:tcBorders>
            <w:tcMar>
              <w:left w:w="0" w:type="dxa"/>
            </w:tcMar>
            <w:tcW w:w="1118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Borders>
              <w:bottom w:val="single" w:color="000000" w:sz="4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8"/>
            <w:tcBorders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tcW w:w="12486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right"/>
              <w:spacing w:before="0" w:after="0" w:line="240" w:lineRule="auto"/>
              <w:widowControl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 xml:space="preserve">ВСЕГО:</w:t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r>
          </w:p>
        </w:tc>
        <w:tc>
          <w:tcPr>
            <w:tcBorders>
              <w:bottom w:val="single" w:color="000000" w:sz="12" w:space="0"/>
              <w:right w:val="single" w:color="000000" w:sz="12" w:space="0"/>
            </w:tcBorders>
            <w:tcMar>
              <w:left w:w="0" w:type="dxa"/>
            </w:tcMar>
            <w:tcW w:w="2082" w:type="dxa"/>
            <w:vAlign w:val="center"/>
            <w:textDirection w:val="lrTb"/>
            <w:noWrap w:val="false"/>
          </w:tcPr>
          <w:p>
            <w:pPr>
              <w:pStyle w:val="804"/>
              <w:ind w:left="0" w:right="0" w:firstLine="0"/>
              <w:jc w:val="center"/>
              <w:spacing w:before="0" w:after="0" w:line="240" w:lineRule="auto"/>
              <w:widowControl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  <w:r>
              <w:rPr>
                <w:rFonts w:ascii="Times New Roman" w:hAnsi="Times New Roman"/>
                <w:b/>
                <w:sz w:val="28"/>
                <w:szCs w:val="28"/>
              </w:rPr>
            </w: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</w:tr>
    </w:tbl>
    <w:p>
      <w:pPr>
        <w:pStyle w:val="711"/>
        <w:ind w:right="113" w:firstLine="0"/>
        <w:jc w:val="center"/>
        <w:spacing w:before="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11"/>
        <w:ind w:right="113" w:firstLine="0"/>
        <w:jc w:val="center"/>
        <w:spacing w:before="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11"/>
        <w:jc w:val="center"/>
        <w:spacing w:before="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Общая стоимость по договору: _______ руб. (_________), </w:t>
      </w:r>
      <w:r>
        <w:rPr>
          <w:rFonts w:ascii="Times New Roman" w:hAnsi="Times New Roman"/>
          <w:b/>
          <w:color w:val="000000"/>
          <w:spacing w:val="-5"/>
          <w:sz w:val="24"/>
          <w:szCs w:val="24"/>
          <w14:ligatures w14:val="none"/>
        </w:rPr>
        <w:t xml:space="preserve">НДС не облагается по ст.145 НК РФ/ в т.ч. НДС 5% или (7%)  в сумме  ______ руб. ( _______   руб., __  коп.), в том числе НДС 22% (или 10% 0%) в сумме   ______ руб. ( _______   руб., __  коп.).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11"/>
        <w:jc w:val="center"/>
        <w:spacing w:before="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11"/>
        <w:jc w:val="center"/>
        <w:spacing w:before="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tbl>
      <w:tblPr>
        <w:tblW w:w="11307" w:type="dxa"/>
        <w:tblInd w:w="96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519"/>
        <w:gridCol w:w="4787"/>
      </w:tblGrid>
      <w:tr>
        <w:tblPrEx/>
        <w:trPr/>
        <w:tc>
          <w:tcPr>
            <w:shd w:val="clear" w:color="auto" w:fill="auto"/>
            <w:tcW w:w="6519" w:type="dxa"/>
            <w:textDirection w:val="lrTb"/>
            <w:noWrap w:val="false"/>
          </w:tcPr>
          <w:p>
            <w:pPr>
              <w:pStyle w:val="712"/>
              <w:ind w:left="851" w:right="-3792" w:firstLine="0"/>
              <w:jc w:val="both"/>
              <w:spacing w:before="0" w:after="0"/>
              <w:widowControl w:val="off"/>
              <w:rPr>
                <w:rFonts w:ascii="Times New Roman" w:hAnsi="Times New Roman"/>
                <w:bCs w:val="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Заказчик:</w:t>
            </w:r>
            <w:r>
              <w:rPr>
                <w:rFonts w:ascii="Times New Roman" w:hAnsi="Times New Roman"/>
                <w:bCs w:val="0"/>
                <w:spacing w:val="-5"/>
                <w:sz w:val="24"/>
                <w:szCs w:val="24"/>
              </w:rPr>
            </w:r>
            <w:r>
              <w:rPr>
                <w:rFonts w:ascii="Times New Roman" w:hAnsi="Times New Roman"/>
                <w:bCs w:val="0"/>
                <w:spacing w:val="-5"/>
                <w:sz w:val="24"/>
                <w:szCs w:val="24"/>
              </w:rPr>
            </w:r>
          </w:p>
          <w:p>
            <w:pPr>
              <w:pStyle w:val="711"/>
              <w:ind w:left="851" w:firstLine="0"/>
              <w:jc w:val="both"/>
              <w:spacing w:before="0"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Главный инженер – заместитель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11"/>
              <w:ind w:left="851" w:firstLine="0"/>
              <w:jc w:val="both"/>
              <w:spacing w:before="0"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генерального директора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11"/>
              <w:ind w:left="851" w:firstLine="0"/>
              <w:spacing w:before="0"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СПб ГУП «Пассажиравтотранс»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11"/>
              <w:ind w:left="851" w:firstLine="0"/>
              <w:jc w:val="both"/>
              <w:spacing w:before="0"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11"/>
              <w:ind w:left="851" w:firstLine="0"/>
              <w:jc w:val="both"/>
              <w:spacing w:before="0"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А.Н. Беляев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11"/>
              <w:ind w:left="851" w:firstLine="0"/>
              <w:jc w:val="both"/>
              <w:spacing w:before="0" w:after="0" w:line="240" w:lineRule="auto"/>
              <w:widowControl w:val="off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МП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auto" w:fill="auto"/>
            <w:tcW w:w="4787" w:type="dxa"/>
            <w:textDirection w:val="lrTb"/>
            <w:noWrap w:val="false"/>
          </w:tcPr>
          <w:p>
            <w:pPr>
              <w:pStyle w:val="712"/>
              <w:ind w:left="851" w:right="-3792" w:firstLine="0"/>
              <w:jc w:val="both"/>
              <w:spacing w:before="0" w:after="0"/>
              <w:widowControl w:val="off"/>
              <w:rPr>
                <w:rFonts w:ascii="Times New Roman" w:hAnsi="Times New Roman" w:eastAsia="Calibri"/>
                <w:bCs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/>
                <w:bCs w:val="0"/>
                <w:sz w:val="24"/>
                <w:szCs w:val="24"/>
                <w:lang w:eastAsia="en-US"/>
              </w:rPr>
              <w:t xml:space="preserve">Исполнитель:</w:t>
            </w:r>
            <w:r>
              <w:rPr>
                <w:rFonts w:ascii="Times New Roman" w:hAnsi="Times New Roman" w:eastAsia="Calibri"/>
                <w:bCs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eastAsia="Calibri"/>
                <w:bCs w:val="0"/>
                <w:sz w:val="24"/>
                <w:szCs w:val="24"/>
                <w:lang w:eastAsia="en-US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97"/>
              <w:ind w:right="0" w:firstLine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711"/>
              <w:ind w:left="851" w:firstLine="0"/>
              <w:spacing w:before="0" w:after="0" w:line="240" w:lineRule="auto"/>
              <w:widowControl w:val="off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          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МП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r>
          </w:p>
        </w:tc>
      </w:tr>
    </w:tbl>
    <w:p>
      <w:pPr>
        <w:pStyle w:val="711"/>
        <w:ind w:right="-2" w:firstLine="0"/>
        <w:jc w:val="center"/>
        <w:spacing w:before="0" w:after="200"/>
        <w:tabs>
          <w:tab w:val="clear" w:pos="708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footnotePr/>
      <w:endnotePr/>
      <w:type w:val="nextPage"/>
      <w:pgSz w:w="16838" w:h="11906" w:orient="landscape"/>
      <w:pgMar w:top="1247" w:right="1134" w:bottom="851" w:left="1134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Noto Sans Devanagari">
    <w:panose1 w:val="020B0502040504020204"/>
  </w:font>
  <w:font w:name="Courier New">
    <w:panose1 w:val="02070309020205020404"/>
  </w:font>
  <w:font w:name="Open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 Light">
    <w:panose1 w:val="020F050202020403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/>
      <w:suff w:val="tab"/>
      <w:lvlText w:val=""/>
      <w:lvlJc w:val="left"/>
      <w:pPr>
        <w:ind w:left="709" w:hanging="283"/>
        <w:tabs>
          <w:tab w:val="num" w:pos="709" w:leader="none"/>
        </w:tabs>
      </w:pPr>
      <w:rPr>
        <w:rFonts w:hint="default" w:ascii="Symbol" w:hAnsi="Symbol" w:cs="Symbol"/>
      </w:rPr>
    </w:lvl>
    <w:lvl w:ilvl="1">
      <w:start w:val="1"/>
      <w:numFmt w:val="bullet"/>
      <w:isLgl/>
      <w:suff w:val="tab"/>
      <w:lvlText w:val=""/>
      <w:lvlJc w:val="left"/>
      <w:pPr>
        <w:ind w:left="1418" w:hanging="283"/>
        <w:tabs>
          <w:tab w:val="num" w:pos="1418" w:leader="none"/>
        </w:tabs>
      </w:pPr>
      <w:rPr>
        <w:rFonts w:hint="default" w:ascii="Symbol" w:hAnsi="Symbol" w:cs="Symbol"/>
      </w:rPr>
    </w:lvl>
    <w:lvl w:ilvl="2">
      <w:start w:val="1"/>
      <w:numFmt w:val="bullet"/>
      <w:isLgl/>
      <w:suff w:val="tab"/>
      <w:lvlText w:val=""/>
      <w:lvlJc w:val="left"/>
      <w:pPr>
        <w:ind w:left="2127" w:hanging="283"/>
        <w:tabs>
          <w:tab w:val="num" w:pos="2127" w:leader="none"/>
        </w:tabs>
      </w:pPr>
      <w:rPr>
        <w:rFonts w:hint="default" w:ascii="Symbol" w:hAnsi="Symbol" w:cs="Symbol"/>
      </w:rPr>
    </w:lvl>
    <w:lvl w:ilvl="3">
      <w:start w:val="1"/>
      <w:numFmt w:val="bullet"/>
      <w:isLgl/>
      <w:suff w:val="tab"/>
      <w:lvlText w:val=""/>
      <w:lvlJc w:val="left"/>
      <w:pPr>
        <w:ind w:left="2836" w:hanging="283"/>
        <w:tabs>
          <w:tab w:val="num" w:pos="2836" w:leader="none"/>
        </w:tabs>
      </w:pPr>
      <w:rPr>
        <w:rFonts w:hint="default" w:ascii="Symbol" w:hAnsi="Symbol" w:cs="Symbol"/>
      </w:rPr>
    </w:lvl>
    <w:lvl w:ilvl="4">
      <w:start w:val="1"/>
      <w:numFmt w:val="bullet"/>
      <w:isLgl/>
      <w:suff w:val="tab"/>
      <w:lvlText w:val=""/>
      <w:lvlJc w:val="left"/>
      <w:pPr>
        <w:ind w:left="3545" w:hanging="283"/>
        <w:tabs>
          <w:tab w:val="num" w:pos="3545" w:leader="none"/>
        </w:tabs>
      </w:pPr>
      <w:rPr>
        <w:rFonts w:hint="default" w:ascii="Symbol" w:hAnsi="Symbol" w:cs="Symbol"/>
      </w:rPr>
    </w:lvl>
    <w:lvl w:ilvl="5">
      <w:start w:val="1"/>
      <w:numFmt w:val="bullet"/>
      <w:isLgl/>
      <w:suff w:val="tab"/>
      <w:lvlText w:val=""/>
      <w:lvlJc w:val="left"/>
      <w:pPr>
        <w:ind w:left="4254" w:hanging="283"/>
        <w:tabs>
          <w:tab w:val="num" w:pos="4254" w:leader="none"/>
        </w:tabs>
      </w:pPr>
      <w:rPr>
        <w:rFonts w:hint="default" w:ascii="Symbol" w:hAnsi="Symbol" w:cs="Symbol"/>
      </w:rPr>
    </w:lvl>
    <w:lvl w:ilvl="6">
      <w:start w:val="1"/>
      <w:numFmt w:val="bullet"/>
      <w:isLgl/>
      <w:suff w:val="tab"/>
      <w:lvlText w:val=""/>
      <w:lvlJc w:val="left"/>
      <w:pPr>
        <w:ind w:left="4963" w:hanging="283"/>
        <w:tabs>
          <w:tab w:val="num" w:pos="4963" w:leader="none"/>
        </w:tabs>
      </w:pPr>
      <w:rPr>
        <w:rFonts w:hint="default" w:ascii="Symbol" w:hAnsi="Symbol" w:cs="Symbol"/>
      </w:rPr>
    </w:lvl>
    <w:lvl w:ilvl="7">
      <w:start w:val="1"/>
      <w:numFmt w:val="bullet"/>
      <w:isLgl/>
      <w:suff w:val="tab"/>
      <w:lvlText w:val=""/>
      <w:lvlJc w:val="left"/>
      <w:pPr>
        <w:ind w:left="5672" w:hanging="283"/>
        <w:tabs>
          <w:tab w:val="num" w:pos="5672" w:leader="none"/>
        </w:tabs>
      </w:pPr>
      <w:rPr>
        <w:rFonts w:hint="default" w:ascii="Symbol" w:hAnsi="Symbol" w:cs="Symbol"/>
      </w:rPr>
    </w:lvl>
    <w:lvl w:ilvl="8">
      <w:start w:val="1"/>
      <w:numFmt w:val="bullet"/>
      <w:isLgl/>
      <w:suff w:val="tab"/>
      <w:lvlText w:val=""/>
      <w:lvlJc w:val="left"/>
      <w:pPr>
        <w:ind w:left="6381" w:hanging="283"/>
        <w:tabs>
          <w:tab w:val="num" w:pos="6381" w:leader="none"/>
        </w:tabs>
      </w:pPr>
      <w:rPr>
        <w:rFonts w:hint="default" w:ascii="Symbol" w:hAnsi="Symbol" w:cs="Symbol"/>
      </w:rPr>
    </w:lvl>
  </w:abstractNum>
  <w:abstractNum w:abstractNumId="1">
    <w:multiLevelType w:val="hybridMultilevel"/>
    <w:lvl w:ilvl="0">
      <w:start w:val="1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2">
    <w:multiLevelType w:val="hybridMultilevel"/>
    <w:lvl w:ilvl="0">
      <w:start w:val="1"/>
      <w:numFmt w:val="bullet"/>
      <w:isLgl/>
      <w:suff w:val="tab"/>
      <w:lvlText w:val=""/>
      <w:lvlJc w:val="left"/>
      <w:pPr>
        <w:ind w:left="709" w:hanging="283"/>
        <w:tabs>
          <w:tab w:val="num" w:pos="709" w:leader="none"/>
        </w:tabs>
      </w:pPr>
      <w:rPr>
        <w:rFonts w:hint="default" w:ascii="Symbol" w:hAnsi="Symbol" w:cs="Symbol"/>
      </w:rPr>
    </w:lvl>
    <w:lvl w:ilvl="1">
      <w:start w:val="1"/>
      <w:numFmt w:val="bullet"/>
      <w:isLgl/>
      <w:suff w:val="tab"/>
      <w:lvlText w:val=""/>
      <w:lvlJc w:val="left"/>
      <w:pPr>
        <w:ind w:left="1418" w:hanging="283"/>
        <w:tabs>
          <w:tab w:val="num" w:pos="1418" w:leader="none"/>
        </w:tabs>
      </w:pPr>
      <w:rPr>
        <w:rFonts w:hint="default" w:ascii="Symbol" w:hAnsi="Symbol" w:cs="Symbol"/>
      </w:rPr>
    </w:lvl>
    <w:lvl w:ilvl="2">
      <w:start w:val="1"/>
      <w:numFmt w:val="bullet"/>
      <w:isLgl/>
      <w:suff w:val="tab"/>
      <w:lvlText w:val=""/>
      <w:lvlJc w:val="left"/>
      <w:pPr>
        <w:ind w:left="2127" w:hanging="283"/>
        <w:tabs>
          <w:tab w:val="num" w:pos="2127" w:leader="none"/>
        </w:tabs>
      </w:pPr>
      <w:rPr>
        <w:rFonts w:hint="default" w:ascii="Symbol" w:hAnsi="Symbol" w:cs="Symbol"/>
      </w:rPr>
    </w:lvl>
    <w:lvl w:ilvl="3">
      <w:start w:val="1"/>
      <w:numFmt w:val="bullet"/>
      <w:isLgl/>
      <w:suff w:val="tab"/>
      <w:lvlText w:val=""/>
      <w:lvlJc w:val="left"/>
      <w:pPr>
        <w:ind w:left="2836" w:hanging="283"/>
        <w:tabs>
          <w:tab w:val="num" w:pos="2836" w:leader="none"/>
        </w:tabs>
      </w:pPr>
      <w:rPr>
        <w:rFonts w:hint="default" w:ascii="Symbol" w:hAnsi="Symbol" w:cs="Symbol"/>
      </w:rPr>
    </w:lvl>
    <w:lvl w:ilvl="4">
      <w:start w:val="1"/>
      <w:numFmt w:val="bullet"/>
      <w:isLgl/>
      <w:suff w:val="tab"/>
      <w:lvlText w:val=""/>
      <w:lvlJc w:val="left"/>
      <w:pPr>
        <w:ind w:left="3545" w:hanging="283"/>
        <w:tabs>
          <w:tab w:val="num" w:pos="3545" w:leader="none"/>
        </w:tabs>
      </w:pPr>
      <w:rPr>
        <w:rFonts w:hint="default" w:ascii="Symbol" w:hAnsi="Symbol" w:cs="Symbol"/>
      </w:rPr>
    </w:lvl>
    <w:lvl w:ilvl="5">
      <w:start w:val="1"/>
      <w:numFmt w:val="bullet"/>
      <w:isLgl/>
      <w:suff w:val="tab"/>
      <w:lvlText w:val=""/>
      <w:lvlJc w:val="left"/>
      <w:pPr>
        <w:ind w:left="4254" w:hanging="283"/>
        <w:tabs>
          <w:tab w:val="num" w:pos="4254" w:leader="none"/>
        </w:tabs>
      </w:pPr>
      <w:rPr>
        <w:rFonts w:hint="default" w:ascii="Symbol" w:hAnsi="Symbol" w:cs="Symbol"/>
      </w:rPr>
    </w:lvl>
    <w:lvl w:ilvl="6">
      <w:start w:val="1"/>
      <w:numFmt w:val="bullet"/>
      <w:isLgl/>
      <w:suff w:val="tab"/>
      <w:lvlText w:val=""/>
      <w:lvlJc w:val="left"/>
      <w:pPr>
        <w:ind w:left="4963" w:hanging="283"/>
        <w:tabs>
          <w:tab w:val="num" w:pos="4963" w:leader="none"/>
        </w:tabs>
      </w:pPr>
      <w:rPr>
        <w:rFonts w:hint="default" w:ascii="Symbol" w:hAnsi="Symbol" w:cs="Symbol"/>
      </w:rPr>
    </w:lvl>
    <w:lvl w:ilvl="7">
      <w:start w:val="1"/>
      <w:numFmt w:val="bullet"/>
      <w:isLgl/>
      <w:suff w:val="tab"/>
      <w:lvlText w:val=""/>
      <w:lvlJc w:val="left"/>
      <w:pPr>
        <w:ind w:left="5672" w:hanging="283"/>
        <w:tabs>
          <w:tab w:val="num" w:pos="5672" w:leader="none"/>
        </w:tabs>
      </w:pPr>
      <w:rPr>
        <w:rFonts w:hint="default" w:ascii="Symbol" w:hAnsi="Symbol" w:cs="Symbol"/>
      </w:rPr>
    </w:lvl>
    <w:lvl w:ilvl="8">
      <w:start w:val="1"/>
      <w:numFmt w:val="bullet"/>
      <w:isLgl/>
      <w:suff w:val="tab"/>
      <w:lvlText w:val=""/>
      <w:lvlJc w:val="left"/>
      <w:pPr>
        <w:ind w:left="6381" w:hanging="283"/>
        <w:tabs>
          <w:tab w:val="num" w:pos="6381" w:leader="none"/>
        </w:tabs>
      </w:pPr>
      <w:rPr>
        <w:rFonts w:hint="default" w:ascii="Symbol" w:hAnsi="Symbol" w:cs="Symbol"/>
      </w:rPr>
    </w:lvl>
  </w:abstractNum>
  <w:abstractNum w:abstractNumId="3">
    <w:multiLevelType w:val="hybridMultilevel"/>
    <w:lvl w:ilvl="0">
      <w:start w:val="1"/>
      <w:numFmt w:val="bullet"/>
      <w:isLgl/>
      <w:suff w:val="tab"/>
      <w:lvlText w:val=""/>
      <w:lvlJc w:val="left"/>
      <w:pPr>
        <w:ind w:left="709" w:hanging="283"/>
        <w:tabs>
          <w:tab w:val="num" w:pos="709" w:leader="none"/>
        </w:tabs>
      </w:pPr>
      <w:rPr>
        <w:rFonts w:hint="default" w:ascii="Symbol" w:hAnsi="Symbol" w:cs="Symbol"/>
      </w:rPr>
    </w:lvl>
    <w:lvl w:ilvl="1">
      <w:start w:val="1"/>
      <w:numFmt w:val="bullet"/>
      <w:isLgl/>
      <w:suff w:val="tab"/>
      <w:lvlText w:val=""/>
      <w:lvlJc w:val="left"/>
      <w:pPr>
        <w:ind w:left="1418" w:hanging="283"/>
        <w:tabs>
          <w:tab w:val="num" w:pos="1418" w:leader="none"/>
        </w:tabs>
      </w:pPr>
      <w:rPr>
        <w:rFonts w:hint="default" w:ascii="Symbol" w:hAnsi="Symbol" w:cs="Symbol"/>
      </w:rPr>
    </w:lvl>
    <w:lvl w:ilvl="2">
      <w:start w:val="1"/>
      <w:numFmt w:val="bullet"/>
      <w:isLgl/>
      <w:suff w:val="tab"/>
      <w:lvlText w:val=""/>
      <w:lvlJc w:val="left"/>
      <w:pPr>
        <w:ind w:left="2127" w:hanging="283"/>
        <w:tabs>
          <w:tab w:val="num" w:pos="2127" w:leader="none"/>
        </w:tabs>
      </w:pPr>
      <w:rPr>
        <w:rFonts w:hint="default" w:ascii="Symbol" w:hAnsi="Symbol" w:cs="Symbol"/>
      </w:rPr>
    </w:lvl>
    <w:lvl w:ilvl="3">
      <w:start w:val="1"/>
      <w:numFmt w:val="bullet"/>
      <w:isLgl/>
      <w:suff w:val="tab"/>
      <w:lvlText w:val=""/>
      <w:lvlJc w:val="left"/>
      <w:pPr>
        <w:ind w:left="2836" w:hanging="283"/>
        <w:tabs>
          <w:tab w:val="num" w:pos="2836" w:leader="none"/>
        </w:tabs>
      </w:pPr>
      <w:rPr>
        <w:rFonts w:hint="default" w:ascii="Symbol" w:hAnsi="Symbol" w:cs="Symbol"/>
      </w:rPr>
    </w:lvl>
    <w:lvl w:ilvl="4">
      <w:start w:val="1"/>
      <w:numFmt w:val="bullet"/>
      <w:isLgl/>
      <w:suff w:val="tab"/>
      <w:lvlText w:val=""/>
      <w:lvlJc w:val="left"/>
      <w:pPr>
        <w:ind w:left="3545" w:hanging="283"/>
        <w:tabs>
          <w:tab w:val="num" w:pos="3545" w:leader="none"/>
        </w:tabs>
      </w:pPr>
      <w:rPr>
        <w:rFonts w:hint="default" w:ascii="Symbol" w:hAnsi="Symbol" w:cs="Symbol"/>
      </w:rPr>
    </w:lvl>
    <w:lvl w:ilvl="5">
      <w:start w:val="1"/>
      <w:numFmt w:val="bullet"/>
      <w:isLgl/>
      <w:suff w:val="tab"/>
      <w:lvlText w:val=""/>
      <w:lvlJc w:val="left"/>
      <w:pPr>
        <w:ind w:left="4254" w:hanging="283"/>
        <w:tabs>
          <w:tab w:val="num" w:pos="4254" w:leader="none"/>
        </w:tabs>
      </w:pPr>
      <w:rPr>
        <w:rFonts w:hint="default" w:ascii="Symbol" w:hAnsi="Symbol" w:cs="Symbol"/>
      </w:rPr>
    </w:lvl>
    <w:lvl w:ilvl="6">
      <w:start w:val="1"/>
      <w:numFmt w:val="bullet"/>
      <w:isLgl/>
      <w:suff w:val="tab"/>
      <w:lvlText w:val=""/>
      <w:lvlJc w:val="left"/>
      <w:pPr>
        <w:ind w:left="4963" w:hanging="283"/>
        <w:tabs>
          <w:tab w:val="num" w:pos="4963" w:leader="none"/>
        </w:tabs>
      </w:pPr>
      <w:rPr>
        <w:rFonts w:hint="default" w:ascii="Symbol" w:hAnsi="Symbol" w:cs="Symbol"/>
      </w:rPr>
    </w:lvl>
    <w:lvl w:ilvl="7">
      <w:start w:val="1"/>
      <w:numFmt w:val="bullet"/>
      <w:isLgl/>
      <w:suff w:val="tab"/>
      <w:lvlText w:val=""/>
      <w:lvlJc w:val="left"/>
      <w:pPr>
        <w:ind w:left="5672" w:hanging="283"/>
        <w:tabs>
          <w:tab w:val="num" w:pos="5672" w:leader="none"/>
        </w:tabs>
      </w:pPr>
      <w:rPr>
        <w:rFonts w:hint="default" w:ascii="Symbol" w:hAnsi="Symbol" w:cs="Symbol"/>
      </w:rPr>
    </w:lvl>
    <w:lvl w:ilvl="8">
      <w:start w:val="1"/>
      <w:numFmt w:val="bullet"/>
      <w:isLgl/>
      <w:suff w:val="tab"/>
      <w:lvlText w:val=""/>
      <w:lvlJc w:val="left"/>
      <w:pPr>
        <w:ind w:left="6381" w:hanging="283"/>
        <w:tabs>
          <w:tab w:val="num" w:pos="6381" w:leader="none"/>
        </w:tabs>
      </w:pPr>
      <w:rPr>
        <w:rFonts w:hint="default" w:ascii="Symbol" w:hAnsi="Symbol" w:cs="Symbol"/>
      </w:rPr>
    </w:lvl>
  </w:abstractNum>
  <w:abstractNum w:abstractNumId="4">
    <w:multiLevelType w:val="hybridMultilevel"/>
    <w:lvl w:ilvl="0">
      <w:start w:val="2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5">
    <w:multiLevelType w:val="hybridMultilevel"/>
    <w:lvl w:ilvl="0">
      <w:start w:val="3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6">
    <w:multiLevelType w:val="hybridMultilevel"/>
    <w:lvl w:ilvl="0">
      <w:start w:val="4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7">
    <w:multiLevelType w:val="hybridMultilevel"/>
    <w:lvl w:ilvl="0">
      <w:start w:val="1"/>
      <w:numFmt w:val="bullet"/>
      <w:isLgl/>
      <w:suff w:val="tab"/>
      <w:lvlText w:val=""/>
      <w:lvlJc w:val="left"/>
      <w:pPr>
        <w:ind w:left="709" w:hanging="283"/>
        <w:tabs>
          <w:tab w:val="num" w:pos="709" w:leader="none"/>
        </w:tabs>
      </w:pPr>
      <w:rPr>
        <w:rFonts w:hint="default" w:ascii="Symbol" w:hAnsi="Symbol" w:cs="Symbol"/>
      </w:rPr>
    </w:lvl>
    <w:lvl w:ilvl="1">
      <w:start w:val="1"/>
      <w:numFmt w:val="bullet"/>
      <w:isLgl/>
      <w:suff w:val="tab"/>
      <w:lvlText w:val=""/>
      <w:lvlJc w:val="left"/>
      <w:pPr>
        <w:ind w:left="1418" w:hanging="283"/>
        <w:tabs>
          <w:tab w:val="num" w:pos="1418" w:leader="none"/>
        </w:tabs>
      </w:pPr>
      <w:rPr>
        <w:rFonts w:hint="default" w:ascii="Symbol" w:hAnsi="Symbol" w:cs="Symbol"/>
      </w:rPr>
    </w:lvl>
    <w:lvl w:ilvl="2">
      <w:start w:val="1"/>
      <w:numFmt w:val="bullet"/>
      <w:isLgl/>
      <w:suff w:val="tab"/>
      <w:lvlText w:val=""/>
      <w:lvlJc w:val="left"/>
      <w:pPr>
        <w:ind w:left="2127" w:hanging="283"/>
        <w:tabs>
          <w:tab w:val="num" w:pos="2127" w:leader="none"/>
        </w:tabs>
      </w:pPr>
      <w:rPr>
        <w:rFonts w:hint="default" w:ascii="Symbol" w:hAnsi="Symbol" w:cs="Symbol"/>
      </w:rPr>
    </w:lvl>
    <w:lvl w:ilvl="3">
      <w:start w:val="1"/>
      <w:numFmt w:val="bullet"/>
      <w:isLgl/>
      <w:suff w:val="tab"/>
      <w:lvlText w:val=""/>
      <w:lvlJc w:val="left"/>
      <w:pPr>
        <w:ind w:left="2836" w:hanging="283"/>
        <w:tabs>
          <w:tab w:val="num" w:pos="2836" w:leader="none"/>
        </w:tabs>
      </w:pPr>
      <w:rPr>
        <w:rFonts w:hint="default" w:ascii="Symbol" w:hAnsi="Symbol" w:cs="Symbol"/>
      </w:rPr>
    </w:lvl>
    <w:lvl w:ilvl="4">
      <w:start w:val="1"/>
      <w:numFmt w:val="bullet"/>
      <w:isLgl/>
      <w:suff w:val="tab"/>
      <w:lvlText w:val=""/>
      <w:lvlJc w:val="left"/>
      <w:pPr>
        <w:ind w:left="3545" w:hanging="283"/>
        <w:tabs>
          <w:tab w:val="num" w:pos="3545" w:leader="none"/>
        </w:tabs>
      </w:pPr>
      <w:rPr>
        <w:rFonts w:hint="default" w:ascii="Symbol" w:hAnsi="Symbol" w:cs="Symbol"/>
      </w:rPr>
    </w:lvl>
    <w:lvl w:ilvl="5">
      <w:start w:val="1"/>
      <w:numFmt w:val="bullet"/>
      <w:isLgl/>
      <w:suff w:val="tab"/>
      <w:lvlText w:val=""/>
      <w:lvlJc w:val="left"/>
      <w:pPr>
        <w:ind w:left="4254" w:hanging="283"/>
        <w:tabs>
          <w:tab w:val="num" w:pos="4254" w:leader="none"/>
        </w:tabs>
      </w:pPr>
      <w:rPr>
        <w:rFonts w:hint="default" w:ascii="Symbol" w:hAnsi="Symbol" w:cs="Symbol"/>
      </w:rPr>
    </w:lvl>
    <w:lvl w:ilvl="6">
      <w:start w:val="1"/>
      <w:numFmt w:val="bullet"/>
      <w:isLgl/>
      <w:suff w:val="tab"/>
      <w:lvlText w:val=""/>
      <w:lvlJc w:val="left"/>
      <w:pPr>
        <w:ind w:left="4963" w:hanging="283"/>
        <w:tabs>
          <w:tab w:val="num" w:pos="4963" w:leader="none"/>
        </w:tabs>
      </w:pPr>
      <w:rPr>
        <w:rFonts w:hint="default" w:ascii="Symbol" w:hAnsi="Symbol" w:cs="Symbol"/>
      </w:rPr>
    </w:lvl>
    <w:lvl w:ilvl="7">
      <w:start w:val="1"/>
      <w:numFmt w:val="bullet"/>
      <w:isLgl/>
      <w:suff w:val="tab"/>
      <w:lvlText w:val=""/>
      <w:lvlJc w:val="left"/>
      <w:pPr>
        <w:ind w:left="5672" w:hanging="283"/>
        <w:tabs>
          <w:tab w:val="num" w:pos="5672" w:leader="none"/>
        </w:tabs>
      </w:pPr>
      <w:rPr>
        <w:rFonts w:hint="default" w:ascii="Symbol" w:hAnsi="Symbol" w:cs="Symbol"/>
      </w:rPr>
    </w:lvl>
    <w:lvl w:ilvl="8">
      <w:start w:val="1"/>
      <w:numFmt w:val="bullet"/>
      <w:isLgl/>
      <w:suff w:val="tab"/>
      <w:lvlText w:val=""/>
      <w:lvlJc w:val="left"/>
      <w:pPr>
        <w:ind w:left="6381" w:hanging="283"/>
        <w:tabs>
          <w:tab w:val="num" w:pos="6381" w:leader="none"/>
        </w:tabs>
      </w:pPr>
      <w:rPr>
        <w:rFonts w:hint="default" w:ascii="Symbol" w:hAnsi="Symbol" w:cs="Symbol"/>
      </w:rPr>
    </w:lvl>
  </w:abstractNum>
  <w:abstractNum w:abstractNumId="8">
    <w:multiLevelType w:val="hybridMultilevel"/>
    <w:lvl w:ilvl="0">
      <w:start w:val="5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9">
    <w:multiLevelType w:val="hybridMultilevel"/>
    <w:lvl w:ilvl="0">
      <w:start w:val="1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10">
    <w:multiLevelType w:val="hybridMultilevel"/>
    <w:lvl w:ilvl="0">
      <w:start w:val="2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11">
    <w:multiLevelType w:val="hybridMultilevel"/>
    <w:lvl w:ilvl="0">
      <w:start w:val="3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12">
    <w:multiLevelType w:val="hybridMultilevel"/>
    <w:lvl w:ilvl="0">
      <w:start w:val="4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13">
    <w:multiLevelType w:val="hybridMultilevel"/>
    <w:lvl w:ilvl="0">
      <w:start w:val="5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14">
    <w:multiLevelType w:val="hybridMultilevel"/>
    <w:lvl w:ilvl="0">
      <w:start w:val="6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15">
    <w:multiLevelType w:val="hybridMultilevel"/>
    <w:lvl w:ilvl="0">
      <w:start w:val="7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16">
    <w:multiLevelType w:val="hybridMultilevel"/>
    <w:lvl w:ilvl="0">
      <w:start w:val="8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17">
    <w:multiLevelType w:val="hybridMultilevel"/>
    <w:lvl w:ilvl="0">
      <w:start w:val="9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18">
    <w:multiLevelType w:val="hybridMultilevel"/>
    <w:lvl w:ilvl="0">
      <w:start w:val="10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19">
    <w:multiLevelType w:val="hybridMultilevel"/>
    <w:lvl w:ilvl="0">
      <w:start w:val="11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20">
    <w:multiLevelType w:val="hybridMultilevel"/>
    <w:lvl w:ilvl="0">
      <w:start w:val="12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21">
    <w:multiLevelType w:val="hybridMultilevel"/>
    <w:lvl w:ilvl="0">
      <w:start w:val="13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22">
    <w:multiLevelType w:val="hybridMultilevel"/>
    <w:lvl w:ilvl="0">
      <w:start w:val="14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23">
    <w:multiLevelType w:val="hybridMultilevel"/>
    <w:lvl w:ilvl="0">
      <w:start w:val="15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24">
    <w:multiLevelType w:val="hybridMultilevel"/>
    <w:lvl w:ilvl="0">
      <w:start w:val="16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25">
    <w:multiLevelType w:val="hybridMultilevel"/>
    <w:lvl w:ilvl="0">
      <w:start w:val="17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26">
    <w:multiLevelType w:val="hybridMultilevel"/>
    <w:lvl w:ilvl="0">
      <w:start w:val="18"/>
      <w:numFmt w:val="decimal"/>
      <w:isLgl/>
      <w:suff w:val="tab"/>
      <w:lvlText w:val="%1."/>
      <w:lvlJc w:val="left"/>
      <w:pPr>
        <w:ind w:left="709" w:hanging="283"/>
        <w:tabs>
          <w:tab w:val="num" w:pos="709" w:leader="none"/>
        </w:tabs>
      </w:pPr>
    </w:lvl>
    <w:lvl w:ilvl="1">
      <w:start w:val="1"/>
      <w:numFmt w:val="decimal"/>
      <w:isLgl/>
      <w:suff w:val="tab"/>
      <w:lvlText w:val="%2."/>
      <w:lvlJc w:val="left"/>
      <w:pPr>
        <w:ind w:left="1418" w:hanging="283"/>
        <w:tabs>
          <w:tab w:val="num" w:pos="1418" w:leader="none"/>
        </w:tabs>
      </w:pPr>
    </w:lvl>
    <w:lvl w:ilvl="2">
      <w:start w:val="1"/>
      <w:numFmt w:val="decimal"/>
      <w:isLgl/>
      <w:suff w:val="tab"/>
      <w:lvlText w:val="%3."/>
      <w:lvlJc w:val="left"/>
      <w:pPr>
        <w:ind w:left="2127" w:hanging="283"/>
        <w:tabs>
          <w:tab w:val="num" w:pos="2127" w:leader="none"/>
        </w:tabs>
      </w:pPr>
    </w:lvl>
    <w:lvl w:ilvl="3">
      <w:start w:val="1"/>
      <w:numFmt w:val="decimal"/>
      <w:isLgl/>
      <w:suff w:val="tab"/>
      <w:lvlText w:val="%4."/>
      <w:lvlJc w:val="left"/>
      <w:pPr>
        <w:ind w:left="2836" w:hanging="283"/>
        <w:tabs>
          <w:tab w:val="num" w:pos="2836" w:leader="none"/>
        </w:tabs>
      </w:pPr>
    </w:lvl>
    <w:lvl w:ilvl="4">
      <w:start w:val="1"/>
      <w:numFmt w:val="decimal"/>
      <w:isLgl/>
      <w:suff w:val="tab"/>
      <w:lvlText w:val="%5."/>
      <w:lvlJc w:val="left"/>
      <w:pPr>
        <w:ind w:left="3545" w:hanging="283"/>
        <w:tabs>
          <w:tab w:val="num" w:pos="3545" w:leader="none"/>
        </w:tabs>
      </w:pPr>
    </w:lvl>
    <w:lvl w:ilvl="5">
      <w:start w:val="1"/>
      <w:numFmt w:val="decimal"/>
      <w:isLgl/>
      <w:suff w:val="tab"/>
      <w:lvlText w:val="%6."/>
      <w:lvlJc w:val="left"/>
      <w:pPr>
        <w:ind w:left="4254" w:hanging="283"/>
        <w:tabs>
          <w:tab w:val="num" w:pos="4254" w:leader="none"/>
        </w:tabs>
      </w:pPr>
    </w:lvl>
    <w:lvl w:ilvl="6">
      <w:start w:val="1"/>
      <w:numFmt w:val="decimal"/>
      <w:isLgl/>
      <w:suff w:val="tab"/>
      <w:lvlText w:val="%7."/>
      <w:lvlJc w:val="left"/>
      <w:pPr>
        <w:ind w:left="4963" w:hanging="283"/>
        <w:tabs>
          <w:tab w:val="num" w:pos="4963" w:leader="none"/>
        </w:tabs>
      </w:pPr>
    </w:lvl>
    <w:lvl w:ilvl="7">
      <w:start w:val="1"/>
      <w:numFmt w:val="decimal"/>
      <w:isLgl/>
      <w:suff w:val="tab"/>
      <w:lvlText w:val="%8."/>
      <w:lvlJc w:val="left"/>
      <w:pPr>
        <w:ind w:left="5672" w:hanging="283"/>
        <w:tabs>
          <w:tab w:val="num" w:pos="5672" w:leader="none"/>
        </w:tabs>
      </w:pPr>
    </w:lvl>
    <w:lvl w:ilvl="8">
      <w:start w:val="1"/>
      <w:numFmt w:val="decimal"/>
      <w:isLgl/>
      <w:suff w:val="tab"/>
      <w:lvlText w:val="%9."/>
      <w:lvlJc w:val="left"/>
      <w:pPr>
        <w:ind w:left="6381" w:hanging="283"/>
        <w:tabs>
          <w:tab w:val="num" w:pos="6381" w:leader="none"/>
        </w:tabs>
      </w:pPr>
    </w:lvl>
  </w:abstractNum>
  <w:abstractNum w:abstractNumId="27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numbering" w:styleId="710">
    <w:name w:val="No List"/>
    <w:uiPriority w:val="99"/>
    <w:semiHidden/>
    <w:unhideWhenUsed/>
  </w:style>
  <w:style w:type="paragraph" w:styleId="711" w:default="1">
    <w:name w:val="Normal"/>
    <w:qFormat/>
    <w:pPr>
      <w:jc w:val="left"/>
      <w:spacing w:before="0" w:after="200" w:line="276" w:lineRule="auto"/>
      <w:widowControl/>
    </w:pPr>
    <w:rPr>
      <w:rFonts w:ascii="Calibri" w:hAnsi="Calibri" w:eastAsia="Calibri" w:cs="Times New Roman"/>
      <w:color w:val="auto"/>
      <w:sz w:val="22"/>
      <w:szCs w:val="22"/>
      <w:lang w:val="ru-RU" w:eastAsia="en-US" w:bidi="ar-SA"/>
    </w:rPr>
  </w:style>
  <w:style w:type="paragraph" w:styleId="712">
    <w:name w:val="Heading 1"/>
    <w:basedOn w:val="711"/>
    <w:uiPriority w:val="9"/>
    <w:qFormat/>
    <w:pPr>
      <w:keepNext/>
      <w:spacing w:before="240" w:after="60" w:line="240" w:lineRule="auto"/>
      <w:outlineLvl w:val="0"/>
    </w:pPr>
    <w:rPr>
      <w:rFonts w:ascii="Calibri Light" w:hAnsi="Calibri Light" w:eastAsia="Times New Roman"/>
      <w:b/>
      <w:bCs/>
      <w:sz w:val="32"/>
      <w:szCs w:val="32"/>
      <w:lang w:eastAsia="ru-RU"/>
    </w:rPr>
  </w:style>
  <w:style w:type="paragraph" w:styleId="713">
    <w:name w:val="Heading 2"/>
    <w:basedOn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4">
    <w:name w:val="Heading 3"/>
    <w:basedOn w:val="711"/>
    <w:qFormat/>
    <w:pPr>
      <w:ind w:right="4" w:firstLine="0"/>
      <w:keepNext/>
      <w:spacing w:before="0" w:after="0" w:line="259" w:lineRule="auto"/>
      <w:outlineLvl w:val="2"/>
    </w:pPr>
    <w:rPr>
      <w:rFonts w:ascii="Times New Roman" w:hAnsi="Times New Roman" w:eastAsia="Times New Roman"/>
      <w:color w:val="000000"/>
      <w:sz w:val="24"/>
      <w:szCs w:val="24"/>
      <w:lang w:eastAsia="ru-RU"/>
    </w:rPr>
  </w:style>
  <w:style w:type="paragraph" w:styleId="715">
    <w:name w:val="Heading 4"/>
    <w:basedOn w:val="71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71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8">
    <w:name w:val="Heading 7"/>
    <w:basedOn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71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>
    <w:name w:val="Heading 1 Char"/>
    <w:basedOn w:val="742"/>
    <w:uiPriority w:val="9"/>
    <w:qFormat/>
    <w:rPr>
      <w:rFonts w:ascii="Arial" w:hAnsi="Arial" w:eastAsia="Arial" w:cs="Arial"/>
      <w:sz w:val="40"/>
      <w:szCs w:val="40"/>
    </w:rPr>
  </w:style>
  <w:style w:type="character" w:styleId="722">
    <w:name w:val="Heading 2 Char"/>
    <w:basedOn w:val="742"/>
    <w:uiPriority w:val="9"/>
    <w:qFormat/>
    <w:rPr>
      <w:rFonts w:ascii="Arial" w:hAnsi="Arial" w:eastAsia="Arial" w:cs="Arial"/>
      <w:sz w:val="34"/>
    </w:rPr>
  </w:style>
  <w:style w:type="character" w:styleId="723">
    <w:name w:val="Heading 3 Char"/>
    <w:basedOn w:val="742"/>
    <w:uiPriority w:val="9"/>
    <w:qFormat/>
    <w:rPr>
      <w:rFonts w:ascii="Arial" w:hAnsi="Arial" w:eastAsia="Arial" w:cs="Arial"/>
      <w:sz w:val="30"/>
      <w:szCs w:val="30"/>
    </w:rPr>
  </w:style>
  <w:style w:type="character" w:styleId="724">
    <w:name w:val="Heading 4 Char"/>
    <w:basedOn w:val="74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725">
    <w:name w:val="Heading 5 Char"/>
    <w:basedOn w:val="742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726">
    <w:name w:val="Heading 6 Char"/>
    <w:basedOn w:val="742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27">
    <w:name w:val="Heading 7 Char"/>
    <w:basedOn w:val="742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728">
    <w:name w:val="Heading 8 Char"/>
    <w:basedOn w:val="742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729">
    <w:name w:val="Heading 9 Char"/>
    <w:basedOn w:val="742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730">
    <w:name w:val="Title Char"/>
    <w:basedOn w:val="742"/>
    <w:uiPriority w:val="10"/>
    <w:qFormat/>
    <w:rPr>
      <w:sz w:val="48"/>
      <w:szCs w:val="48"/>
    </w:rPr>
  </w:style>
  <w:style w:type="character" w:styleId="731">
    <w:name w:val="Subtitle Char"/>
    <w:basedOn w:val="742"/>
    <w:uiPriority w:val="11"/>
    <w:qFormat/>
    <w:rPr>
      <w:sz w:val="24"/>
      <w:szCs w:val="24"/>
    </w:rPr>
  </w:style>
  <w:style w:type="character" w:styleId="732">
    <w:name w:val="Quote Char"/>
    <w:uiPriority w:val="29"/>
    <w:qFormat/>
    <w:rPr>
      <w:i/>
    </w:rPr>
  </w:style>
  <w:style w:type="character" w:styleId="733">
    <w:name w:val="Intense Quote Char"/>
    <w:uiPriority w:val="30"/>
    <w:qFormat/>
    <w:rPr>
      <w:i/>
    </w:rPr>
  </w:style>
  <w:style w:type="character" w:styleId="734">
    <w:name w:val="Header Char"/>
    <w:basedOn w:val="742"/>
    <w:uiPriority w:val="99"/>
    <w:qFormat/>
  </w:style>
  <w:style w:type="character" w:styleId="735">
    <w:name w:val="Footer Char"/>
    <w:basedOn w:val="742"/>
    <w:uiPriority w:val="99"/>
    <w:qFormat/>
  </w:style>
  <w:style w:type="character" w:styleId="736">
    <w:name w:val="Caption Char"/>
    <w:uiPriority w:val="99"/>
    <w:qFormat/>
  </w:style>
  <w:style w:type="character" w:styleId="737">
    <w:name w:val="Footnote Text Char"/>
    <w:uiPriority w:val="99"/>
    <w:qFormat/>
    <w:rPr>
      <w:sz w:val="18"/>
    </w:rPr>
  </w:style>
  <w:style w:type="character" w:styleId="738">
    <w:name w:val="Символ сноски"/>
    <w:uiPriority w:val="99"/>
    <w:unhideWhenUsed/>
    <w:qFormat/>
    <w:rPr>
      <w:vertAlign w:val="superscript"/>
    </w:rPr>
  </w:style>
  <w:style w:type="character" w:styleId="739">
    <w:name w:val="Символ сноски (user)"/>
    <w:qFormat/>
    <w:rPr>
      <w:vertAlign w:val="superscript"/>
    </w:rPr>
  </w:style>
  <w:style w:type="character" w:styleId="740">
    <w:name w:val="footnote reference"/>
    <w:rPr>
      <w:vertAlign w:val="superscript"/>
    </w:rPr>
  </w:style>
  <w:style w:type="character" w:styleId="741">
    <w:name w:val="Endnote Text Char"/>
    <w:uiPriority w:val="99"/>
    <w:qFormat/>
    <w:rPr>
      <w:sz w:val="20"/>
    </w:rPr>
  </w:style>
  <w:style w:type="character" w:styleId="742" w:default="1">
    <w:name w:val="Default Paragraph Font"/>
    <w:uiPriority w:val="1"/>
    <w:semiHidden/>
    <w:unhideWhenUsed/>
    <w:qFormat/>
  </w:style>
  <w:style w:type="character" w:styleId="743">
    <w:name w:val="Hyperlink"/>
    <w:uiPriority w:val="99"/>
    <w:unhideWhenUsed/>
    <w:rPr>
      <w:color w:val="0000ff"/>
      <w:u w:val="single"/>
    </w:rPr>
  </w:style>
  <w:style w:type="character" w:styleId="744" w:customStyle="1">
    <w:name w:val="Текст примечания Знак"/>
    <w:uiPriority w:val="99"/>
    <w:semiHidden/>
    <w:qFormat/>
    <w:rPr>
      <w:rFonts w:ascii="Arial" w:hAnsi="Arial" w:eastAsia="Times New Roman" w:cs="Arial"/>
      <w:sz w:val="20"/>
      <w:szCs w:val="20"/>
      <w:lang w:eastAsia="ru-RU"/>
    </w:rPr>
  </w:style>
  <w:style w:type="character" w:styleId="745">
    <w:name w:val="annotation reference"/>
    <w:uiPriority w:val="99"/>
    <w:semiHidden/>
    <w:unhideWhenUsed/>
    <w:qFormat/>
    <w:rPr>
      <w:sz w:val="16"/>
      <w:szCs w:val="16"/>
    </w:rPr>
  </w:style>
  <w:style w:type="character" w:styleId="746" w:customStyle="1">
    <w:name w:val="Текст выноски Знак"/>
    <w:uiPriority w:val="99"/>
    <w:semiHidden/>
    <w:qFormat/>
    <w:rPr>
      <w:rFonts w:ascii="Tahoma" w:hAnsi="Tahoma" w:cs="Tahoma"/>
      <w:sz w:val="16"/>
      <w:szCs w:val="16"/>
    </w:rPr>
  </w:style>
  <w:style w:type="character" w:styleId="747" w:customStyle="1">
    <w:name w:val="Верхний колонтитул Знак"/>
    <w:uiPriority w:val="99"/>
    <w:semiHidden/>
    <w:qFormat/>
    <w:rPr>
      <w:sz w:val="22"/>
      <w:szCs w:val="22"/>
      <w:lang w:eastAsia="en-US"/>
    </w:rPr>
  </w:style>
  <w:style w:type="character" w:styleId="748" w:customStyle="1">
    <w:name w:val="Нижний колонтитул Знак"/>
    <w:uiPriority w:val="99"/>
    <w:semiHidden/>
    <w:qFormat/>
    <w:rPr>
      <w:sz w:val="22"/>
      <w:szCs w:val="22"/>
      <w:lang w:eastAsia="en-US"/>
    </w:rPr>
  </w:style>
  <w:style w:type="character" w:styleId="749" w:customStyle="1">
    <w:name w:val="Тема примечания Знак"/>
    <w:uiPriority w:val="99"/>
    <w:semiHidden/>
    <w:qFormat/>
    <w:rPr>
      <w:rFonts w:ascii="Arial" w:hAnsi="Arial" w:eastAsia="Times New Roman" w:cs="Arial"/>
      <w:b/>
      <w:bCs/>
      <w:sz w:val="20"/>
      <w:szCs w:val="20"/>
      <w:lang w:eastAsia="en-US"/>
    </w:rPr>
  </w:style>
  <w:style w:type="character" w:styleId="750" w:customStyle="1">
    <w:name w:val="Заголовок 1 Знак"/>
    <w:uiPriority w:val="9"/>
    <w:qFormat/>
    <w:rPr>
      <w:rFonts w:ascii="Calibri Light" w:hAnsi="Calibri Light" w:eastAsia="Times New Roman"/>
      <w:b/>
      <w:bCs/>
      <w:sz w:val="32"/>
      <w:szCs w:val="32"/>
    </w:rPr>
  </w:style>
  <w:style w:type="character" w:styleId="751" w:customStyle="1">
    <w:name w:val="Заголовок 3 Знак"/>
    <w:qFormat/>
    <w:rPr>
      <w:rFonts w:ascii="Times New Roman" w:hAnsi="Times New Roman" w:eastAsia="Times New Roman"/>
      <w:color w:val="000000"/>
      <w:sz w:val="24"/>
      <w:szCs w:val="24"/>
    </w:rPr>
  </w:style>
  <w:style w:type="character" w:styleId="752" w:customStyle="1">
    <w:name w:val="ConsNormal Знак"/>
    <w:qFormat/>
    <w:rPr>
      <w:rFonts w:ascii="Arial" w:hAnsi="Arial" w:eastAsia="Times New Roman" w:cs="Arial"/>
      <w:sz w:val="18"/>
      <w:szCs w:val="18"/>
    </w:rPr>
  </w:style>
  <w:style w:type="character" w:styleId="753" w:customStyle="1">
    <w:name w:val="Основной текст с отступом Знак"/>
    <w:uiPriority w:val="99"/>
    <w:semiHidden/>
    <w:qFormat/>
    <w:rPr>
      <w:sz w:val="22"/>
      <w:szCs w:val="22"/>
      <w:lang w:eastAsia="en-US"/>
    </w:rPr>
  </w:style>
  <w:style w:type="character" w:styleId="754" w:customStyle="1">
    <w:name w:val="Основной текст с отступом Знак1"/>
    <w:qFormat/>
    <w:rPr>
      <w:rFonts w:ascii="Times New Roman" w:hAnsi="Times New Roman" w:eastAsia="Times New Roman"/>
      <w:sz w:val="24"/>
      <w:szCs w:val="24"/>
      <w:lang w:eastAsia="zh-CN"/>
    </w:rPr>
  </w:style>
  <w:style w:type="character" w:styleId="755" w:customStyle="1">
    <w:name w:val="apple-style-span"/>
    <w:qFormat/>
  </w:style>
  <w:style w:type="character" w:styleId="756" w:customStyle="1">
    <w:name w:val="Текст концевой сноски Знак"/>
    <w:uiPriority w:val="99"/>
    <w:qFormat/>
    <w:rPr>
      <w:rFonts w:ascii="Times New Roman" w:hAnsi="Times New Roman" w:eastAsia="Times New Roman"/>
    </w:rPr>
  </w:style>
  <w:style w:type="character" w:styleId="757">
    <w:name w:val="Символ концевой сноски"/>
    <w:uiPriority w:val="99"/>
    <w:qFormat/>
    <w:rPr>
      <w:vertAlign w:val="superscript"/>
    </w:rPr>
  </w:style>
  <w:style w:type="character" w:styleId="758">
    <w:name w:val="Символ концевой сноски (user)"/>
    <w:qFormat/>
    <w:rPr>
      <w:vertAlign w:val="superscript"/>
    </w:rPr>
  </w:style>
  <w:style w:type="character" w:styleId="759">
    <w:name w:val="endnote reference"/>
    <w:rPr>
      <w:vertAlign w:val="superscript"/>
    </w:rPr>
  </w:style>
  <w:style w:type="character" w:styleId="760">
    <w:name w:val="Маркеры"/>
    <w:qFormat/>
    <w:rPr>
      <w:rFonts w:ascii="OpenSymbol" w:hAnsi="OpenSymbol" w:eastAsia="OpenSymbol" w:cs="OpenSymbol"/>
    </w:rPr>
  </w:style>
  <w:style w:type="character" w:styleId="761">
    <w:name w:val="Маркеры (user)"/>
    <w:qFormat/>
    <w:rPr>
      <w:rFonts w:ascii="OpenSymbol" w:hAnsi="OpenSymbol" w:eastAsia="OpenSymbol" w:cs="OpenSymbol"/>
    </w:rPr>
  </w:style>
  <w:style w:type="character" w:styleId="762">
    <w:name w:val="Символ нумерации (user)"/>
    <w:qFormat/>
  </w:style>
  <w:style w:type="character" w:styleId="763">
    <w:name w:val="Символ нумерации"/>
    <w:qFormat/>
  </w:style>
  <w:style w:type="paragraph" w:styleId="764">
    <w:name w:val="Заголовок"/>
    <w:basedOn w:val="711"/>
    <w:next w:val="765"/>
    <w:qFormat/>
    <w:pPr>
      <w:keepNext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765">
    <w:name w:val="Body Text"/>
    <w:basedOn w:val="711"/>
    <w:pPr>
      <w:spacing w:before="0" w:after="140" w:line="276" w:lineRule="auto"/>
    </w:pPr>
  </w:style>
  <w:style w:type="paragraph" w:styleId="766">
    <w:name w:val="List"/>
    <w:basedOn w:val="765"/>
    <w:rPr>
      <w:rFonts w:ascii="PT Astra Serif" w:hAnsi="PT Astra Serif" w:cs="Noto Sans Devanagari"/>
    </w:rPr>
  </w:style>
  <w:style w:type="paragraph" w:styleId="767">
    <w:name w:val="Caption"/>
    <w:basedOn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768">
    <w:name w:val="Указатель"/>
    <w:basedOn w:val="711"/>
    <w:qFormat/>
    <w:pPr>
      <w:suppressLineNumbers/>
    </w:pPr>
    <w:rPr>
      <w:rFonts w:ascii="PT Astra Serif" w:hAnsi="PT Astra Serif" w:cs="Noto Sans Devanagari"/>
    </w:rPr>
  </w:style>
  <w:style w:type="paragraph" w:styleId="769">
    <w:name w:val="Заголовок (user)"/>
    <w:basedOn w:val="711"/>
    <w:next w:val="765"/>
    <w:qFormat/>
    <w:pPr>
      <w:keepNext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770">
    <w:name w:val="Указатель (user)"/>
    <w:basedOn w:val="711"/>
    <w:qFormat/>
    <w:pPr>
      <w:suppressLineNumbers/>
    </w:pPr>
    <w:rPr>
      <w:rFonts w:ascii="PT Astra Serif" w:hAnsi="PT Astra Serif" w:cs="Noto Sans Devanagari"/>
    </w:rPr>
  </w:style>
  <w:style w:type="paragraph" w:styleId="771">
    <w:name w:val="Title"/>
    <w:basedOn w:val="711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772">
    <w:name w:val="Subtitle"/>
    <w:basedOn w:val="711"/>
    <w:uiPriority w:val="11"/>
    <w:qFormat/>
    <w:pPr>
      <w:spacing w:before="200" w:after="200"/>
    </w:pPr>
    <w:rPr>
      <w:sz w:val="24"/>
      <w:szCs w:val="24"/>
    </w:rPr>
  </w:style>
  <w:style w:type="paragraph" w:styleId="773">
    <w:name w:val="Quote"/>
    <w:basedOn w:val="711"/>
    <w:uiPriority w:val="29"/>
    <w:qFormat/>
    <w:pPr>
      <w:ind w:left="720" w:right="720" w:firstLine="0"/>
    </w:pPr>
    <w:rPr>
      <w:i/>
    </w:rPr>
  </w:style>
  <w:style w:type="paragraph" w:styleId="774">
    <w:name w:val="Intense Quote"/>
    <w:basedOn w:val="711"/>
    <w:uiPriority w:val="30"/>
    <w:qFormat/>
    <w:pPr>
      <w:ind w:left="720" w:right="720" w:firstLine="0"/>
      <w:spacing w:before="0" w:after="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775">
    <w:name w:val="footnote text"/>
    <w:basedOn w:val="711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776">
    <w:name w:val="toc 1"/>
    <w:basedOn w:val="711"/>
    <w:uiPriority w:val="39"/>
    <w:unhideWhenUsed/>
    <w:pPr>
      <w:ind w:left="0" w:right="0" w:firstLine="0"/>
      <w:spacing w:before="0" w:after="57"/>
    </w:pPr>
  </w:style>
  <w:style w:type="paragraph" w:styleId="777">
    <w:name w:val="toc 2"/>
    <w:basedOn w:val="711"/>
    <w:uiPriority w:val="39"/>
    <w:unhideWhenUsed/>
    <w:pPr>
      <w:ind w:left="283" w:right="0" w:firstLine="0"/>
      <w:spacing w:before="0" w:after="57"/>
    </w:pPr>
  </w:style>
  <w:style w:type="paragraph" w:styleId="778">
    <w:name w:val="toc 3"/>
    <w:basedOn w:val="711"/>
    <w:uiPriority w:val="39"/>
    <w:unhideWhenUsed/>
    <w:pPr>
      <w:ind w:left="567" w:right="0" w:firstLine="0"/>
      <w:spacing w:before="0" w:after="57"/>
    </w:pPr>
  </w:style>
  <w:style w:type="paragraph" w:styleId="779">
    <w:name w:val="toc 4"/>
    <w:basedOn w:val="711"/>
    <w:uiPriority w:val="39"/>
    <w:unhideWhenUsed/>
    <w:pPr>
      <w:ind w:left="850" w:right="0" w:firstLine="0"/>
      <w:spacing w:before="0" w:after="57"/>
    </w:pPr>
  </w:style>
  <w:style w:type="paragraph" w:styleId="780">
    <w:name w:val="toc 5"/>
    <w:basedOn w:val="711"/>
    <w:uiPriority w:val="39"/>
    <w:unhideWhenUsed/>
    <w:pPr>
      <w:ind w:left="1134" w:right="0" w:firstLine="0"/>
      <w:spacing w:before="0" w:after="57"/>
    </w:pPr>
  </w:style>
  <w:style w:type="paragraph" w:styleId="781">
    <w:name w:val="toc 6"/>
    <w:basedOn w:val="711"/>
    <w:uiPriority w:val="39"/>
    <w:unhideWhenUsed/>
    <w:pPr>
      <w:ind w:left="1417" w:right="0" w:firstLine="0"/>
      <w:spacing w:before="0" w:after="57"/>
    </w:pPr>
  </w:style>
  <w:style w:type="paragraph" w:styleId="782">
    <w:name w:val="toc 7"/>
    <w:basedOn w:val="711"/>
    <w:uiPriority w:val="39"/>
    <w:unhideWhenUsed/>
    <w:pPr>
      <w:ind w:left="1701" w:right="0" w:firstLine="0"/>
      <w:spacing w:before="0" w:after="57"/>
    </w:pPr>
  </w:style>
  <w:style w:type="paragraph" w:styleId="783">
    <w:name w:val="toc 8"/>
    <w:basedOn w:val="711"/>
    <w:uiPriority w:val="39"/>
    <w:unhideWhenUsed/>
    <w:pPr>
      <w:ind w:left="1984" w:right="0" w:firstLine="0"/>
      <w:spacing w:before="0" w:after="57"/>
    </w:pPr>
  </w:style>
  <w:style w:type="paragraph" w:styleId="784">
    <w:name w:val="toc 9"/>
    <w:basedOn w:val="711"/>
    <w:uiPriority w:val="39"/>
    <w:unhideWhenUsed/>
    <w:pPr>
      <w:ind w:left="2268" w:right="0" w:firstLine="0"/>
      <w:spacing w:before="0" w:after="57"/>
    </w:pPr>
  </w:style>
  <w:style w:type="paragraph" w:styleId="785">
    <w:name w:val="index heading"/>
    <w:basedOn w:val="764"/>
  </w:style>
  <w:style w:type="paragraph" w:styleId="786">
    <w:name w:val="TOC Heading"/>
    <w:uiPriority w:val="39"/>
    <w:unhideWhenUsed/>
    <w:qFormat/>
    <w:pPr>
      <w:jc w:val="left"/>
      <w:spacing w:before="0" w:after="0"/>
      <w:widowControl/>
    </w:pPr>
    <w:rPr>
      <w:rFonts w:ascii="Calibri" w:hAnsi="Calibri" w:eastAsia="Calibri" w:cs="Times New Roman"/>
      <w:color w:val="auto"/>
      <w:sz w:val="20"/>
      <w:szCs w:val="20"/>
      <w:lang w:val="ru-RU" w:eastAsia="ru-RU" w:bidi="ar-SA"/>
    </w:rPr>
  </w:style>
  <w:style w:type="paragraph" w:styleId="787">
    <w:name w:val="table of figures"/>
    <w:basedOn w:val="711"/>
    <w:uiPriority w:val="99"/>
    <w:unhideWhenUsed/>
    <w:qFormat/>
    <w:pPr>
      <w:spacing w:before="0" w:after="0" w:afterAutospacing="0"/>
    </w:pPr>
  </w:style>
  <w:style w:type="paragraph" w:styleId="788">
    <w:name w:val="annotation text"/>
    <w:basedOn w:val="711"/>
    <w:uiPriority w:val="99"/>
    <w:semiHidden/>
    <w:unhideWhenUsed/>
    <w:qFormat/>
    <w:pPr>
      <w:spacing w:before="0" w:after="0" w:line="240" w:lineRule="auto"/>
    </w:pPr>
    <w:rPr>
      <w:rFonts w:ascii="Arial" w:hAnsi="Arial" w:eastAsia="Times New Roman" w:cs="Arial"/>
      <w:sz w:val="20"/>
      <w:szCs w:val="20"/>
      <w:lang w:eastAsia="ru-RU"/>
    </w:rPr>
  </w:style>
  <w:style w:type="paragraph" w:styleId="789">
    <w:name w:val="Balloon Text"/>
    <w:basedOn w:val="711"/>
    <w:uiPriority w:val="99"/>
    <w:semiHidden/>
    <w:unhideWhenUsed/>
    <w:qFormat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790">
    <w:name w:val="Колонтитул"/>
    <w:basedOn w:val="711"/>
    <w:qFormat/>
  </w:style>
  <w:style w:type="paragraph" w:styleId="791">
    <w:name w:val="Колонтитулы (user)"/>
    <w:basedOn w:val="711"/>
    <w:qFormat/>
  </w:style>
  <w:style w:type="paragraph" w:styleId="792">
    <w:name w:val="Колонтитулы"/>
    <w:basedOn w:val="711"/>
    <w:qFormat/>
  </w:style>
  <w:style w:type="paragraph" w:styleId="793">
    <w:name w:val="Header"/>
    <w:basedOn w:val="711"/>
    <w:uiPriority w:val="99"/>
    <w:semiHidden/>
    <w:unhideWhenUsed/>
    <w:pPr>
      <w:tabs>
        <w:tab w:val="clear" w:pos="708" w:leader="none"/>
        <w:tab w:val="center" w:pos="4677" w:leader="none"/>
        <w:tab w:val="right" w:pos="9355" w:leader="none"/>
      </w:tabs>
    </w:pPr>
  </w:style>
  <w:style w:type="paragraph" w:styleId="794">
    <w:name w:val="Footer"/>
    <w:basedOn w:val="711"/>
    <w:uiPriority w:val="99"/>
    <w:semiHidden/>
    <w:unhideWhenUsed/>
    <w:pPr>
      <w:tabs>
        <w:tab w:val="clear" w:pos="708" w:leader="none"/>
        <w:tab w:val="center" w:pos="4677" w:leader="none"/>
        <w:tab w:val="right" w:pos="9355" w:leader="none"/>
      </w:tabs>
    </w:pPr>
  </w:style>
  <w:style w:type="paragraph" w:styleId="795">
    <w:name w:val="annotation subject"/>
    <w:basedOn w:val="788"/>
    <w:uiPriority w:val="99"/>
    <w:semiHidden/>
    <w:unhideWhenUsed/>
    <w:qFormat/>
    <w:pPr>
      <w:spacing w:before="0" w:after="200" w:line="276" w:lineRule="auto"/>
    </w:pPr>
    <w:rPr>
      <w:rFonts w:ascii="Calibri" w:hAnsi="Calibri" w:eastAsia="Calibri" w:cs="Times New Roman"/>
      <w:b/>
      <w:bCs/>
      <w:lang w:eastAsia="en-US"/>
    </w:rPr>
  </w:style>
  <w:style w:type="paragraph" w:styleId="796">
    <w:name w:val="Revision"/>
    <w:uiPriority w:val="99"/>
    <w:semiHidden/>
    <w:qFormat/>
    <w:pPr>
      <w:jc w:val="left"/>
      <w:spacing w:before="0" w:after="0"/>
      <w:widowControl/>
    </w:pPr>
    <w:rPr>
      <w:rFonts w:ascii="Calibri" w:hAnsi="Calibri" w:eastAsia="Calibri" w:cs="Times New Roman"/>
      <w:color w:val="auto"/>
      <w:sz w:val="22"/>
      <w:szCs w:val="22"/>
      <w:lang w:val="ru-RU" w:eastAsia="en-US" w:bidi="ar-SA"/>
    </w:rPr>
  </w:style>
  <w:style w:type="paragraph" w:styleId="797" w:customStyle="1">
    <w:name w:val="ConsNormal"/>
    <w:qFormat/>
    <w:pPr>
      <w:ind w:right="19772" w:firstLine="720"/>
      <w:jc w:val="left"/>
      <w:spacing w:before="0" w:after="0"/>
      <w:widowControl/>
    </w:pPr>
    <w:rPr>
      <w:rFonts w:ascii="Arial" w:hAnsi="Arial" w:eastAsia="Times New Roman" w:cs="Arial"/>
      <w:color w:val="auto"/>
      <w:sz w:val="18"/>
      <w:szCs w:val="18"/>
      <w:lang w:val="ru-RU" w:eastAsia="ru-RU" w:bidi="ar-SA"/>
    </w:rPr>
  </w:style>
  <w:style w:type="paragraph" w:styleId="798">
    <w:name w:val="List Paragraph"/>
    <w:basedOn w:val="711"/>
    <w:uiPriority w:val="34"/>
    <w:qFormat/>
    <w:pPr>
      <w:ind w:left="720" w:firstLine="0"/>
      <w:spacing w:before="0" w:after="0" w:line="240" w:lineRule="auto"/>
    </w:pPr>
    <w:rPr>
      <w:rFonts w:ascii="Times New Roman" w:hAnsi="Times New Roman" w:eastAsia="Times New Roman"/>
      <w:sz w:val="24"/>
      <w:szCs w:val="24"/>
      <w:lang w:eastAsia="zh-CN"/>
    </w:rPr>
  </w:style>
  <w:style w:type="paragraph" w:styleId="799">
    <w:name w:val="No Spacing"/>
    <w:uiPriority w:val="1"/>
    <w:qFormat/>
    <w:pPr>
      <w:jc w:val="left"/>
      <w:spacing w:before="0" w:after="0"/>
      <w:widowControl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paragraph" w:styleId="800">
    <w:name w:val="Body Text Indent"/>
    <w:basedOn w:val="711"/>
    <w:pPr>
      <w:ind w:left="283" w:firstLine="0"/>
      <w:spacing w:before="0" w:after="120" w:line="240" w:lineRule="auto"/>
    </w:pPr>
    <w:rPr>
      <w:rFonts w:ascii="Times New Roman" w:hAnsi="Times New Roman" w:eastAsia="Times New Roman"/>
      <w:sz w:val="24"/>
      <w:szCs w:val="24"/>
      <w:lang w:eastAsia="zh-CN"/>
    </w:rPr>
  </w:style>
  <w:style w:type="paragraph" w:styleId="801" w:customStyle="1">
    <w:name w:val="Стиль1"/>
    <w:basedOn w:val="711"/>
    <w:qFormat/>
    <w:pPr>
      <w:ind w:firstLine="709"/>
      <w:jc w:val="both"/>
      <w:spacing w:before="0" w:after="0" w:line="240" w:lineRule="auto"/>
    </w:pPr>
    <w:rPr>
      <w:rFonts w:ascii="Times New Roman" w:hAnsi="Times New Roman" w:eastAsia="Times New Roman"/>
      <w:sz w:val="26"/>
      <w:szCs w:val="24"/>
      <w:lang w:eastAsia="ru-RU"/>
    </w:rPr>
  </w:style>
  <w:style w:type="paragraph" w:styleId="802">
    <w:name w:val="endnote text"/>
    <w:basedOn w:val="711"/>
    <w:uiPriority w:val="99"/>
    <w:pPr>
      <w:spacing w:before="0"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803" w:customStyle="1">
    <w:name w:val="ConsPlusNonformat"/>
    <w:qFormat/>
    <w:pPr>
      <w:jc w:val="left"/>
      <w:spacing w:before="0" w:after="0"/>
      <w:widowControl/>
    </w:pPr>
    <w:rPr>
      <w:rFonts w:ascii="Courier New" w:hAnsi="Courier New" w:eastAsia="Times New Roman" w:cs="Courier New"/>
      <w:color w:val="auto"/>
      <w:sz w:val="20"/>
      <w:szCs w:val="20"/>
      <w:lang w:val="ru-RU" w:eastAsia="ru-RU" w:bidi="ar-SA"/>
    </w:rPr>
  </w:style>
  <w:style w:type="paragraph" w:styleId="804">
    <w:name w:val="Содержимое таблицы"/>
    <w:basedOn w:val="711"/>
    <w:qFormat/>
    <w:pPr>
      <w:widowControl w:val="off"/>
      <w:suppressLineNumbers/>
    </w:pPr>
  </w:style>
  <w:style w:type="paragraph" w:styleId="805">
    <w:name w:val="Заголовок таблицы"/>
    <w:basedOn w:val="804"/>
    <w:qFormat/>
    <w:pPr>
      <w:jc w:val="center"/>
      <w:suppressLineNumbers/>
    </w:pPr>
    <w:rPr>
      <w:b/>
      <w:bCs/>
    </w:rPr>
  </w:style>
  <w:style w:type="paragraph" w:styleId="806" w:customStyle="1">
    <w:name w:val="Содержимое таблицы (user)"/>
    <w:qFormat/>
    <w:pPr>
      <w:ind w:left="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/>
      <w:widowControl w:val="off"/>
      <w:suppressLineNumbers/>
    </w:pPr>
    <w:rPr>
      <w:rFonts w:ascii="Calibri" w:hAnsi="Calibri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u w:val="none"/>
      <w:vertAlign w:val="baseline"/>
      <w:lang w:val="ru-RU" w:eastAsia="en-US" w:bidi="ar-SA"/>
      <w14:ligatures w14:val="none"/>
    </w:rPr>
  </w:style>
  <w:style w:type="paragraph" w:styleId="807">
    <w:name w:val="Заголовок таблицы (user)"/>
    <w:basedOn w:val="806"/>
    <w:qFormat/>
    <w:pPr>
      <w:jc w:val="center"/>
      <w:suppressLineNumbers/>
    </w:pPr>
    <w:rPr>
      <w:b/>
      <w:bCs/>
    </w:rPr>
  </w:style>
  <w:style w:type="paragraph" w:styleId="808" w:customStyle="1">
    <w:name w:val="Normal (Web)"/>
    <w:uiPriority w:val="99"/>
    <w:semiHidden/>
    <w:unhideWhenUsed/>
    <w:qFormat/>
    <w:pPr>
      <w:ind w:left="0" w:right="0" w:firstLine="0"/>
      <w:jc w:val="left"/>
      <w:keepLines w:val="0"/>
      <w:keepNext w:val="0"/>
      <w:pageBreakBefore w:val="0"/>
      <w:spacing w:beforeAutospacing="1" w:afterAutospacing="1" w:line="240" w:lineRule="auto"/>
      <w:shd w:val="nil"/>
      <w:widowControl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u w:val="none"/>
      <w:vertAlign w:val="baseline"/>
      <w:lang w:val="ru-RU" w:eastAsia="ru-RU" w:bidi="ar-SA"/>
      <w14:ligatures w14:val="none"/>
    </w:rPr>
  </w:style>
  <w:style w:type="numbering" w:styleId="809">
    <w:name w:val="Без списка"/>
    <w:uiPriority w:val="99"/>
    <w:semiHidden/>
    <w:unhideWhenUsed/>
    <w:qFormat/>
  </w:style>
  <w:style w:type="numbering" w:styleId="810" w:default="1">
    <w:name w:val="Без списка (user)"/>
    <w:uiPriority w:val="99"/>
    <w:semiHidden/>
    <w:unhideWhenUsed/>
    <w:qFormat/>
  </w:style>
  <w:style w:type="table" w:styleId="811">
    <w:name w:val="Table Grid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2">
    <w:name w:val="Table Grid Light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3">
    <w:name w:val="Plain Table 1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2f2f2" w:themeFill="text1" w:themeFillTint="00"/>
      </w:tcPr>
    </w:tblStylePr>
    <w:tblStylePr w:type="band1Vert">
      <w:tcPr>
        <w:shd w:val="clear" w:color="ffffff" w:fill="f2f2f2" w:themeFill="text1" w:themeFillTint="0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</w:tblStylePr>
    <w:tblStylePr w:type="lastCol">
      <w:rPr>
        <w:b/>
        <w:sz w:val="22"/>
      </w:rPr>
    </w:tblStylePr>
    <w:tblStylePr w:type="lastRow">
      <w:rPr>
        <w:b/>
        <w:sz w:val="22"/>
      </w:rPr>
    </w:tblStylePr>
  </w:style>
  <w:style w:type="table" w:styleId="814">
    <w:name w:val="Plain Table 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</w:tblStylePr>
  </w:style>
  <w:style w:type="table" w:styleId="815">
    <w:name w:val="Plain Table 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cPr>
        <w:shd w:val="clear" w:color="ffffff" w:fill="f2f2f2" w:themeFill="text1" w:themeFillTint="00"/>
      </w:tcPr>
    </w:tblStylePr>
    <w:tblStylePr w:type="band1Vert">
      <w:rPr>
        <w:sz w:val="22"/>
      </w:rPr>
      <w:tcPr>
        <w:shd w:val="clear" w:color="ffffff" w:fill="f2f2f2" w:themeFill="text1" w:themeFillTint="00"/>
      </w:tcPr>
    </w:tblStylePr>
    <w:tblStylePr w:type="firstCol">
      <w:rPr>
        <w:b/>
        <w:caps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</w:rPr>
    </w:tblStylePr>
    <w:tblStylePr w:type="lastRow">
      <w:rPr>
        <w:b/>
        <w:caps/>
      </w:rPr>
    </w:tblStylePr>
  </w:style>
  <w:style w:type="table" w:styleId="816">
    <w:name w:val="Plain Table 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cPr>
        <w:shd w:val="clear" w:color="ffffff" w:fill="f2f2f2" w:themeFill="text1" w:themeFillTint="00"/>
      </w:tcPr>
    </w:tblStylePr>
    <w:tblStylePr w:type="band1Vert">
      <w:rPr>
        <w:sz w:val="22"/>
      </w:rPr>
      <w:tcPr>
        <w:shd w:val="clear" w:color="ffffff" w:fill="f2f2f2" w:themeFill="text1" w:themeFillTint="00"/>
      </w:tcPr>
    </w:tblStylePr>
    <w:tblStylePr w:type="firstCol">
      <w:rPr>
        <w:b/>
      </w:rPr>
    </w:tblStylePr>
    <w:tblStylePr w:type="firstRow">
      <w:rPr>
        <w:b/>
      </w:rPr>
    </w:tblStylePr>
    <w:tblStylePr w:type="lastCol">
      <w:rPr>
        <w:b/>
      </w:rPr>
    </w:tblStylePr>
    <w:tblStylePr w:type="lastRow">
      <w:rPr>
        <w:b/>
      </w:rPr>
    </w:tblStylePr>
  </w:style>
  <w:style w:type="table" w:styleId="817">
    <w:name w:val="Plain Table 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cPr>
        <w:shd w:val="clear" w:color="ffffff" w:fill="f2f2f2" w:themeFill="text1" w:themeFillTint="00"/>
      </w:tcPr>
    </w:tblStylePr>
    <w:tblStylePr w:type="band1Vert">
      <w:rPr>
        <w:sz w:val="22"/>
      </w:rPr>
      <w:tcPr>
        <w:shd w:val="clear" w:color="ffffff" w:fill="f2f2f2" w:themeFill="text1" w:themeFillTint="00"/>
      </w:tcPr>
    </w:tblStylePr>
    <w:tblStylePr w:type="firstCol">
      <w:rPr>
        <w:i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8">
    <w:name w:val="Grid Table 1 Light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1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000000" w:themeColor="accent1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2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000000" w:themeColor="accent2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2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000000" w:themeColor="accent3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2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000000" w:themeColor="accent4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2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2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</w:tblStylePr>
    <w:tblStylePr w:type="firstRow">
      <w:rPr>
        <w:b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25">
    <w:name w:val="Grid Table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cPr>
        <w:shd w:val="clear" w:color="ffffff" w:fill="cbcbcb" w:themeFill="text1" w:themeFillTint="34"/>
      </w:tcPr>
    </w:tblStylePr>
    <w:tblStylePr w:type="band1Vert">
      <w:rPr>
        <w:sz w:val="22"/>
      </w:rPr>
      <w:tcPr>
        <w:shd w:val="clear" w:color="ffffff" w:fill="cbcbcb" w:themeFill="text1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2 - Accent 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cPr>
        <w:shd w:val="clear" w:color="ffffff" w:fill="ddebf6" w:themeFill="accent1" w:themeFillTint="34"/>
      </w:tcPr>
    </w:tblStylePr>
    <w:tblStylePr w:type="band1Vert">
      <w:rPr>
        <w:sz w:val="22"/>
      </w:rPr>
      <w:tcPr>
        <w:shd w:val="clear" w:color="ffffff" w:fill="ddebf6" w:themeFill="accent1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2 - Accent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cPr>
        <w:shd w:val="clear" w:color="ffffff" w:fill="fbe5d6" w:themeFill="accent2" w:themeFillTint="32"/>
      </w:tcPr>
    </w:tblStylePr>
    <w:tblStylePr w:type="band1Vert">
      <w:rPr>
        <w:sz w:val="22"/>
      </w:rPr>
      <w:tcPr>
        <w:shd w:val="clear" w:color="ffffff" w:fill="fbe5d6" w:themeFill="accent2" w:themeFillTint="32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2 - Accent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cPr>
        <w:shd w:val="clear" w:color="ffffff" w:fill="ededed" w:themeFill="accent3" w:themeFillTint="34"/>
      </w:tcPr>
    </w:tblStylePr>
    <w:tblStylePr w:type="band1Vert">
      <w:rPr>
        <w:sz w:val="22"/>
      </w:rPr>
      <w:tcPr>
        <w:shd w:val="clear" w:color="ffffff" w:fill="ededed" w:themeFill="accent3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2 - Accent 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cPr>
        <w:shd w:val="clear" w:color="ffffff" w:fill="fef2cb" w:themeFill="accent4" w:themeFillTint="34"/>
      </w:tcPr>
    </w:tblStylePr>
    <w:tblStylePr w:type="band1Vert">
      <w:rPr>
        <w:sz w:val="22"/>
      </w:rPr>
      <w:tcPr>
        <w:shd w:val="clear" w:color="ffffff" w:fill="fef2cb" w:themeFill="accent4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2 - Accent 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cPr>
        <w:shd w:val="clear" w:color="ffffff" w:fill="d9e2f2" w:themeFill="accent5" w:themeFillTint="34"/>
      </w:tcPr>
    </w:tblStylePr>
    <w:tblStylePr w:type="band1Vert">
      <w:rPr>
        <w:sz w:val="22"/>
      </w:rPr>
      <w:tcPr>
        <w:shd w:val="clear" w:color="ffffff" w:fill="d9e2f2" w:themeFill="accent5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- Accent 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cPr>
        <w:shd w:val="clear" w:color="ffffff" w:fill="e2efd8" w:themeFill="accent6" w:themeFillTint="34"/>
      </w:tcPr>
    </w:tblStylePr>
    <w:tblStylePr w:type="band1Vert">
      <w:rPr>
        <w:sz w:val="22"/>
      </w:rPr>
      <w:tcPr>
        <w:shd w:val="clear" w:color="ffffff" w:fill="e2efd8" w:themeFill="accent6" w:themeFillTint="34"/>
      </w:tcPr>
    </w:tblStylePr>
    <w:tblStylePr w:type="firstCol">
      <w:rPr>
        <w:b/>
      </w:r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cPr>
        <w:shd w:val="clear" w:color="ffffff" w:fill="cbcbcb" w:themeFill="text1" w:themeFillTint="34"/>
      </w:tcPr>
    </w:tblStylePr>
    <w:tblStylePr w:type="band1Vert">
      <w:rPr>
        <w:sz w:val="22"/>
      </w:rPr>
      <w:tcPr>
        <w:shd w:val="clear" w:color="ffffff" w:fill="cbcbcb" w:themeFill="text1" w:themeFillTint="34"/>
      </w:tcPr>
    </w:tblStylePr>
    <w:tblStylePr w:type="firstCol">
      <w:rPr>
        <w:i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 - Accent 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cPr>
        <w:shd w:val="clear" w:color="ffffff" w:fill="ddebf6" w:themeFill="accent1" w:themeFillTint="34"/>
      </w:tcPr>
    </w:tblStylePr>
    <w:tblStylePr w:type="band1Vert">
      <w:rPr>
        <w:sz w:val="22"/>
      </w:rPr>
      <w:tcPr>
        <w:shd w:val="clear" w:color="ffffff" w:fill="ddebf6" w:themeFill="accent1" w:themeFillTint="34"/>
      </w:tcPr>
    </w:tblStylePr>
    <w:tblStylePr w:type="firstCol">
      <w:rPr>
        <w:i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 - Accent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cPr>
        <w:shd w:val="clear" w:color="ffffff" w:fill="fbe5d6" w:themeFill="accent2" w:themeFillTint="32"/>
      </w:tcPr>
    </w:tblStylePr>
    <w:tblStylePr w:type="band1Vert">
      <w:rPr>
        <w:sz w:val="22"/>
      </w:rPr>
      <w:tcPr>
        <w:shd w:val="clear" w:color="ffffff" w:fill="fbe5d6" w:themeFill="accent2" w:themeFillTint="32"/>
      </w:tcPr>
    </w:tblStylePr>
    <w:tblStylePr w:type="firstCol">
      <w:rPr>
        <w:i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 - Accent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cPr>
        <w:shd w:val="clear" w:color="ffffff" w:fill="ededed" w:themeFill="accent3" w:themeFillTint="34"/>
      </w:tcPr>
    </w:tblStylePr>
    <w:tblStylePr w:type="band1Vert">
      <w:rPr>
        <w:sz w:val="22"/>
      </w:rPr>
      <w:tcPr>
        <w:shd w:val="clear" w:color="ffffff" w:fill="ededed" w:themeFill="accent3" w:themeFillTint="34"/>
      </w:tcPr>
    </w:tblStylePr>
    <w:tblStylePr w:type="firstCol">
      <w:rPr>
        <w:i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3 - Accent 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cPr>
        <w:shd w:val="clear" w:color="ffffff" w:fill="fef2cb" w:themeFill="accent4" w:themeFillTint="34"/>
      </w:tcPr>
    </w:tblStylePr>
    <w:tblStylePr w:type="band1Vert">
      <w:rPr>
        <w:sz w:val="22"/>
      </w:rPr>
      <w:tcPr>
        <w:shd w:val="clear" w:color="ffffff" w:fill="fef2cb" w:themeFill="accent4" w:themeFillTint="34"/>
      </w:tcPr>
    </w:tblStylePr>
    <w:tblStylePr w:type="firstCol">
      <w:rPr>
        <w:i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 - Accent 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cPr>
        <w:shd w:val="clear" w:color="ffffff" w:fill="d9e2f2" w:themeFill="accent5" w:themeFillTint="34"/>
      </w:tcPr>
    </w:tblStylePr>
    <w:tblStylePr w:type="band1Vert">
      <w:rPr>
        <w:sz w:val="22"/>
      </w:rPr>
      <w:tcPr>
        <w:shd w:val="clear" w:color="ffffff" w:fill="d9e2f2" w:themeFill="accent5" w:themeFillTint="34"/>
      </w:tcPr>
    </w:tblStylePr>
    <w:tblStylePr w:type="firstCol">
      <w:rPr>
        <w:i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 - Accent 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cPr>
        <w:shd w:val="clear" w:color="ffffff" w:fill="e2efd8" w:themeFill="accent6" w:themeFillTint="34"/>
      </w:tcPr>
    </w:tblStylePr>
    <w:tblStylePr w:type="band1Vert">
      <w:rPr>
        <w:sz w:val="22"/>
      </w:rPr>
      <w:tcPr>
        <w:shd w:val="clear" w:color="ffffff" w:fill="e2efd8" w:themeFill="accent6" w:themeFillTint="34"/>
      </w:tcPr>
    </w:tblStylePr>
    <w:tblStylePr w:type="firstCol">
      <w:rPr>
        <w:i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4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sz w:val="22"/>
      </w:rPr>
      <w:tcPr>
        <w:shd w:val="clear" w:color="ffffff" w:fill="cbcbcb" w:themeFill="text1" w:themeFillTint="34"/>
      </w:tcPr>
    </w:tblStylePr>
    <w:tblStylePr w:type="band1Vert">
      <w:rPr>
        <w:sz w:val="22"/>
      </w:rPr>
      <w:tcPr>
        <w:shd w:val="clear" w:color="ffffff" w:fill="cbcbcb" w:themeFill="text1" w:themeFillTint="34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text1" w:sz="4" w:space="0"/>
        </w:tcBorders>
      </w:tcPr>
    </w:tblStylePr>
  </w:style>
  <w:style w:type="table" w:styleId="840">
    <w:name w:val="Grid Table 4 - Accent 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sz w:val="22"/>
      </w:rPr>
      <w:tcPr>
        <w:shd w:val="clear" w:color="ffffff" w:fill="dfebf6" w:themeFill="accent1" w:themeFillTint="32"/>
      </w:tcPr>
    </w:tblStylePr>
    <w:tblStylePr w:type="band1Vert">
      <w:rPr>
        <w:sz w:val="22"/>
      </w:rPr>
      <w:tcPr>
        <w:shd w:val="clear" w:color="ffffff" w:fill="dfebf6" w:themeFill="accent1" w:themeFillTint="32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67a4d8" w:themeFill="accent1" w:themeFillTint="EA"/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1" w:sz="4" w:space="0"/>
        </w:tcBorders>
      </w:tcPr>
    </w:tblStylePr>
  </w:style>
  <w:style w:type="table" w:styleId="841">
    <w:name w:val="Grid Table 4 - Accent 2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sz w:val="22"/>
      </w:rPr>
      <w:tcPr>
        <w:shd w:val="clear" w:color="ffffff" w:fill="fbe5d6" w:themeFill="accent2" w:themeFillTint="32"/>
      </w:tcPr>
    </w:tblStylePr>
    <w:tblStylePr w:type="band1Vert">
      <w:rPr>
        <w:sz w:val="22"/>
      </w:rPr>
      <w:tcPr>
        <w:shd w:val="clear" w:color="ffffff" w:fill="fbe5d6" w:themeFill="accent2" w:themeFillTint="32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f4b185" w:themeFill="accent2" w:themeFillTint="97"/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2" w:sz="4" w:space="0"/>
        </w:tcBorders>
      </w:tcPr>
    </w:tblStylePr>
  </w:style>
  <w:style w:type="table" w:styleId="842">
    <w:name w:val="Grid Table 4 - Accent 3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sz w:val="22"/>
      </w:rPr>
      <w:tcPr>
        <w:shd w:val="clear" w:color="ffffff" w:fill="ededed" w:themeFill="accent3" w:themeFillTint="34"/>
      </w:tcPr>
    </w:tblStylePr>
    <w:tblStylePr w:type="band1Vert">
      <w:rPr>
        <w:sz w:val="22"/>
      </w:rPr>
      <w:tcPr>
        <w:shd w:val="clear" w:color="ffffff" w:fill="ededed" w:themeFill="accent3" w:themeFillTint="34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a5a5a5" w:themeFill="accent3" w:themeFillTint="FE"/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3" w:sz="4" w:space="0"/>
        </w:tcBorders>
      </w:tcPr>
    </w:tblStylePr>
  </w:style>
  <w:style w:type="table" w:styleId="843">
    <w:name w:val="Grid Table 4 - Accent 4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sz w:val="22"/>
      </w:rPr>
      <w:tcPr>
        <w:shd w:val="clear" w:color="ffffff" w:fill="fef2cb" w:themeFill="accent4" w:themeFillTint="34"/>
      </w:tcPr>
    </w:tblStylePr>
    <w:tblStylePr w:type="band1Vert">
      <w:rPr>
        <w:sz w:val="22"/>
      </w:rPr>
      <w:tcPr>
        <w:shd w:val="clear" w:color="ffffff" w:fill="fef2cb" w:themeFill="accent4" w:themeFillTint="34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ffd864" w:themeFill="accent4" w:themeFillTint="9A"/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4" w:sz="4" w:space="0"/>
        </w:tcBorders>
      </w:tcPr>
    </w:tblStylePr>
  </w:style>
  <w:style w:type="table" w:styleId="844">
    <w:name w:val="Grid Table 4 - Accent 5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sz w:val="22"/>
      </w:rPr>
      <w:tcPr>
        <w:shd w:val="clear" w:color="ffffff" w:fill="d9e2f2" w:themeFill="accent5" w:themeFillTint="34"/>
      </w:tcPr>
    </w:tblStylePr>
    <w:tblStylePr w:type="band1Vert">
      <w:rPr>
        <w:sz w:val="22"/>
      </w:rPr>
      <w:tcPr>
        <w:shd w:val="clear" w:color="ffffff" w:fill="d9e2f2" w:themeFill="accent5" w:themeFillTint="34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5" w:sz="4" w:space="0"/>
        </w:tcBorders>
      </w:tcPr>
    </w:tblStylePr>
  </w:style>
  <w:style w:type="table" w:styleId="845">
    <w:name w:val="Grid Table 4 - Accent 6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sz w:val="22"/>
      </w:rPr>
      <w:tcPr>
        <w:shd w:val="clear" w:color="ffffff" w:fill="e2efd8" w:themeFill="accent6" w:themeFillTint="34"/>
      </w:tcPr>
    </w:tblStylePr>
    <w:tblStylePr w:type="band1Vert">
      <w:rPr>
        <w:sz w:val="22"/>
      </w:rPr>
      <w:tcPr>
        <w:shd w:val="clear" w:color="ffffff" w:fill="e2efd8" w:themeFill="accent6" w:themeFillTint="34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6" w:sz="4" w:space="0"/>
        </w:tcBorders>
      </w:tcPr>
    </w:tblStylePr>
  </w:style>
  <w:style w:type="table" w:styleId="846">
    <w:name w:val="Grid Table 5 Dark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8a8a8a" w:themeFill="text1" w:themeFillTint="75"/>
      </w:tcPr>
    </w:tblStylePr>
    <w:tblStylePr w:type="band1Vert">
      <w:tcPr>
        <w:shd w:val="clear" w:color="ffffff" w:fill="8a8a8a" w:themeFill="text1" w:themeFillTint="75"/>
      </w:tcPr>
    </w:tblStylePr>
    <w:tblStylePr w:type="firstCol">
      <w:rPr>
        <w:b/>
        <w:sz w:val="22"/>
      </w:rPr>
      <w:tcPr>
        <w:shd w:val="clear" w:color="ffffff" w:fill="000000" w:themeFill="text1"/>
      </w:tcPr>
    </w:tblStylePr>
    <w:tblStylePr w:type="firstRow">
      <w:rPr>
        <w:b/>
        <w:sz w:val="22"/>
      </w:rPr>
      <w:tcPr>
        <w:shd w:val="clear" w:color="ffffff" w:fill="000000" w:themeFill="text1"/>
      </w:tcPr>
    </w:tblStylePr>
    <w:tblStylePr w:type="lastCol">
      <w:rPr>
        <w:b/>
        <w:sz w:val="22"/>
      </w:rPr>
      <w:tcPr>
        <w:shd w:val="clear" w:color="ffffff" w:fill="000000" w:themeFill="text1"/>
      </w:tcPr>
    </w:tblStylePr>
    <w:tblStylePr w:type="lastRow">
      <w:rPr>
        <w:b/>
        <w:sz w:val="22"/>
      </w:rPr>
      <w:tcPr>
        <w:shd w:val="clear" w:color="ffffff" w:fill="000000" w:themeFill="text1"/>
        <w:tcBorders>
          <w:top w:val="single" w:color="000000" w:themeColor="light1" w:sz="4" w:space="0"/>
        </w:tcBorders>
      </w:tcPr>
    </w:tblStylePr>
  </w:style>
  <w:style w:type="table" w:styleId="84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b4d2eb" w:themeFill="accent1" w:themeFillTint="75"/>
      </w:tcPr>
    </w:tblStylePr>
    <w:tblStylePr w:type="band1Vert">
      <w:tcPr>
        <w:shd w:val="clear" w:color="ffffff" w:fill="b4d2eb" w:themeFill="accent1" w:themeFillTint="75"/>
      </w:tcPr>
    </w:tblStylePr>
    <w:tblStylePr w:type="firstCol">
      <w:rPr>
        <w:b/>
        <w:sz w:val="22"/>
      </w:rPr>
      <w:tcPr>
        <w:shd w:val="clear" w:color="ffffff" w:fill="5b9bd5" w:themeFill="accent1"/>
      </w:tcPr>
    </w:tblStylePr>
    <w:tblStylePr w:type="firstRow">
      <w:rPr>
        <w:b/>
        <w:sz w:val="22"/>
      </w:rPr>
      <w:tcPr>
        <w:shd w:val="clear" w:color="ffffff" w:fill="5b9bd5" w:themeFill="accent1"/>
      </w:tcPr>
    </w:tblStylePr>
    <w:tblStylePr w:type="lastCol">
      <w:rPr>
        <w:b/>
        <w:sz w:val="22"/>
      </w:rPr>
      <w:tcPr>
        <w:shd w:val="clear" w:color="ffffff" w:fill="5b9bd5" w:themeFill="accent1"/>
      </w:tcPr>
    </w:tblStylePr>
    <w:tblStylePr w:type="lastRow">
      <w:rPr>
        <w:b/>
        <w:sz w:val="22"/>
      </w:rPr>
      <w:tcPr>
        <w:shd w:val="clear" w:color="ffffff" w:fill="5b9bd5" w:themeFill="accent1"/>
        <w:tcBorders>
          <w:top w:val="single" w:color="000000" w:themeColor="light1" w:sz="4" w:space="0"/>
        </w:tcBorders>
      </w:tcPr>
    </w:tblStylePr>
  </w:style>
  <w:style w:type="table" w:styleId="84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6c3a1" w:themeFill="accent2" w:themeFillTint="75"/>
      </w:tcPr>
    </w:tblStylePr>
    <w:tblStylePr w:type="band1Vert">
      <w:tcPr>
        <w:shd w:val="clear" w:color="ffffff" w:fill="f6c3a1" w:themeFill="accent2" w:themeFillTint="75"/>
      </w:tcPr>
    </w:tblStylePr>
    <w:tblStylePr w:type="firstCol">
      <w:rPr>
        <w:b/>
        <w:sz w:val="22"/>
      </w:rPr>
      <w:tcPr>
        <w:shd w:val="clear" w:color="ffffff" w:fill="ed7d31" w:themeFill="accent2"/>
      </w:tcPr>
    </w:tblStylePr>
    <w:tblStylePr w:type="firstRow">
      <w:rPr>
        <w:b/>
        <w:sz w:val="22"/>
      </w:rPr>
      <w:tcPr>
        <w:shd w:val="clear" w:color="ffffff" w:fill="ed7d31" w:themeFill="accent2"/>
      </w:tcPr>
    </w:tblStylePr>
    <w:tblStylePr w:type="lastCol">
      <w:rPr>
        <w:b/>
        <w:sz w:val="22"/>
      </w:rPr>
      <w:tcPr>
        <w:shd w:val="clear" w:color="ffffff" w:fill="ed7d31" w:themeFill="accent2"/>
      </w:tcPr>
    </w:tblStylePr>
    <w:tblStylePr w:type="lastRow">
      <w:rPr>
        <w:b/>
        <w:sz w:val="22"/>
      </w:rPr>
      <w:tcPr>
        <w:shd w:val="clear" w:color="ffffff" w:fill="ed7d31" w:themeFill="accent2"/>
        <w:tcBorders>
          <w:top w:val="single" w:color="000000" w:themeColor="light1" w:sz="4" w:space="0"/>
        </w:tcBorders>
      </w:tcPr>
    </w:tblStylePr>
  </w:style>
  <w:style w:type="table" w:styleId="84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d6d6d6" w:themeFill="accent3" w:themeFillTint="75"/>
      </w:tcPr>
    </w:tblStylePr>
    <w:tblStylePr w:type="band1Vert">
      <w:tcPr>
        <w:shd w:val="clear" w:color="ffffff" w:fill="d6d6d6" w:themeFill="accent3" w:themeFillTint="75"/>
      </w:tcPr>
    </w:tblStylePr>
    <w:tblStylePr w:type="firstCol">
      <w:rPr>
        <w:b/>
        <w:sz w:val="22"/>
      </w:rPr>
      <w:tcPr>
        <w:shd w:val="clear" w:color="ffffff" w:fill="a5a5a5" w:themeFill="accent3"/>
      </w:tcPr>
    </w:tblStylePr>
    <w:tblStylePr w:type="firstRow">
      <w:rPr>
        <w:b/>
        <w:sz w:val="22"/>
      </w:rPr>
      <w:tcPr>
        <w:shd w:val="clear" w:color="ffffff" w:fill="a5a5a5" w:themeFill="accent3"/>
      </w:tcPr>
    </w:tblStylePr>
    <w:tblStylePr w:type="lastCol">
      <w:rPr>
        <w:b/>
        <w:sz w:val="22"/>
      </w:rPr>
      <w:tcPr>
        <w:shd w:val="clear" w:color="ffffff" w:fill="a5a5a5" w:themeFill="accent3"/>
      </w:tcPr>
    </w:tblStylePr>
    <w:tblStylePr w:type="lastRow">
      <w:rPr>
        <w:b/>
        <w:sz w:val="22"/>
      </w:rPr>
      <w:tcPr>
        <w:shd w:val="clear" w:color="ffffff" w:fill="a5a5a5" w:themeFill="accent3"/>
        <w:tcBorders>
          <w:top w:val="single" w:color="000000" w:themeColor="light1" w:sz="4" w:space="0"/>
        </w:tcBorders>
      </w:tcPr>
    </w:tblStylePr>
  </w:style>
  <w:style w:type="table" w:styleId="85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ee189" w:themeFill="accent4" w:themeFillTint="75"/>
      </w:tcPr>
    </w:tblStylePr>
    <w:tblStylePr w:type="band1Vert">
      <w:tcPr>
        <w:shd w:val="clear" w:color="ffffff" w:fill="fee189" w:themeFill="accent4" w:themeFillTint="75"/>
      </w:tcPr>
    </w:tblStylePr>
    <w:tblStylePr w:type="firstCol">
      <w:rPr>
        <w:b/>
        <w:sz w:val="22"/>
      </w:rPr>
      <w:tcPr>
        <w:shd w:val="clear" w:color="ffffff" w:fill="ffc000" w:themeFill="accent4"/>
      </w:tcPr>
    </w:tblStylePr>
    <w:tblStylePr w:type="firstRow">
      <w:rPr>
        <w:b/>
        <w:sz w:val="22"/>
      </w:rPr>
      <w:tcPr>
        <w:shd w:val="clear" w:color="ffffff" w:fill="ffc000" w:themeFill="accent4"/>
      </w:tcPr>
    </w:tblStylePr>
    <w:tblStylePr w:type="lastCol">
      <w:rPr>
        <w:b/>
        <w:sz w:val="22"/>
      </w:rPr>
      <w:tcPr>
        <w:shd w:val="clear" w:color="ffffff" w:fill="ffc000" w:themeFill="accent4"/>
      </w:tcPr>
    </w:tblStylePr>
    <w:tblStylePr w:type="lastRow">
      <w:rPr>
        <w:b/>
        <w:sz w:val="22"/>
      </w:rPr>
      <w:tcPr>
        <w:shd w:val="clear" w:color="ffffff" w:fill="ffc000" w:themeFill="accent4"/>
        <w:tcBorders>
          <w:top w:val="single" w:color="000000" w:themeColor="light1" w:sz="4" w:space="0"/>
        </w:tcBorders>
      </w:tcPr>
    </w:tblStylePr>
  </w:style>
  <w:style w:type="table" w:styleId="85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aabfe3" w:themeFill="accent5" w:themeFillTint="75"/>
      </w:tcPr>
    </w:tblStylePr>
    <w:tblStylePr w:type="band1Vert">
      <w:tcPr>
        <w:shd w:val="clear" w:color="ffffff" w:fill="aabfe3" w:themeFill="accent5" w:themeFillTint="75"/>
      </w:tcPr>
    </w:tblStylePr>
    <w:tblStylePr w:type="firstCol">
      <w:rPr>
        <w:b/>
        <w:sz w:val="22"/>
      </w:rPr>
      <w:tcPr>
        <w:shd w:val="clear" w:color="ffffff" w:fill="4472c4" w:themeFill="accent5"/>
      </w:tcPr>
    </w:tblStylePr>
    <w:tblStylePr w:type="firstRow">
      <w:rPr>
        <w:b/>
        <w:sz w:val="22"/>
      </w:rPr>
      <w:tcPr>
        <w:shd w:val="clear" w:color="ffffff" w:fill="4472c4" w:themeFill="accent5"/>
      </w:tcPr>
    </w:tblStylePr>
    <w:tblStylePr w:type="lastCol">
      <w:rPr>
        <w:b/>
        <w:sz w:val="22"/>
      </w:rPr>
      <w:tcPr>
        <w:shd w:val="clear" w:color="ffffff" w:fill="4472c4" w:themeFill="accent5"/>
      </w:tcPr>
    </w:tblStylePr>
    <w:tblStylePr w:type="lastRow">
      <w:rPr>
        <w:b/>
        <w:sz w:val="22"/>
      </w:rPr>
      <w:tcPr>
        <w:shd w:val="clear" w:color="ffffff" w:fill="4472c4" w:themeFill="accent5"/>
        <w:tcBorders>
          <w:top w:val="single" w:color="000000" w:themeColor="light1" w:sz="4" w:space="0"/>
        </w:tcBorders>
      </w:tcPr>
    </w:tblStylePr>
  </w:style>
  <w:style w:type="table" w:styleId="85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bedba8" w:themeFill="accent6" w:themeFillTint="75"/>
      </w:tcPr>
    </w:tblStylePr>
    <w:tblStylePr w:type="band1Vert">
      <w:tcPr>
        <w:shd w:val="clear" w:color="ffffff" w:fill="bedba8" w:themeFill="accent6" w:themeFillTint="75"/>
      </w:tcPr>
    </w:tblStylePr>
    <w:tblStylePr w:type="firstCol">
      <w:rPr>
        <w:b/>
        <w:sz w:val="22"/>
      </w:rPr>
      <w:tcPr>
        <w:shd w:val="clear" w:color="ffffff" w:fill="70ad47" w:themeFill="accent6"/>
      </w:tcPr>
    </w:tblStylePr>
    <w:tblStylePr w:type="firstRow">
      <w:rPr>
        <w:b/>
        <w:sz w:val="22"/>
      </w:rPr>
      <w:tcPr>
        <w:shd w:val="clear" w:color="ffffff" w:fill="70ad47" w:themeFill="accent6"/>
      </w:tcPr>
    </w:tblStylePr>
    <w:tblStylePr w:type="lastCol">
      <w:rPr>
        <w:b/>
        <w:sz w:val="22"/>
      </w:rPr>
      <w:tcPr>
        <w:shd w:val="clear" w:color="ffffff" w:fill="70ad47" w:themeFill="accent6"/>
      </w:tcPr>
    </w:tblStylePr>
    <w:tblStylePr w:type="lastRow">
      <w:rPr>
        <w:b/>
        <w:sz w:val="22"/>
      </w:rPr>
      <w:tcPr>
        <w:shd w:val="clear" w:color="ffffff" w:fill="70ad47" w:themeFill="accent6"/>
        <w:tcBorders>
          <w:top w:val="single" w:color="000000" w:themeColor="light1" w:sz="4" w:space="0"/>
        </w:tcBorders>
      </w:tcPr>
    </w:tblStylePr>
  </w:style>
  <w:style w:type="table" w:styleId="853">
    <w:name w:val="Grid Table 6 Colorfu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fffff" w:fill="cbcbcb" w:themeFill="text1" w:themeFillTint="34"/>
      </w:tcPr>
    </w:tblStylePr>
    <w:tblStylePr w:type="band1Vert">
      <w:tcPr>
        <w:shd w:val="clear" w:color="ffffff" w:fill="cbcbcb" w:themeFill="text1" w:themeFillTint="34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color w:val="4a4a4a" w:themeColor="text1" w:themeTint="80" w:themeShade="95"/>
        <w:sz w:val="22"/>
      </w:rPr>
    </w:tblStylePr>
  </w:style>
  <w:style w:type="table" w:styleId="85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317bba" w:themeColor="accent1" w:themeTint="80" w:themeShade="95"/>
        <w:sz w:val="22"/>
      </w:rPr>
      <w:tcPr>
        <w:shd w:val="clear" w:color="ffffff" w:fill="ddebf6" w:themeFill="accent1" w:themeFillTint="34"/>
      </w:tcPr>
    </w:tblStylePr>
    <w:tblStylePr w:type="band1Vert">
      <w:tcPr>
        <w:shd w:val="clear" w:color="ffffff" w:fill="ddebf6" w:themeFill="accent1" w:themeFillTint="34"/>
      </w:tcPr>
    </w:tblStylePr>
    <w:tblStylePr w:type="band2Horz">
      <w:rPr>
        <w:color w:val="317bba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color w:val="317bba" w:themeColor="accent1" w:themeTint="80" w:themeShade="95"/>
        <w:sz w:val="22"/>
      </w:rPr>
    </w:tblStylePr>
  </w:style>
  <w:style w:type="table" w:styleId="85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cPr>
        <w:shd w:val="clear" w:color="ffffff" w:fill="fbe5d6" w:themeFill="accent2" w:themeFillTint="32"/>
      </w:tcPr>
    </w:tblStylePr>
    <w:tblStylePr w:type="band1Vert">
      <w:tcPr>
        <w:shd w:val="clear" w:color="ffffff" w:fill="fbe5d6" w:themeFill="accent2" w:themeFillTint="32"/>
      </w:tcPr>
    </w:tblStylePr>
    <w:tblStylePr w:type="band2Horz">
      <w:rPr>
        <w:color w:val="c95712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color w:val="c95712" w:themeColor="accent2" w:themeTint="97" w:themeShade="95"/>
        <w:sz w:val="22"/>
      </w:rPr>
    </w:tblStylePr>
  </w:style>
  <w:style w:type="table" w:styleId="85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606060" w:themeColor="accent3" w:themeTint="FE" w:themeShade="95"/>
        <w:sz w:val="22"/>
      </w:rPr>
      <w:tcPr>
        <w:shd w:val="clear" w:color="ffffff" w:fill="ededed" w:themeFill="accent3" w:themeFillTint="34"/>
      </w:tcPr>
    </w:tblStylePr>
    <w:tblStylePr w:type="band1Vert">
      <w:tcPr>
        <w:shd w:val="clear" w:color="ffffff" w:fill="ededed" w:themeFill="accent3" w:themeFillTint="34"/>
      </w:tcPr>
    </w:tblStylePr>
    <w:tblStylePr w:type="band2Horz">
      <w:rPr>
        <w:color w:val="60606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color w:val="606060" w:themeColor="accent3" w:themeTint="FE" w:themeShade="95"/>
        <w:sz w:val="22"/>
      </w:rPr>
    </w:tblStylePr>
  </w:style>
  <w:style w:type="table" w:styleId="85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cPr>
        <w:shd w:val="clear" w:color="ffffff" w:fill="fef2cb" w:themeFill="accent4" w:themeFillTint="34"/>
      </w:tcPr>
    </w:tblStylePr>
    <w:tblStylePr w:type="band1Vert">
      <w:tcPr>
        <w:shd w:val="clear" w:color="ffffff" w:fill="fef2cb" w:themeFill="accent4" w:themeFillTint="34"/>
      </w:tcPr>
    </w:tblStylePr>
    <w:tblStylePr w:type="band2Horz">
      <w:rPr>
        <w:color w:val="cd960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color w:val="cd9600" w:themeColor="accent4" w:themeTint="9A" w:themeShade="95"/>
        <w:sz w:val="22"/>
      </w:rPr>
    </w:tblStylePr>
  </w:style>
  <w:style w:type="table" w:styleId="85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254374" w:themeColor="accent5" w:themeShade="95"/>
        <w:sz w:val="22"/>
      </w:rPr>
      <w:tcPr>
        <w:shd w:val="clear" w:color="ffffff" w:fill="d9e2f2" w:themeFill="accent5" w:themeFillTint="34"/>
      </w:tcPr>
    </w:tblStylePr>
    <w:tblStylePr w:type="band1Vert">
      <w:tcPr>
        <w:shd w:val="clear" w:color="ffffff" w:fill="d9e2f2" w:themeFill="accent5" w:themeFillTint="34"/>
      </w:tcPr>
    </w:tblStylePr>
    <w:tblStylePr w:type="band2Horz">
      <w:rPr>
        <w:color w:val="254374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color w:val="254374" w:themeColor="accent5" w:themeShade="95"/>
        <w:sz w:val="22"/>
      </w:rPr>
    </w:tblStylePr>
  </w:style>
  <w:style w:type="table" w:styleId="85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254374" w:themeColor="accent5" w:themeShade="95"/>
        <w:sz w:val="22"/>
      </w:rPr>
      <w:tcPr>
        <w:shd w:val="clear" w:color="ffffff" w:fill="e2efd8" w:themeFill="accent6" w:themeFillTint="34"/>
      </w:tcPr>
    </w:tblStylePr>
    <w:tblStylePr w:type="band1Vert">
      <w:tcPr>
        <w:shd w:val="clear" w:color="ffffff" w:fill="e2efd8" w:themeFill="accent6" w:themeFillTint="34"/>
      </w:tcPr>
    </w:tblStylePr>
    <w:tblStylePr w:type="band2Horz">
      <w:rPr>
        <w:color w:val="254374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color w:val="254374" w:themeColor="accent5" w:themeShade="95"/>
        <w:sz w:val="22"/>
      </w:rPr>
    </w:tblStylePr>
  </w:style>
  <w:style w:type="table" w:styleId="860">
    <w:name w:val="Grid Table 7 Colorful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fffff" w:fill="f2f2f2" w:themeFill="text1" w:themeFillTint="00"/>
      </w:tcPr>
    </w:tblStylePr>
    <w:tblStylePr w:type="band1Vert">
      <w:tcPr>
        <w:shd w:val="clear" w:color="ffffff" w:fill="f2f2f2" w:themeFill="text1" w:themeFillTint="0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317bba" w:themeColor="accent1" w:themeTint="80" w:themeShade="95"/>
        <w:sz w:val="22"/>
      </w:rPr>
      <w:tcPr>
        <w:shd w:val="clear" w:color="ffffff" w:fill="ddebf6" w:themeFill="accent1" w:themeFillTint="34"/>
      </w:tcPr>
    </w:tblStylePr>
    <w:tblStylePr w:type="band1Vert">
      <w:tcPr>
        <w:shd w:val="clear" w:color="ffffff" w:fill="ddebf6" w:themeFill="accent1" w:themeFillTint="34"/>
      </w:tcPr>
    </w:tblStylePr>
    <w:tblStylePr w:type="band2Horz">
      <w:rPr>
        <w:color w:val="317bba" w:themeColor="accent1" w:themeTint="80" w:themeShade="95"/>
        <w:sz w:val="22"/>
      </w:rPr>
    </w:tblStylePr>
    <w:tblStylePr w:type="firstCol">
      <w:rPr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cPr>
        <w:shd w:val="clear" w:color="ffffff" w:fill="fbe5d6" w:themeFill="accent2" w:themeFillTint="32"/>
      </w:tcPr>
    </w:tblStylePr>
    <w:tblStylePr w:type="band1Vert">
      <w:tcPr>
        <w:shd w:val="clear" w:color="ffffff" w:fill="fbe5d6" w:themeFill="accent2" w:themeFillTint="32"/>
      </w:tcPr>
    </w:tblStylePr>
    <w:tblStylePr w:type="band2Horz">
      <w:rPr>
        <w:color w:val="c95712" w:themeColor="accent2" w:themeTint="97" w:themeShade="95"/>
        <w:sz w:val="22"/>
      </w:rPr>
    </w:tblStylePr>
    <w:tblStylePr w:type="firstCol">
      <w:rPr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606060" w:themeColor="accent3" w:themeTint="FE" w:themeShade="95"/>
        <w:sz w:val="22"/>
      </w:rPr>
      <w:tcPr>
        <w:shd w:val="clear" w:color="ffffff" w:fill="ededed" w:themeFill="accent3" w:themeFillTint="34"/>
      </w:tcPr>
    </w:tblStylePr>
    <w:tblStylePr w:type="band1Vert">
      <w:tcPr>
        <w:shd w:val="clear" w:color="ffffff" w:fill="ededed" w:themeFill="accent3" w:themeFillTint="34"/>
      </w:tcPr>
    </w:tblStylePr>
    <w:tblStylePr w:type="band2Horz">
      <w:rPr>
        <w:color w:val="606060" w:themeColor="accent3" w:themeTint="FE" w:themeShade="95"/>
        <w:sz w:val="22"/>
      </w:rPr>
    </w:tblStylePr>
    <w:tblStylePr w:type="firstCol">
      <w:rPr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cPr>
        <w:shd w:val="clear" w:color="ffffff" w:fill="fef2cb" w:themeFill="accent4" w:themeFillTint="34"/>
      </w:tcPr>
    </w:tblStylePr>
    <w:tblStylePr w:type="band1Vert">
      <w:tcPr>
        <w:shd w:val="clear" w:color="ffffff" w:fill="fef2cb" w:themeFill="accent4" w:themeFillTint="34"/>
      </w:tcPr>
    </w:tblStylePr>
    <w:tblStylePr w:type="band2Horz">
      <w:rPr>
        <w:color w:val="cd9600" w:themeColor="accent4" w:themeTint="9A" w:themeShade="95"/>
        <w:sz w:val="22"/>
      </w:rPr>
    </w:tblStylePr>
    <w:tblStylePr w:type="firstCol">
      <w:rPr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254374" w:themeColor="accent5" w:themeShade="95"/>
        <w:sz w:val="22"/>
      </w:rPr>
      <w:tcPr>
        <w:shd w:val="clear" w:color="ffffff" w:fill="d9e2f2" w:themeFill="accent5" w:themeFillTint="34"/>
      </w:tcPr>
    </w:tblStylePr>
    <w:tblStylePr w:type="band1Vert">
      <w:tcPr>
        <w:shd w:val="clear" w:color="ffffff" w:fill="d9e2f2" w:themeFill="accent5" w:themeFillTint="34"/>
      </w:tcPr>
    </w:tblStylePr>
    <w:tblStylePr w:type="band2Horz">
      <w:rPr>
        <w:color w:val="254374" w:themeColor="accent5" w:themeShade="95"/>
        <w:sz w:val="22"/>
      </w:rPr>
    </w:tblStylePr>
    <w:tblStylePr w:type="firstCol">
      <w:rPr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26429" w:themeColor="accent6" w:themeShade="95"/>
        <w:sz w:val="22"/>
      </w:rPr>
      <w:tcPr>
        <w:shd w:val="clear" w:color="ffffff" w:fill="e2efd8" w:themeFill="accent6" w:themeFillTint="34"/>
      </w:tcPr>
    </w:tblStylePr>
    <w:tblStylePr w:type="band1Vert">
      <w:tcPr>
        <w:shd w:val="clear" w:color="ffffff" w:fill="e2efd8" w:themeFill="accent6" w:themeFillTint="34"/>
      </w:tcPr>
    </w:tblStylePr>
    <w:tblStylePr w:type="band2Horz">
      <w:rPr>
        <w:color w:val="426429" w:themeColor="accent6" w:themeShade="95"/>
        <w:sz w:val="22"/>
      </w:rPr>
    </w:tblStylePr>
    <w:tblStylePr w:type="firstCol">
      <w:rPr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1 Light - Accent 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d5e6f4" w:themeFill="accent1" w:themeFillTint="40"/>
      </w:tcPr>
    </w:tblStylePr>
    <w:tblStylePr w:type="band1Vert">
      <w:tcPr>
        <w:shd w:val="clear" w:color="ffffff" w:fill="d5e6f4" w:themeFill="accent1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1 Light - Accent 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fadecb" w:themeFill="accent2" w:themeFillTint="40"/>
      </w:tcPr>
    </w:tblStylePr>
    <w:tblStylePr w:type="band1Vert">
      <w:tcPr>
        <w:shd w:val="clear" w:color="ffffff" w:fill="fadecb" w:themeFill="accent2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 - Accent 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e8e8e8" w:themeFill="accent3" w:themeFillTint="40"/>
      </w:tcPr>
    </w:tblStylePr>
    <w:tblStylePr w:type="band1Vert">
      <w:tcPr>
        <w:shd w:val="clear" w:color="ffffff" w:fill="e8e8e8" w:themeFill="accent3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1 Light - Accent 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ffefbf" w:themeFill="accent4" w:themeFillTint="40"/>
      </w:tcPr>
    </w:tblStylePr>
    <w:tblStylePr w:type="band1Vert">
      <w:tcPr>
        <w:shd w:val="clear" w:color="ffffff" w:fill="ffefbf" w:themeFill="accent4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 - Accent 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cfdcf0" w:themeFill="accent5" w:themeFillTint="40"/>
      </w:tcPr>
    </w:tblStylePr>
    <w:tblStylePr w:type="band1Vert">
      <w:tcPr>
        <w:shd w:val="clear" w:color="ffffff" w:fill="cfdcf0" w:themeFill="accent5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 - Accent 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ffff" w:fill="dbebd0" w:themeFill="accent6" w:themeFillTint="40"/>
      </w:tcPr>
    </w:tblStylePr>
    <w:tblStylePr w:type="band1Vert">
      <w:tcPr>
        <w:shd w:val="clear" w:color="ffffff" w:fill="dbebd0" w:themeFill="accent6" w:themeFillTint="40"/>
      </w:tcPr>
    </w:tblStylePr>
    <w:tblStylePr w:type="firstCol">
      <w:rPr>
        <w:b/>
      </w:rPr>
    </w:tblStylePr>
    <w:tblStylePr w:type="firstRow">
      <w:rPr>
        <w:b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</w:rPr>
    </w:tblStylePr>
    <w:tblStylePr w:type="lastRow">
      <w:rPr>
        <w:b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sz w:val="22"/>
      </w:rPr>
      <w:tcPr>
        <w:shd w:val="clear" w:color="ffffff" w:fill="bfbfbf" w:themeFill="text1" w:themeFillTint="40"/>
      </w:tcPr>
    </w:tblStylePr>
    <w:tblStylePr w:type="band1Vert">
      <w:rPr>
        <w:sz w:val="22"/>
      </w:rPr>
      <w:tcPr>
        <w:shd w:val="clear" w:color="ffffff" w:fill="bfbfbf" w:themeFill="text1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875">
    <w:name w:val="List Table 2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cPr>
        <w:shd w:val="clear" w:color="ffffff" w:fill="d5e6f4" w:themeFill="accent1" w:themeFillTint="40"/>
      </w:tcPr>
    </w:tblStylePr>
    <w:tblStylePr w:type="band1Vert">
      <w:rPr>
        <w:sz w:val="22"/>
      </w:rPr>
      <w:tcPr>
        <w:shd w:val="clear" w:color="ffffff" w:fill="d5e6f4" w:themeFill="accent1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876">
    <w:name w:val="List Table 2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cPr>
        <w:shd w:val="clear" w:color="ffffff" w:fill="fadecb" w:themeFill="accent2" w:themeFillTint="40"/>
      </w:tcPr>
    </w:tblStylePr>
    <w:tblStylePr w:type="band1Vert">
      <w:rPr>
        <w:sz w:val="22"/>
      </w:rPr>
      <w:tcPr>
        <w:shd w:val="clear" w:color="ffffff" w:fill="fadecb" w:themeFill="accent2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877">
    <w:name w:val="List Table 2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cPr>
        <w:shd w:val="clear" w:color="ffffff" w:fill="e8e8e8" w:themeFill="accent3" w:themeFillTint="40"/>
      </w:tcPr>
    </w:tblStylePr>
    <w:tblStylePr w:type="band1Vert">
      <w:rPr>
        <w:sz w:val="22"/>
      </w:rPr>
      <w:tcPr>
        <w:shd w:val="clear" w:color="ffffff" w:fill="e8e8e8" w:themeFill="accent3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878">
    <w:name w:val="List Table 2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cPr>
        <w:shd w:val="clear" w:color="ffffff" w:fill="ffefbf" w:themeFill="accent4" w:themeFillTint="40"/>
      </w:tcPr>
    </w:tblStylePr>
    <w:tblStylePr w:type="band1Vert">
      <w:rPr>
        <w:sz w:val="22"/>
      </w:rPr>
      <w:tcPr>
        <w:shd w:val="clear" w:color="ffffff" w:fill="ffefbf" w:themeFill="accent4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879">
    <w:name w:val="List Table 2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cPr>
        <w:shd w:val="clear" w:color="ffffff" w:fill="cfdcf0" w:themeFill="accent5" w:themeFillTint="40"/>
      </w:tcPr>
    </w:tblStylePr>
    <w:tblStylePr w:type="band1Vert">
      <w:rPr>
        <w:sz w:val="22"/>
      </w:rPr>
      <w:tcPr>
        <w:shd w:val="clear" w:color="ffffff" w:fill="cfdcf0" w:themeFill="accent5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880">
    <w:name w:val="List Table 2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cPr>
        <w:shd w:val="clear" w:color="ffffff" w:fill="dbebd0" w:themeFill="accent6" w:themeFillTint="40"/>
      </w:tcPr>
    </w:tblStylePr>
    <w:tblStylePr w:type="band1Vert">
      <w:rPr>
        <w:sz w:val="22"/>
      </w:rPr>
      <w:tcPr>
        <w:shd w:val="clear" w:color="ffffff" w:fill="dbebd0" w:themeFill="accent6" w:themeFillTint="40"/>
      </w:tcPr>
    </w:tblStylePr>
    <w:tblStylePr w:type="firstCol">
      <w:rPr>
        <w:b/>
        <w:sz w:val="22"/>
      </w:rPr>
    </w:tblStylePr>
    <w:tblStylePr w:type="firstRow">
      <w:rPr>
        <w:b/>
        <w:sz w:val="22"/>
      </w:r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sz w:val="22"/>
      </w:rPr>
    </w:tblStylePr>
    <w:tblStylePr w:type="lastRow">
      <w:rPr>
        <w:b/>
        <w:sz w:val="22"/>
      </w:r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881">
    <w:name w:val="List Table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000000" w:themeFill="text1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82">
    <w:name w:val="List Table 3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5b9bd5" w:themeFill="accent1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83">
    <w:name w:val="List Table 3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sz w:val="22"/>
      </w:rPr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sz w:val="22"/>
      </w:rPr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f4b185" w:themeFill="accent2" w:themeFillTint="97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84">
    <w:name w:val="List Table 3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sz w:val="22"/>
      </w:rPr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sz w:val="22"/>
      </w:rPr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c9c9c9" w:themeFill="accent3" w:themeFillTint="98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85">
    <w:name w:val="List Table 3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sz w:val="22"/>
      </w:rPr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sz w:val="22"/>
      </w:rPr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ffd864" w:themeFill="accent4" w:themeFillTint="9A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86">
    <w:name w:val="List Table 3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sz w:val="22"/>
      </w:rPr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sz w:val="22"/>
      </w:rPr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8eabdb" w:themeFill="accent5" w:themeFillTint="9A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87">
    <w:name w:val="List Table 3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sz w:val="22"/>
      </w:rPr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sz w:val="22"/>
      </w:rPr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aad08f" w:themeFill="accent6" w:themeFillTint="98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88">
    <w:name w:val="List Table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sz w:val="22"/>
      </w:rPr>
      <w:tcPr>
        <w:shd w:val="clear" w:color="ffffff" w:fill="bfbfbf" w:themeFill="text1" w:themeFillTint="40"/>
      </w:tcPr>
    </w:tblStylePr>
    <w:tblStylePr w:type="band1Vert">
      <w:rPr>
        <w:sz w:val="22"/>
      </w:rPr>
      <w:tcPr>
        <w:shd w:val="clear" w:color="ffffff" w:fill="bfbfbf" w:themeFill="text1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000000" w:themeFill="text1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89">
    <w:name w:val="List Table 4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cPr>
        <w:shd w:val="clear" w:color="ffffff" w:fill="d5e6f4" w:themeFill="accent1" w:themeFillTint="40"/>
      </w:tcPr>
    </w:tblStylePr>
    <w:tblStylePr w:type="band1Vert">
      <w:rPr>
        <w:sz w:val="22"/>
      </w:rPr>
      <w:tcPr>
        <w:shd w:val="clear" w:color="ffffff" w:fill="d5e6f4" w:themeFill="accent1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5b9bd5" w:themeFill="accent1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90">
    <w:name w:val="List Table 4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cPr>
        <w:shd w:val="clear" w:color="ffffff" w:fill="fadecb" w:themeFill="accent2" w:themeFillTint="40"/>
      </w:tcPr>
    </w:tblStylePr>
    <w:tblStylePr w:type="band1Vert">
      <w:rPr>
        <w:sz w:val="22"/>
      </w:rPr>
      <w:tcPr>
        <w:shd w:val="clear" w:color="ffffff" w:fill="fadecb" w:themeFill="accent2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ed7d31" w:themeFill="accent2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91">
    <w:name w:val="List Table 4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cPr>
        <w:shd w:val="clear" w:color="ffffff" w:fill="e8e8e8" w:themeFill="accent3" w:themeFillTint="40"/>
      </w:tcPr>
    </w:tblStylePr>
    <w:tblStylePr w:type="band1Vert">
      <w:rPr>
        <w:sz w:val="22"/>
      </w:rPr>
      <w:tcPr>
        <w:shd w:val="clear" w:color="ffffff" w:fill="e8e8e8" w:themeFill="accent3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a5a5a5" w:themeFill="accent3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92">
    <w:name w:val="List Table 4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cPr>
        <w:shd w:val="clear" w:color="ffffff" w:fill="ffefbf" w:themeFill="accent4" w:themeFillTint="40"/>
      </w:tcPr>
    </w:tblStylePr>
    <w:tblStylePr w:type="band1Vert">
      <w:rPr>
        <w:sz w:val="22"/>
      </w:rPr>
      <w:tcPr>
        <w:shd w:val="clear" w:color="ffffff" w:fill="ffefbf" w:themeFill="accent4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ffc000" w:themeFill="accent4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93">
    <w:name w:val="List Table 4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cPr>
        <w:shd w:val="clear" w:color="ffffff" w:fill="cfdcf0" w:themeFill="accent5" w:themeFillTint="40"/>
      </w:tcPr>
    </w:tblStylePr>
    <w:tblStylePr w:type="band1Vert">
      <w:rPr>
        <w:sz w:val="22"/>
      </w:rPr>
      <w:tcPr>
        <w:shd w:val="clear" w:color="ffffff" w:fill="cfdcf0" w:themeFill="accent5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4472c4" w:themeFill="accent5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94">
    <w:name w:val="List Table 4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cPr>
        <w:shd w:val="clear" w:color="ffffff" w:fill="dbebd0" w:themeFill="accent6" w:themeFillTint="40"/>
      </w:tcPr>
    </w:tblStylePr>
    <w:tblStylePr w:type="band1Vert">
      <w:rPr>
        <w:sz w:val="22"/>
      </w:rPr>
      <w:tcPr>
        <w:shd w:val="clear" w:color="ffffff" w:fill="dbebd0" w:themeFill="accent6" w:themeFillTint="40"/>
      </w:tcPr>
    </w:tblStylePr>
    <w:tblStylePr w:type="firstCol">
      <w:rPr>
        <w:b/>
      </w:rPr>
    </w:tblStylePr>
    <w:tblStylePr w:type="firstRow">
      <w:rPr>
        <w:b/>
        <w:sz w:val="22"/>
      </w:rPr>
      <w:tcPr>
        <w:shd w:val="clear" w:color="ffffff" w:fill="70ad47" w:themeFill="accent6"/>
      </w:tcPr>
    </w:tblStylePr>
    <w:tblStylePr w:type="lastCol">
      <w:rPr>
        <w:b/>
      </w:rPr>
    </w:tblStylePr>
    <w:tblStylePr w:type="lastRow">
      <w:rPr>
        <w:b/>
      </w:rPr>
    </w:tblStylePr>
  </w:style>
  <w:style w:type="table" w:styleId="895">
    <w:name w:val="List Table 5 Dark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cPr>
        <w:shd w:val="clear" w:color="ffffff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7f7f7f" w:themeFill="text1" w:themeFillTint="80"/>
        <w:tcBorders>
          <w:top w:val="single" w:color="000000" w:themeColor="tex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89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cPr>
        <w:shd w:val="clear" w:color="ffffff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89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cPr>
        <w:shd w:val="clear" w:color="ffffff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4b185" w:themeFill="accent2" w:themeFillTint="97"/>
        <w:tcBorders>
          <w:top w:val="single" w:color="000000" w:themeColor="accent2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89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cPr>
        <w:shd w:val="clear" w:color="ffffff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c9c9c9" w:themeFill="accent3" w:themeFillTint="98"/>
        <w:tcBorders>
          <w:top w:val="single" w:color="000000" w:themeColor="accent3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89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cPr>
        <w:shd w:val="clear" w:color="ffffff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d864" w:themeFill="accent4" w:themeFillTint="9A"/>
        <w:tcBorders>
          <w:top w:val="single" w:color="000000" w:themeColor="accent4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cPr>
        <w:shd w:val="clear" w:color="ffffff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8eabdb" w:themeFill="accent5" w:themeFillTint="9A"/>
        <w:tcBorders>
          <w:top w:val="single" w:color="000000" w:themeColor="accent5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cPr>
        <w:shd w:val="clear" w:color="ffffff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aad08f" w:themeFill="accent6" w:themeFillTint="98"/>
        <w:tcBorders>
          <w:top w:val="single" w:color="000000" w:themeColor="accent6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2">
    <w:name w:val="List Table 6 Colorful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val="000000" w:themeColor="text1"/>
        <w:sz w:val="22"/>
      </w:rPr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sz="4" w:space="0"/>
        </w:tcBorders>
      </w:tcPr>
    </w:tblStylePr>
  </w:style>
  <w:style w:type="table" w:styleId="90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val="245d8d" w:themeColor="accent1" w:themeShade="95"/>
        <w:sz w:val="22"/>
      </w:rPr>
      <w:tcPr>
        <w:shd w:val="clear" w:color="ffffff" w:fill="d5e6f4" w:themeFill="accent1" w:themeFillTint="40"/>
      </w:tcPr>
    </w:tblStylePr>
    <w:tblStylePr w:type="band1Vert">
      <w:tcPr>
        <w:shd w:val="clear" w:color="ffffff" w:fill="d5e6f4" w:themeFill="accent1" w:themeFillTint="40"/>
      </w:tcPr>
    </w:tblStylePr>
    <w:tblStylePr w:type="band2Horz">
      <w:rPr>
        <w:color w:val="245d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cPr>
        <w:shd w:val="clear" w:color="ffffff" w:fill="fadecb" w:themeFill="accent2" w:themeFillTint="40"/>
      </w:tcPr>
    </w:tblStylePr>
    <w:tblStylePr w:type="band1Vert">
      <w:tcPr>
        <w:shd w:val="clear" w:color="ffffff" w:fill="fadecb" w:themeFill="accent2" w:themeFillTint="40"/>
      </w:tcPr>
    </w:tblStylePr>
    <w:tblStylePr w:type="band2Horz">
      <w:rPr>
        <w:color w:val="c95712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sz="4" w:space="0"/>
        </w:tcBorders>
      </w:tcPr>
    </w:tblStylePr>
  </w:style>
  <w:style w:type="table" w:styleId="90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val="757575" w:themeColor="accent3" w:themeTint="98" w:themeShade="95"/>
        <w:sz w:val="22"/>
      </w:rPr>
      <w:tcPr>
        <w:shd w:val="clear" w:color="ffffff" w:fill="e8e8e8" w:themeFill="accent3" w:themeFillTint="40"/>
      </w:tcPr>
    </w:tblStylePr>
    <w:tblStylePr w:type="band1Vert">
      <w:tcPr>
        <w:shd w:val="clear" w:color="ffffff" w:fill="e8e8e8" w:themeFill="accent3" w:themeFillTint="40"/>
      </w:tcPr>
    </w:tblStylePr>
    <w:tblStylePr w:type="band2Horz">
      <w:rPr>
        <w:color w:val="757575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sz="4" w:space="0"/>
        </w:tcBorders>
      </w:tcPr>
    </w:tblStylePr>
  </w:style>
  <w:style w:type="table" w:styleId="90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cPr>
        <w:shd w:val="clear" w:color="ffffff" w:fill="ffefbf" w:themeFill="accent4" w:themeFillTint="40"/>
      </w:tcPr>
    </w:tblStylePr>
    <w:tblStylePr w:type="band1Vert">
      <w:tcPr>
        <w:shd w:val="clear" w:color="ffffff" w:fill="ffefbf" w:themeFill="accent4" w:themeFillTint="40"/>
      </w:tcPr>
    </w:tblStylePr>
    <w:tblStylePr w:type="band2Horz">
      <w:rPr>
        <w:color w:val="cd960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sz="4" w:space="0"/>
        </w:tcBorders>
      </w:tcPr>
    </w:tblStylePr>
  </w:style>
  <w:style w:type="table" w:styleId="90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val="335e9e" w:themeColor="accent5" w:themeTint="9A" w:themeShade="95"/>
        <w:sz w:val="22"/>
      </w:rPr>
      <w:tcPr>
        <w:shd w:val="clear" w:color="ffffff" w:fill="cfdcf0" w:themeFill="accent5" w:themeFillTint="40"/>
      </w:tcPr>
    </w:tblStylePr>
    <w:tblStylePr w:type="band1Vert">
      <w:tcPr>
        <w:shd w:val="clear" w:color="ffffff" w:fill="cfdcf0" w:themeFill="accent5" w:themeFillTint="40"/>
      </w:tcPr>
    </w:tblStylePr>
    <w:tblStylePr w:type="band2Horz">
      <w:rPr>
        <w:color w:val="335e9e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sz="4" w:space="0"/>
        </w:tcBorders>
      </w:tcPr>
    </w:tblStylePr>
  </w:style>
  <w:style w:type="table" w:styleId="90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val="5f8f3c" w:themeColor="accent6" w:themeTint="98" w:themeShade="95"/>
        <w:sz w:val="22"/>
      </w:rPr>
      <w:tcPr>
        <w:shd w:val="clear" w:color="ffffff" w:fill="dbebd0" w:themeFill="accent6" w:themeFillTint="40"/>
      </w:tcPr>
    </w:tblStylePr>
    <w:tblStylePr w:type="band1Vert">
      <w:tcPr>
        <w:shd w:val="clear" w:color="ffffff" w:fill="dbebd0" w:themeFill="accent6" w:themeFillTint="40"/>
      </w:tcPr>
    </w:tblStylePr>
    <w:tblStylePr w:type="band2Horz">
      <w:rPr>
        <w:color w:val="5f8f3c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sz="4" w:space="0"/>
        </w:tcBorders>
      </w:tcPr>
    </w:tblStylePr>
  </w:style>
  <w:style w:type="table" w:styleId="909">
    <w:name w:val="List Table 7 Colorful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fffff" w:fill="bfbfbf" w:themeFill="text1" w:themeFillTint="40"/>
      </w:tcPr>
    </w:tblStylePr>
    <w:tblStylePr w:type="band1Vert">
      <w:tcPr>
        <w:shd w:val="clear" w:color="ffffff" w:fill="bfbfbf" w:themeFill="text1" w:themeFillTint="4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4a4a4a" w:themeColor="text1" w:themeTint="80" w:themeShade="95"/>
        <w:sz w:val="22"/>
      </w:rPr>
    </w:tblStylePr>
  </w:style>
  <w:style w:type="table" w:styleId="91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blStylePr w:type="band1Horz">
      <w:rPr>
        <w:color w:val="245d8d" w:themeColor="accent1" w:themeShade="95"/>
        <w:sz w:val="22"/>
      </w:rPr>
      <w:tcPr>
        <w:shd w:val="clear" w:color="ffffff" w:fill="d5e6f4" w:themeFill="accent1" w:themeFillTint="40"/>
      </w:tcPr>
    </w:tblStylePr>
    <w:tblStylePr w:type="band1Vert">
      <w:tcPr>
        <w:shd w:val="clear" w:color="ffffff" w:fill="d5e6f4" w:themeFill="accent1" w:themeFillTint="40"/>
      </w:tcPr>
    </w:tblStylePr>
    <w:tblStylePr w:type="band2Horz">
      <w:rPr>
        <w:color w:val="245d8d" w:themeColor="accent1" w:themeShade="95"/>
        <w:sz w:val="22"/>
      </w:rPr>
    </w:tblStylePr>
    <w:tblStylePr w:type="firstCol">
      <w:rPr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245d8d" w:themeColor="accent1" w:themeShade="95"/>
        <w:sz w:val="22"/>
      </w:rPr>
    </w:tblStylePr>
  </w:style>
  <w:style w:type="table" w:styleId="91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cPr>
        <w:shd w:val="clear" w:color="ffffff" w:fill="fadecb" w:themeFill="accent2" w:themeFillTint="40"/>
      </w:tcPr>
    </w:tblStylePr>
    <w:tblStylePr w:type="band1Vert">
      <w:tcPr>
        <w:shd w:val="clear" w:color="ffffff" w:fill="fadecb" w:themeFill="accent2" w:themeFillTint="40"/>
      </w:tcPr>
    </w:tblStylePr>
    <w:tblStylePr w:type="band2Horz">
      <w:rPr>
        <w:color w:val="c95712" w:themeColor="accent2" w:themeTint="97" w:themeShade="95"/>
        <w:sz w:val="22"/>
      </w:rPr>
    </w:tblStylePr>
    <w:tblStylePr w:type="firstCol">
      <w:rPr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c95712" w:themeColor="accent2" w:themeTint="97" w:themeShade="95"/>
        <w:sz w:val="22"/>
      </w:rPr>
    </w:tblStylePr>
  </w:style>
  <w:style w:type="table" w:styleId="91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blStylePr w:type="band1Horz">
      <w:rPr>
        <w:color w:val="757575" w:themeColor="accent3" w:themeTint="98" w:themeShade="95"/>
        <w:sz w:val="22"/>
      </w:rPr>
      <w:tcPr>
        <w:shd w:val="clear" w:color="ffffff" w:fill="e8e8e8" w:themeFill="accent3" w:themeFillTint="40"/>
      </w:tcPr>
    </w:tblStylePr>
    <w:tblStylePr w:type="band1Vert">
      <w:tcPr>
        <w:shd w:val="clear" w:color="ffffff" w:fill="e8e8e8" w:themeFill="accent3" w:themeFillTint="40"/>
      </w:tcPr>
    </w:tblStylePr>
    <w:tblStylePr w:type="band2Horz">
      <w:rPr>
        <w:color w:val="757575" w:themeColor="accent3" w:themeTint="98" w:themeShade="95"/>
        <w:sz w:val="22"/>
      </w:rPr>
    </w:tblStylePr>
    <w:tblStylePr w:type="firstCol">
      <w:rPr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757575" w:themeColor="accent3" w:themeTint="98" w:themeShade="95"/>
        <w:sz w:val="22"/>
      </w:rPr>
    </w:tblStylePr>
  </w:style>
  <w:style w:type="table" w:styleId="91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cPr>
        <w:shd w:val="clear" w:color="ffffff" w:fill="ffefbf" w:themeFill="accent4" w:themeFillTint="40"/>
      </w:tcPr>
    </w:tblStylePr>
    <w:tblStylePr w:type="band1Vert">
      <w:tcPr>
        <w:shd w:val="clear" w:color="ffffff" w:fill="ffefbf" w:themeFill="accent4" w:themeFillTint="40"/>
      </w:tcPr>
    </w:tblStylePr>
    <w:tblStylePr w:type="band2Horz">
      <w:rPr>
        <w:color w:val="cd9600" w:themeColor="accent4" w:themeTint="9A" w:themeShade="95"/>
        <w:sz w:val="22"/>
      </w:rPr>
    </w:tblStylePr>
    <w:tblStylePr w:type="firstCol">
      <w:rPr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cd9600" w:themeColor="accent4" w:themeTint="9A" w:themeShade="95"/>
        <w:sz w:val="22"/>
      </w:rPr>
    </w:tblStylePr>
  </w:style>
  <w:style w:type="table" w:styleId="91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blStylePr w:type="band1Horz">
      <w:rPr>
        <w:color w:val="335e9e" w:themeColor="accent5" w:themeTint="9A" w:themeShade="95"/>
        <w:sz w:val="22"/>
      </w:rPr>
      <w:tcPr>
        <w:shd w:val="clear" w:color="ffffff" w:fill="cfdcf0" w:themeFill="accent5" w:themeFillTint="40"/>
      </w:tcPr>
    </w:tblStylePr>
    <w:tblStylePr w:type="band1Vert">
      <w:tcPr>
        <w:shd w:val="clear" w:color="ffffff" w:fill="cfdcf0" w:themeFill="accent5" w:themeFillTint="40"/>
      </w:tcPr>
    </w:tblStylePr>
    <w:tblStylePr w:type="band2Horz">
      <w:rPr>
        <w:color w:val="335e9e" w:themeColor="accent5" w:themeTint="9A" w:themeShade="95"/>
        <w:sz w:val="22"/>
      </w:rPr>
    </w:tblStylePr>
    <w:tblStylePr w:type="firstCol">
      <w:rPr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335e9e" w:themeColor="accent5" w:themeTint="9A" w:themeShade="95"/>
        <w:sz w:val="22"/>
      </w:rPr>
    </w:tblStylePr>
  </w:style>
  <w:style w:type="table" w:styleId="91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blStylePr w:type="band1Horz">
      <w:rPr>
        <w:color w:val="5f8f3c" w:themeColor="accent6" w:themeTint="98" w:themeShade="95"/>
        <w:sz w:val="22"/>
      </w:rPr>
      <w:tcPr>
        <w:shd w:val="clear" w:color="ffffff" w:fill="dbebd0" w:themeFill="accent6" w:themeFillTint="40"/>
      </w:tcPr>
    </w:tblStylePr>
    <w:tblStylePr w:type="band1Vert">
      <w:tcPr>
        <w:shd w:val="clear" w:color="ffffff" w:fill="dbebd0" w:themeFill="accent6" w:themeFillTint="40"/>
      </w:tcPr>
    </w:tblStylePr>
    <w:tblStylePr w:type="band2Horz">
      <w:rPr>
        <w:color w:val="5f8f3c" w:themeColor="accent6" w:themeTint="98" w:themeShade="95"/>
        <w:sz w:val="22"/>
      </w:rPr>
    </w:tblStylePr>
    <w:tblStylePr w:type="firstCol">
      <w:rPr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5f8f3c" w:themeColor="accent6" w:themeTint="98" w:themeShade="95"/>
        <w:sz w:val="22"/>
      </w:rPr>
    </w:tblStylePr>
  </w:style>
  <w:style w:type="table" w:styleId="916">
    <w:name w:val="Lined - Accent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f2f2f2" w:themeFill="text1" w:themeFillTint="00"/>
      </w:tcPr>
    </w:tblStylePr>
    <w:tblStylePr w:type="band2Vert">
      <w:rPr>
        <w:sz w:val="22"/>
      </w:rPr>
      <w:tcPr>
        <w:shd w:val="clear" w:color="ffffff" w:fill="f2f2f2" w:themeFill="text1" w:themeFillTint="00"/>
      </w:tcPr>
    </w:tblStylePr>
    <w:tblStylePr w:type="firstCol">
      <w:rPr>
        <w:sz w:val="22"/>
      </w:rPr>
      <w:tcPr>
        <w:shd w:val="clear" w:color="ffffff" w:fill="7f7f7f" w:themeFill="text1" w:themeFillTint="80"/>
      </w:tcPr>
    </w:tblStylePr>
    <w:tblStylePr w:type="firstRow">
      <w:rPr>
        <w:sz w:val="22"/>
      </w:rPr>
      <w:tcPr>
        <w:shd w:val="clear" w:color="ffffff" w:fill="7f7f7f" w:themeFill="text1" w:themeFillTint="80"/>
      </w:tcPr>
    </w:tblStylePr>
    <w:tblStylePr w:type="lastCol">
      <w:rPr>
        <w:sz w:val="22"/>
      </w:rPr>
      <w:tcPr>
        <w:shd w:val="clear" w:color="ffffff" w:fill="7f7f7f" w:themeFill="text1" w:themeFillTint="80"/>
      </w:tcPr>
    </w:tblStylePr>
    <w:tblStylePr w:type="lastRow">
      <w:rPr>
        <w:sz w:val="22"/>
      </w:rPr>
      <w:tcPr>
        <w:shd w:val="clear" w:color="ffffff" w:fill="7f7f7f" w:themeFill="text1" w:themeFillTint="80"/>
      </w:tcPr>
    </w:tblStylePr>
  </w:style>
  <w:style w:type="table" w:styleId="917">
    <w:name w:val="Lined - Accent 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cce0f1" w:themeFill="accent1" w:themeFillTint="50"/>
      </w:tcPr>
    </w:tblStylePr>
    <w:tblStylePr w:type="band2Vert">
      <w:rPr>
        <w:sz w:val="22"/>
      </w:rPr>
      <w:tcPr>
        <w:shd w:val="clear" w:color="ffffff" w:fill="cce0f1" w:themeFill="accent1" w:themeFillTint="50"/>
      </w:tcPr>
    </w:tblStylePr>
    <w:tblStylePr w:type="firstCol">
      <w:rPr>
        <w:sz w:val="22"/>
      </w:rPr>
      <w:tcPr>
        <w:shd w:val="clear" w:color="ffffff" w:fill="67a4d8" w:themeFill="accent1" w:themeFillTint="EA"/>
      </w:tcPr>
    </w:tblStylePr>
    <w:tblStylePr w:type="firstRow">
      <w:rPr>
        <w:sz w:val="22"/>
      </w:rPr>
      <w:tcPr>
        <w:shd w:val="clear" w:color="ffffff" w:fill="67a4d8" w:themeFill="accent1" w:themeFillTint="EA"/>
      </w:tcPr>
    </w:tblStylePr>
    <w:tblStylePr w:type="lastCol">
      <w:rPr>
        <w:sz w:val="22"/>
      </w:rPr>
      <w:tcPr>
        <w:shd w:val="clear" w:color="ffffff" w:fill="67a4d8" w:themeFill="accent1" w:themeFillTint="EA"/>
      </w:tcPr>
    </w:tblStylePr>
    <w:tblStylePr w:type="lastRow">
      <w:rPr>
        <w:sz w:val="22"/>
      </w:rPr>
      <w:tcPr>
        <w:shd w:val="clear" w:color="ffffff" w:fill="67a4d8" w:themeFill="accent1" w:themeFillTint="EA"/>
      </w:tcPr>
    </w:tblStylePr>
  </w:style>
  <w:style w:type="table" w:styleId="918">
    <w:name w:val="Lined - Accent 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fbe5d6" w:themeFill="accent2" w:themeFillTint="32"/>
      </w:tcPr>
    </w:tblStylePr>
    <w:tblStylePr w:type="band2Vert">
      <w:rPr>
        <w:sz w:val="22"/>
      </w:rPr>
      <w:tcPr>
        <w:shd w:val="clear" w:color="ffffff" w:fill="fbe5d6" w:themeFill="accent2" w:themeFillTint="32"/>
      </w:tcPr>
    </w:tblStylePr>
    <w:tblStylePr w:type="firstCol">
      <w:rPr>
        <w:sz w:val="22"/>
      </w:rPr>
      <w:tcPr>
        <w:shd w:val="clear" w:color="ffffff" w:fill="f4b185" w:themeFill="accent2" w:themeFillTint="97"/>
      </w:tcPr>
    </w:tblStylePr>
    <w:tblStylePr w:type="firstRow">
      <w:rPr>
        <w:sz w:val="22"/>
      </w:rPr>
      <w:tcPr>
        <w:shd w:val="clear" w:color="ffffff" w:fill="f4b185" w:themeFill="accent2" w:themeFillTint="97"/>
      </w:tcPr>
    </w:tblStylePr>
    <w:tblStylePr w:type="lastCol">
      <w:rPr>
        <w:sz w:val="22"/>
      </w:rPr>
      <w:tcPr>
        <w:shd w:val="clear" w:color="ffffff" w:fill="f4b185" w:themeFill="accent2" w:themeFillTint="97"/>
      </w:tcPr>
    </w:tblStylePr>
    <w:tblStylePr w:type="lastRow">
      <w:rPr>
        <w:sz w:val="22"/>
      </w:rPr>
      <w:tcPr>
        <w:shd w:val="clear" w:color="ffffff" w:fill="f4b185" w:themeFill="accent2" w:themeFillTint="97"/>
      </w:tcPr>
    </w:tblStylePr>
  </w:style>
  <w:style w:type="table" w:styleId="919">
    <w:name w:val="Lined - Accent 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ededed" w:themeFill="accent3" w:themeFillTint="34"/>
      </w:tcPr>
    </w:tblStylePr>
    <w:tblStylePr w:type="band2Vert">
      <w:rPr>
        <w:sz w:val="22"/>
      </w:rPr>
      <w:tcPr>
        <w:shd w:val="clear" w:color="ffffff" w:fill="ededed" w:themeFill="accent3" w:themeFillTint="34"/>
      </w:tcPr>
    </w:tblStylePr>
    <w:tblStylePr w:type="firstCol">
      <w:rPr>
        <w:sz w:val="22"/>
      </w:rPr>
      <w:tcPr>
        <w:shd w:val="clear" w:color="ffffff" w:fill="a5a5a5" w:themeFill="accent3" w:themeFillTint="FE"/>
      </w:tcPr>
    </w:tblStylePr>
    <w:tblStylePr w:type="firstRow">
      <w:rPr>
        <w:sz w:val="22"/>
      </w:rPr>
      <w:tcPr>
        <w:shd w:val="clear" w:color="ffffff" w:fill="a5a5a5" w:themeFill="accent3" w:themeFillTint="FE"/>
      </w:tcPr>
    </w:tblStylePr>
    <w:tblStylePr w:type="lastCol">
      <w:rPr>
        <w:sz w:val="22"/>
      </w:rPr>
      <w:tcPr>
        <w:shd w:val="clear" w:color="ffffff" w:fill="a5a5a5" w:themeFill="accent3" w:themeFillTint="FE"/>
      </w:tcPr>
    </w:tblStylePr>
    <w:tblStylePr w:type="lastRow">
      <w:rPr>
        <w:sz w:val="22"/>
      </w:rPr>
      <w:tcPr>
        <w:shd w:val="clear" w:color="ffffff" w:fill="a5a5a5" w:themeFill="accent3" w:themeFillTint="FE"/>
      </w:tcPr>
    </w:tblStylePr>
  </w:style>
  <w:style w:type="table" w:styleId="920">
    <w:name w:val="Lined - Accent 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fef2cb" w:themeFill="accent4" w:themeFillTint="34"/>
      </w:tcPr>
    </w:tblStylePr>
    <w:tblStylePr w:type="band2Vert">
      <w:rPr>
        <w:sz w:val="22"/>
      </w:rPr>
      <w:tcPr>
        <w:shd w:val="clear" w:color="ffffff" w:fill="fef2cb" w:themeFill="accent4" w:themeFillTint="34"/>
      </w:tcPr>
    </w:tblStylePr>
    <w:tblStylePr w:type="firstCol">
      <w:rPr>
        <w:sz w:val="22"/>
      </w:rPr>
      <w:tcPr>
        <w:shd w:val="clear" w:color="ffffff" w:fill="ffd864" w:themeFill="accent4" w:themeFillTint="9A"/>
      </w:tcPr>
    </w:tblStylePr>
    <w:tblStylePr w:type="firstRow">
      <w:rPr>
        <w:sz w:val="22"/>
      </w:rPr>
      <w:tcPr>
        <w:shd w:val="clear" w:color="ffffff" w:fill="ffd864" w:themeFill="accent4" w:themeFillTint="9A"/>
      </w:tcPr>
    </w:tblStylePr>
    <w:tblStylePr w:type="lastCol">
      <w:rPr>
        <w:sz w:val="22"/>
      </w:rPr>
      <w:tcPr>
        <w:shd w:val="clear" w:color="ffffff" w:fill="ffd864" w:themeFill="accent4" w:themeFillTint="9A"/>
      </w:tcPr>
    </w:tblStylePr>
    <w:tblStylePr w:type="lastRow">
      <w:rPr>
        <w:sz w:val="22"/>
      </w:rPr>
      <w:tcPr>
        <w:shd w:val="clear" w:color="ffffff" w:fill="ffd864" w:themeFill="accent4" w:themeFillTint="9A"/>
      </w:tcPr>
    </w:tblStylePr>
  </w:style>
  <w:style w:type="table" w:styleId="921">
    <w:name w:val="Lined - Accent 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d9e2f2" w:themeFill="accent5" w:themeFillTint="34"/>
      </w:tcPr>
    </w:tblStylePr>
    <w:tblStylePr w:type="band2Vert">
      <w:rPr>
        <w:sz w:val="22"/>
      </w:rPr>
      <w:tcPr>
        <w:shd w:val="clear" w:color="ffffff" w:fill="d9e2f2" w:themeFill="accent5" w:themeFillTint="34"/>
      </w:tcPr>
    </w:tblStylePr>
    <w:tblStylePr w:type="firstCol">
      <w:rPr>
        <w:sz w:val="22"/>
      </w:rPr>
      <w:tcPr>
        <w:shd w:val="clear" w:color="ffffff" w:fill="4472c4" w:themeFill="accent5"/>
      </w:tcPr>
    </w:tblStylePr>
    <w:tblStylePr w:type="firstRow">
      <w:rPr>
        <w:sz w:val="22"/>
      </w:rPr>
      <w:tcPr>
        <w:shd w:val="clear" w:color="ffffff" w:fill="4472c4" w:themeFill="accent5"/>
      </w:tcPr>
    </w:tblStylePr>
    <w:tblStylePr w:type="lastCol">
      <w:rPr>
        <w:sz w:val="22"/>
      </w:rPr>
      <w:tcPr>
        <w:shd w:val="clear" w:color="ffffff" w:fill="4472c4" w:themeFill="accent5"/>
      </w:tcPr>
    </w:tblStylePr>
    <w:tblStylePr w:type="lastRow">
      <w:rPr>
        <w:sz w:val="22"/>
      </w:rPr>
      <w:tcPr>
        <w:shd w:val="clear" w:color="ffffff" w:fill="4472c4" w:themeFill="accent5"/>
      </w:tcPr>
    </w:tblStylePr>
  </w:style>
  <w:style w:type="table" w:styleId="922">
    <w:name w:val="Lined - Accent 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e2efd8" w:themeFill="accent6" w:themeFillTint="34"/>
      </w:tcPr>
    </w:tblStylePr>
    <w:tblStylePr w:type="band2Vert">
      <w:rPr>
        <w:sz w:val="22"/>
      </w:rPr>
      <w:tcPr>
        <w:shd w:val="clear" w:color="ffffff" w:fill="e2efd8" w:themeFill="accent6" w:themeFillTint="34"/>
      </w:tcPr>
    </w:tblStylePr>
    <w:tblStylePr w:type="firstCol">
      <w:rPr>
        <w:sz w:val="22"/>
      </w:rPr>
      <w:tcPr>
        <w:shd w:val="clear" w:color="ffffff" w:fill="70ad47" w:themeFill="accent6"/>
      </w:tcPr>
    </w:tblStylePr>
    <w:tblStylePr w:type="firstRow">
      <w:rPr>
        <w:sz w:val="22"/>
      </w:rPr>
      <w:tcPr>
        <w:shd w:val="clear" w:color="ffffff" w:fill="70ad47" w:themeFill="accent6"/>
      </w:tcPr>
    </w:tblStylePr>
    <w:tblStylePr w:type="lastCol">
      <w:rPr>
        <w:sz w:val="22"/>
      </w:rPr>
      <w:tcPr>
        <w:shd w:val="clear" w:color="ffffff" w:fill="70ad47" w:themeFill="accent6"/>
      </w:tcPr>
    </w:tblStylePr>
    <w:tblStylePr w:type="lastRow">
      <w:rPr>
        <w:sz w:val="22"/>
      </w:rPr>
      <w:tcPr>
        <w:shd w:val="clear" w:color="ffffff" w:fill="70ad47" w:themeFill="accent6"/>
      </w:tcPr>
    </w:tblStylePr>
  </w:style>
  <w:style w:type="table" w:styleId="923">
    <w:name w:val="Bordered &amp; Lined - Accent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f2f2f2" w:themeFill="text1" w:themeFillTint="00"/>
      </w:tcPr>
    </w:tblStylePr>
    <w:tblStylePr w:type="band2Vert">
      <w:rPr>
        <w:sz w:val="22"/>
      </w:rPr>
      <w:tcPr>
        <w:shd w:val="clear" w:color="ffffff" w:fill="f2f2f2" w:themeFill="text1" w:themeFillTint="00"/>
      </w:tcPr>
    </w:tblStylePr>
    <w:tblStylePr w:type="firstCol">
      <w:rPr>
        <w:sz w:val="22"/>
      </w:rPr>
      <w:tcPr>
        <w:shd w:val="clear" w:color="ffffff" w:fill="7f7f7f" w:themeFill="text1" w:themeFillTint="80"/>
      </w:tcPr>
    </w:tblStylePr>
    <w:tblStylePr w:type="firstRow">
      <w:rPr>
        <w:sz w:val="22"/>
      </w:rPr>
      <w:tcPr>
        <w:shd w:val="clear" w:color="ffffff" w:fill="7f7f7f" w:themeFill="text1" w:themeFillTint="80"/>
      </w:tcPr>
    </w:tblStylePr>
    <w:tblStylePr w:type="lastCol">
      <w:rPr>
        <w:sz w:val="22"/>
      </w:rPr>
      <w:tcPr>
        <w:shd w:val="clear" w:color="ffffff" w:fill="7f7f7f" w:themeFill="text1" w:themeFillTint="80"/>
      </w:tcPr>
    </w:tblStylePr>
    <w:tblStylePr w:type="lastRow">
      <w:rPr>
        <w:sz w:val="22"/>
      </w:rPr>
      <w:tcPr>
        <w:shd w:val="clear" w:color="ffffff" w:fill="7f7f7f" w:themeFill="text1" w:themeFillTint="80"/>
      </w:tcPr>
    </w:tblStylePr>
  </w:style>
  <w:style w:type="table" w:styleId="924">
    <w:name w:val="Bordered &amp; Lined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cce0f1" w:themeFill="accent1" w:themeFillTint="50"/>
      </w:tcPr>
    </w:tblStylePr>
    <w:tblStylePr w:type="band2Vert">
      <w:rPr>
        <w:sz w:val="22"/>
      </w:rPr>
      <w:tcPr>
        <w:shd w:val="clear" w:color="ffffff" w:fill="cce0f1" w:themeFill="accent1" w:themeFillTint="50"/>
      </w:tcPr>
    </w:tblStylePr>
    <w:tblStylePr w:type="firstCol">
      <w:rPr>
        <w:sz w:val="22"/>
      </w:rPr>
      <w:tcPr>
        <w:shd w:val="clear" w:color="ffffff" w:fill="67a4d8" w:themeFill="accent1" w:themeFillTint="EA"/>
      </w:tcPr>
    </w:tblStylePr>
    <w:tblStylePr w:type="firstRow">
      <w:rPr>
        <w:sz w:val="22"/>
      </w:rPr>
      <w:tcPr>
        <w:shd w:val="clear" w:color="ffffff" w:fill="67a4d8" w:themeFill="accent1" w:themeFillTint="EA"/>
      </w:tcPr>
    </w:tblStylePr>
    <w:tblStylePr w:type="lastCol">
      <w:rPr>
        <w:sz w:val="22"/>
      </w:rPr>
      <w:tcPr>
        <w:shd w:val="clear" w:color="ffffff" w:fill="67a4d8" w:themeFill="accent1" w:themeFillTint="EA"/>
      </w:tcPr>
    </w:tblStylePr>
    <w:tblStylePr w:type="lastRow">
      <w:rPr>
        <w:sz w:val="22"/>
      </w:rPr>
      <w:tcPr>
        <w:shd w:val="clear" w:color="ffffff" w:fill="67a4d8" w:themeFill="accent1" w:themeFillTint="EA"/>
      </w:tcPr>
    </w:tblStylePr>
  </w:style>
  <w:style w:type="table" w:styleId="925">
    <w:name w:val="Bordered &amp; Lined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fbe5d6" w:themeFill="accent2" w:themeFillTint="32"/>
      </w:tcPr>
    </w:tblStylePr>
    <w:tblStylePr w:type="band2Vert">
      <w:rPr>
        <w:sz w:val="22"/>
      </w:rPr>
      <w:tcPr>
        <w:shd w:val="clear" w:color="ffffff" w:fill="fbe5d6" w:themeFill="accent2" w:themeFillTint="32"/>
      </w:tcPr>
    </w:tblStylePr>
    <w:tblStylePr w:type="firstCol">
      <w:rPr>
        <w:sz w:val="22"/>
      </w:rPr>
      <w:tcPr>
        <w:shd w:val="clear" w:color="ffffff" w:fill="f4b185" w:themeFill="accent2" w:themeFillTint="97"/>
      </w:tcPr>
    </w:tblStylePr>
    <w:tblStylePr w:type="firstRow">
      <w:rPr>
        <w:sz w:val="22"/>
      </w:rPr>
      <w:tcPr>
        <w:shd w:val="clear" w:color="ffffff" w:fill="f4b185" w:themeFill="accent2" w:themeFillTint="97"/>
      </w:tcPr>
    </w:tblStylePr>
    <w:tblStylePr w:type="lastCol">
      <w:rPr>
        <w:sz w:val="22"/>
      </w:rPr>
      <w:tcPr>
        <w:shd w:val="clear" w:color="ffffff" w:fill="f4b185" w:themeFill="accent2" w:themeFillTint="97"/>
      </w:tcPr>
    </w:tblStylePr>
    <w:tblStylePr w:type="lastRow">
      <w:rPr>
        <w:sz w:val="22"/>
      </w:rPr>
      <w:tcPr>
        <w:shd w:val="clear" w:color="ffffff" w:fill="f4b185" w:themeFill="accent2" w:themeFillTint="97"/>
      </w:tcPr>
    </w:tblStylePr>
  </w:style>
  <w:style w:type="table" w:styleId="926">
    <w:name w:val="Bordered &amp; Lined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ededed" w:themeFill="accent3" w:themeFillTint="34"/>
      </w:tcPr>
    </w:tblStylePr>
    <w:tblStylePr w:type="band2Vert">
      <w:rPr>
        <w:sz w:val="22"/>
      </w:rPr>
      <w:tcPr>
        <w:shd w:val="clear" w:color="ffffff" w:fill="ededed" w:themeFill="accent3" w:themeFillTint="34"/>
      </w:tcPr>
    </w:tblStylePr>
    <w:tblStylePr w:type="firstCol">
      <w:rPr>
        <w:sz w:val="22"/>
      </w:rPr>
      <w:tcPr>
        <w:shd w:val="clear" w:color="ffffff" w:fill="a5a5a5" w:themeFill="accent3" w:themeFillTint="FE"/>
      </w:tcPr>
    </w:tblStylePr>
    <w:tblStylePr w:type="firstRow">
      <w:rPr>
        <w:sz w:val="22"/>
      </w:rPr>
      <w:tcPr>
        <w:shd w:val="clear" w:color="ffffff" w:fill="a5a5a5" w:themeFill="accent3" w:themeFillTint="FE"/>
      </w:tcPr>
    </w:tblStylePr>
    <w:tblStylePr w:type="lastCol">
      <w:rPr>
        <w:sz w:val="22"/>
      </w:rPr>
      <w:tcPr>
        <w:shd w:val="clear" w:color="ffffff" w:fill="a5a5a5" w:themeFill="accent3" w:themeFillTint="FE"/>
      </w:tcPr>
    </w:tblStylePr>
    <w:tblStylePr w:type="lastRow">
      <w:rPr>
        <w:sz w:val="22"/>
      </w:rPr>
      <w:tcPr>
        <w:shd w:val="clear" w:color="ffffff" w:fill="a5a5a5" w:themeFill="accent3" w:themeFillTint="FE"/>
      </w:tcPr>
    </w:tblStylePr>
  </w:style>
  <w:style w:type="table" w:styleId="927">
    <w:name w:val="Bordered &amp; Lined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fef2cb" w:themeFill="accent4" w:themeFillTint="34"/>
      </w:tcPr>
    </w:tblStylePr>
    <w:tblStylePr w:type="band2Vert">
      <w:rPr>
        <w:sz w:val="22"/>
      </w:rPr>
      <w:tcPr>
        <w:shd w:val="clear" w:color="ffffff" w:fill="fef2cb" w:themeFill="accent4" w:themeFillTint="34"/>
      </w:tcPr>
    </w:tblStylePr>
    <w:tblStylePr w:type="firstCol">
      <w:rPr>
        <w:sz w:val="22"/>
      </w:rPr>
      <w:tcPr>
        <w:shd w:val="clear" w:color="ffffff" w:fill="ffd864" w:themeFill="accent4" w:themeFillTint="9A"/>
      </w:tcPr>
    </w:tblStylePr>
    <w:tblStylePr w:type="firstRow">
      <w:rPr>
        <w:sz w:val="22"/>
      </w:rPr>
      <w:tcPr>
        <w:shd w:val="clear" w:color="ffffff" w:fill="ffd864" w:themeFill="accent4" w:themeFillTint="9A"/>
      </w:tcPr>
    </w:tblStylePr>
    <w:tblStylePr w:type="lastCol">
      <w:rPr>
        <w:sz w:val="22"/>
      </w:rPr>
      <w:tcPr>
        <w:shd w:val="clear" w:color="ffffff" w:fill="ffd864" w:themeFill="accent4" w:themeFillTint="9A"/>
      </w:tcPr>
    </w:tblStylePr>
    <w:tblStylePr w:type="lastRow">
      <w:rPr>
        <w:sz w:val="22"/>
      </w:rPr>
      <w:tcPr>
        <w:shd w:val="clear" w:color="ffffff" w:fill="ffd864" w:themeFill="accent4" w:themeFillTint="9A"/>
      </w:tcPr>
    </w:tblStylePr>
  </w:style>
  <w:style w:type="table" w:styleId="928">
    <w:name w:val="Bordered &amp; Lined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d9e2f2" w:themeFill="accent5" w:themeFillTint="34"/>
      </w:tcPr>
    </w:tblStylePr>
    <w:tblStylePr w:type="band2Vert">
      <w:rPr>
        <w:sz w:val="22"/>
      </w:rPr>
      <w:tcPr>
        <w:shd w:val="clear" w:color="ffffff" w:fill="d9e2f2" w:themeFill="accent5" w:themeFillTint="34"/>
      </w:tcPr>
    </w:tblStylePr>
    <w:tblStylePr w:type="firstCol">
      <w:rPr>
        <w:sz w:val="22"/>
      </w:rPr>
      <w:tcPr>
        <w:shd w:val="clear" w:color="ffffff" w:fill="4472c4" w:themeFill="accent5"/>
      </w:tcPr>
    </w:tblStylePr>
    <w:tblStylePr w:type="firstRow">
      <w:rPr>
        <w:sz w:val="22"/>
      </w:rPr>
      <w:tcPr>
        <w:shd w:val="clear" w:color="ffffff" w:fill="4472c4" w:themeFill="accent5"/>
      </w:tcPr>
    </w:tblStylePr>
    <w:tblStylePr w:type="lastCol">
      <w:rPr>
        <w:sz w:val="22"/>
      </w:rPr>
      <w:tcPr>
        <w:shd w:val="clear" w:color="ffffff" w:fill="4472c4" w:themeFill="accent5"/>
      </w:tcPr>
    </w:tblStylePr>
    <w:tblStylePr w:type="lastRow">
      <w:rPr>
        <w:sz w:val="22"/>
      </w:rPr>
      <w:tcPr>
        <w:shd w:val="clear" w:color="ffffff" w:fill="4472c4" w:themeFill="accent5"/>
      </w:tcPr>
    </w:tblStylePr>
  </w:style>
  <w:style w:type="table" w:styleId="929">
    <w:name w:val="Bordered &amp; Lined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</w:tblStylePr>
    <w:tblStylePr w:type="band1Vert">
      <w:rPr>
        <w:sz w:val="22"/>
      </w:rPr>
    </w:tblStylePr>
    <w:tblStylePr w:type="band2Horz">
      <w:rPr>
        <w:sz w:val="22"/>
      </w:rPr>
      <w:tcPr>
        <w:shd w:val="clear" w:color="ffffff" w:fill="e2efd8" w:themeFill="accent6" w:themeFillTint="34"/>
      </w:tcPr>
    </w:tblStylePr>
    <w:tblStylePr w:type="band2Vert">
      <w:rPr>
        <w:sz w:val="22"/>
      </w:rPr>
      <w:tcPr>
        <w:shd w:val="clear" w:color="ffffff" w:fill="e2efd8" w:themeFill="accent6" w:themeFillTint="34"/>
      </w:tcPr>
    </w:tblStylePr>
    <w:tblStylePr w:type="firstCol">
      <w:rPr>
        <w:sz w:val="22"/>
      </w:rPr>
      <w:tcPr>
        <w:shd w:val="clear" w:color="ffffff" w:fill="70ad47" w:themeFill="accent6"/>
      </w:tcPr>
    </w:tblStylePr>
    <w:tblStylePr w:type="firstRow">
      <w:rPr>
        <w:sz w:val="22"/>
      </w:rPr>
      <w:tcPr>
        <w:shd w:val="clear" w:color="ffffff" w:fill="70ad47" w:themeFill="accent6"/>
      </w:tcPr>
    </w:tblStylePr>
    <w:tblStylePr w:type="lastCol">
      <w:rPr>
        <w:sz w:val="22"/>
      </w:rPr>
      <w:tcPr>
        <w:shd w:val="clear" w:color="ffffff" w:fill="70ad47" w:themeFill="accent6"/>
      </w:tcPr>
    </w:tblStylePr>
    <w:tblStylePr w:type="lastRow">
      <w:rPr>
        <w:sz w:val="22"/>
      </w:rPr>
      <w:tcPr>
        <w:shd w:val="clear" w:color="ffffff" w:fill="70ad47" w:themeFill="accent6"/>
      </w:tcPr>
    </w:tblStylePr>
  </w:style>
  <w:style w:type="table" w:styleId="930">
    <w:name w:val="Bordered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000000" w:themeColor="text1" w:sz="12" w:space="0"/>
        </w:tcBorders>
      </w:tcPr>
    </w:tblStylePr>
    <w:tblStylePr w:type="lastCol">
      <w:rPr>
        <w:sz w:val="22"/>
      </w:rPr>
      <w:tcPr>
        <w:tcBorders>
          <w:left w:val="single" w:color="000000" w:themeColor="text1" w:sz="12" w:space="0"/>
        </w:tcBorders>
      </w:tcPr>
    </w:tblStylePr>
    <w:tblStylePr w:type="lastRow">
      <w:rPr>
        <w:sz w:val="22"/>
      </w:rPr>
      <w:tcPr>
        <w:tcBorders>
          <w:top w:val="single" w:color="000000" w:themeColor="text1" w:sz="12" w:space="0"/>
        </w:tcBorders>
      </w:tcPr>
    </w:tblStylePr>
  </w:style>
  <w:style w:type="table" w:styleId="931">
    <w:name w:val="Bordered - Accent 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2">
    <w:name w:val="Bordered - Accent 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000000" w:themeColor="accent2" w:sz="12" w:space="0"/>
        </w:tcBorders>
      </w:tcPr>
    </w:tblStylePr>
    <w:tblStylePr w:type="lastCol">
      <w:rPr>
        <w:sz w:val="22"/>
      </w:rPr>
      <w:tcPr>
        <w:tcBorders>
          <w:left w:val="single" w:color="000000" w:themeColor="accent2" w:sz="12" w:space="0"/>
        </w:tcBorders>
      </w:tcPr>
    </w:tblStylePr>
    <w:tblStylePr w:type="lastRow">
      <w:rPr>
        <w:sz w:val="22"/>
      </w:rPr>
      <w:tcPr>
        <w:tcBorders>
          <w:top w:val="single" w:color="000000" w:themeColor="accent2" w:sz="12" w:space="0"/>
        </w:tcBorders>
      </w:tcPr>
    </w:tblStylePr>
  </w:style>
  <w:style w:type="table" w:styleId="933">
    <w:name w:val="Bordered - Accent 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000000" w:themeColor="accent3" w:sz="12" w:space="0"/>
        </w:tcBorders>
      </w:tcPr>
    </w:tblStylePr>
    <w:tblStylePr w:type="lastCol">
      <w:rPr>
        <w:sz w:val="22"/>
      </w:rPr>
      <w:tcPr>
        <w:tcBorders>
          <w:left w:val="single" w:color="000000" w:themeColor="accent3" w:sz="12" w:space="0"/>
        </w:tcBorders>
      </w:tcPr>
    </w:tblStylePr>
    <w:tblStylePr w:type="lastRow">
      <w:rPr>
        <w:sz w:val="22"/>
      </w:rPr>
      <w:tcPr>
        <w:tcBorders>
          <w:top w:val="single" w:color="000000" w:themeColor="accent3" w:sz="12" w:space="0"/>
        </w:tcBorders>
      </w:tcPr>
    </w:tblStylePr>
  </w:style>
  <w:style w:type="table" w:styleId="934">
    <w:name w:val="Bordered - Accent 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000000" w:themeColor="accent4" w:sz="12" w:space="0"/>
        </w:tcBorders>
      </w:tcPr>
    </w:tblStylePr>
    <w:tblStylePr w:type="lastCol">
      <w:rPr>
        <w:sz w:val="22"/>
      </w:rPr>
      <w:tcPr>
        <w:tcBorders>
          <w:left w:val="single" w:color="000000" w:themeColor="accent4" w:sz="12" w:space="0"/>
        </w:tcBorders>
      </w:tcPr>
    </w:tblStylePr>
    <w:tblStylePr w:type="lastRow">
      <w:rPr>
        <w:sz w:val="22"/>
      </w:rPr>
      <w:tcPr>
        <w:tcBorders>
          <w:top w:val="single" w:color="000000" w:themeColor="accent4" w:sz="12" w:space="0"/>
        </w:tcBorders>
      </w:tcPr>
    </w:tblStylePr>
  </w:style>
  <w:style w:type="table" w:styleId="935">
    <w:name w:val="Bordered - Accent 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000000" w:themeColor="accent5" w:sz="12" w:space="0"/>
        </w:tcBorders>
      </w:tcPr>
    </w:tblStylePr>
    <w:tblStylePr w:type="lastCol">
      <w:rPr>
        <w:sz w:val="22"/>
      </w:rPr>
      <w:tcPr>
        <w:tcBorders>
          <w:left w:val="single" w:color="000000" w:themeColor="accent5" w:sz="12" w:space="0"/>
        </w:tcBorders>
      </w:tcPr>
    </w:tblStylePr>
    <w:tblStylePr w:type="lastRow">
      <w:rPr>
        <w:sz w:val="22"/>
      </w:rPr>
      <w:tcPr>
        <w:tcBorders>
          <w:top w:val="single" w:color="000000" w:themeColor="accent5" w:sz="12" w:space="0"/>
        </w:tcBorders>
      </w:tcPr>
    </w:tblStylePr>
  </w:style>
  <w:style w:type="table" w:styleId="936">
    <w:name w:val="Bordered - Accent 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sz w:val="22"/>
      </w:rPr>
    </w:tblStylePr>
    <w:tblStylePr w:type="firstRow">
      <w:rPr>
        <w:sz w:val="22"/>
      </w:rPr>
      <w:tcPr>
        <w:tcBorders>
          <w:bottom w:val="single" w:color="000000" w:themeColor="accent6" w:sz="12" w:space="0"/>
        </w:tcBorders>
      </w:tcPr>
    </w:tblStylePr>
    <w:tblStylePr w:type="lastCol">
      <w:rPr>
        <w:sz w:val="22"/>
      </w:rPr>
      <w:tcPr>
        <w:tcBorders>
          <w:left w:val="single" w:color="000000" w:themeColor="accent6" w:sz="12" w:space="0"/>
        </w:tcBorders>
      </w:tcPr>
    </w:tblStylePr>
    <w:tblStylePr w:type="lastRow">
      <w:rPr>
        <w:sz w:val="22"/>
      </w:rPr>
      <w:tcPr>
        <w:tcBorders>
          <w:top w:val="single" w:color="000000" w:themeColor="accent6" w:sz="12" w:space="0"/>
        </w:tcBorders>
      </w:tcPr>
    </w:tblStylePr>
  </w:style>
  <w:style w:type="table" w:styleId="93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Р7-Офис/7.4.0.351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Шамарин М.Ю.</dc:creator>
  <dc:description/>
  <dc:language>ru-RU</dc:language>
  <cp:revision>77</cp:revision>
  <dcterms:created xsi:type="dcterms:W3CDTF">2020-05-15T08:53:00Z</dcterms:created>
  <dcterms:modified xsi:type="dcterms:W3CDTF">2026-05-26T08:28:56Z</dcterms:modified>
</cp:coreProperties>
</file>