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ageBreakBefore w:val="true"/>
        <w:pBdr/>
        <w:spacing/>
        <w:ind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КОНТРАКТ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Bdr/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 w:firstLine="708"/>
        <w:rPr>
          <w:b/>
          <w:i/>
          <w:color w:val="000000"/>
          <w:sz w:val="28"/>
          <w:szCs w:val="28"/>
        </w:rPr>
      </w:pPr>
      <w:r>
        <w:rPr>
          <w:i/>
          <w:color w:val="000000"/>
        </w:rPr>
        <w:t xml:space="preserve">г. </w:t>
      </w:r>
      <w:r>
        <w:rPr>
          <w:i/>
          <w:color w:val="000000"/>
        </w:rPr>
        <w:t xml:space="preserve">Санкт-Петербург</w:t>
      </w:r>
      <w:r>
        <w:rPr>
          <w:i/>
          <w:color w:val="000000"/>
          <w:sz w:val="28"/>
          <w:szCs w:val="28"/>
        </w:rPr>
        <w:t xml:space="preserve">                                                            </w:t>
      </w:r>
      <w:r>
        <w:rPr>
          <w:i/>
          <w:color w:val="000000"/>
          <w:sz w:val="28"/>
          <w:szCs w:val="28"/>
        </w:rPr>
        <w:t xml:space="preserve">  </w:t>
      </w:r>
      <w:r>
        <w:rPr>
          <w:i/>
          <w:color w:val="000000"/>
          <w:sz w:val="28"/>
          <w:szCs w:val="28"/>
        </w:rPr>
        <w:t xml:space="preserve">  </w:t>
      </w:r>
      <w:r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</w:rPr>
        <w:t xml:space="preserve">«</w:t>
      </w:r>
      <w:r>
        <w:rPr>
          <w:i/>
          <w:color w:val="000000"/>
        </w:rPr>
        <w:t xml:space="preserve">___</w:t>
      </w:r>
      <w:r>
        <w:rPr>
          <w:i/>
          <w:color w:val="000000"/>
        </w:rPr>
        <w:t xml:space="preserve">» </w:t>
      </w:r>
      <w:r>
        <w:rPr>
          <w:i/>
          <w:color w:val="000000"/>
          <w:u w:val="single"/>
        </w:rPr>
        <w:t xml:space="preserve">_______</w:t>
      </w:r>
      <w:r>
        <w:rPr>
          <w:i/>
          <w:color w:val="000000"/>
        </w:rPr>
        <w:t xml:space="preserve"> </w:t>
      </w:r>
      <w:r>
        <w:rPr>
          <w:i/>
          <w:color w:val="000000"/>
        </w:rPr>
        <w:t xml:space="preserve">202 </w:t>
      </w:r>
      <w:r>
        <w:rPr>
          <w:i/>
          <w:color w:val="000000"/>
        </w:rPr>
        <w:t xml:space="preserve">г.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</w:r>
      <w:r>
        <w:rPr>
          <w:b/>
          <w:i/>
          <w:color w:val="000000"/>
          <w:sz w:val="28"/>
          <w:szCs w:val="28"/>
        </w:rPr>
      </w:r>
    </w:p>
    <w:p>
      <w:pPr>
        <w:pBdr/>
        <w:spacing/>
        <w:ind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/>
        <w:jc w:val="both"/>
        <w:rPr/>
      </w:pPr>
      <w:r>
        <w:rPr>
          <w:b/>
        </w:rPr>
        <w:t xml:space="preserve">Государственное бюджетное дошкольное образовательное учреждение детский сад № 20 комбинированного вида Приморского района Санкт-Петербурга </w:t>
      </w:r>
      <w:r>
        <w:t xml:space="preserve">(ГБДОУ детский сад № 20 </w:t>
      </w:r>
      <w:r>
        <w:t xml:space="preserve">Приморского района Санкт-Петербурга</w:t>
      </w:r>
      <w:r>
        <w:t xml:space="preserve">), именуемое в дальнейшем </w:t>
      </w:r>
      <w:r>
        <w:rPr>
          <w:b/>
        </w:rPr>
        <w:t xml:space="preserve">«Заказчик»,</w:t>
      </w:r>
      <w:r>
        <w:t xml:space="preserve"> в лице заведующего Скорбящевой Юлии Владимировны, </w:t>
      </w:r>
      <w:r>
        <w:t xml:space="preserve">действующего на основании Устава</w:t>
      </w:r>
      <w:r>
        <w:rPr>
          <w:color w:val="000000"/>
        </w:rPr>
        <w:t xml:space="preserve">, </w:t>
      </w:r>
      <w:r>
        <w:t xml:space="preserve">и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____________________________</w:t>
      </w:r>
      <w:r>
        <w:rPr>
          <w:rFonts w:ascii="Times New Roman" w:hAnsi="Times New Roman" w:cs="Times New Roman"/>
        </w:rPr>
        <w:t xml:space="preserve">, именуемое в дальнейшем «Исполнитель», </w:t>
      </w:r>
      <w:r>
        <w:rPr>
          <w:rFonts w:ascii="Times New Roman" w:hAnsi="Times New Roman" w:eastAsia="Times New Roman" w:cs="Times New Roman"/>
          <w:lang w:eastAsia="ru-RU"/>
        </w:rPr>
        <w:t xml:space="preserve">в лице _________________-, действующего на основании __________________,</w:t>
      </w:r>
      <w:r>
        <w:t xml:space="preserve"> </w:t>
      </w:r>
      <w:r>
        <w:rPr>
          <w:color w:val="000000"/>
        </w:rPr>
        <w:t xml:space="preserve">вместе именуемые «Стороны», 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color w:val="000000"/>
        </w:rPr>
        <w:t xml:space="preserve">, </w:t>
      </w:r>
      <w:r>
        <w:rPr>
          <w:color w:val="000000"/>
        </w:rPr>
        <w:t xml:space="preserve"> заключили настоящий контракт (далее – Контракт)  о нижеследующем:</w:t>
      </w:r>
      <w:r/>
    </w:p>
    <w:p>
      <w:pPr>
        <w:pBdr/>
        <w:spacing/>
        <w:ind w:firstLine="709"/>
        <w:jc w:val="both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1077"/>
        <w:numPr>
          <w:ilvl w:val="0"/>
          <w:numId w:val="2"/>
        </w:numPr>
        <w:pBdr/>
        <w:spacing/>
        <w:ind w:firstLine="0" w:left="0"/>
        <w:jc w:val="center"/>
        <w:rPr>
          <w:b/>
          <w:color w:val="000000"/>
        </w:rPr>
      </w:pPr>
      <w:r>
        <w:rPr>
          <w:b/>
          <w:color w:val="000000"/>
        </w:rPr>
        <w:t xml:space="preserve">ПРЕДМЕТ КОНТРАКТА  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 w:firstLine="594"/>
        <w:jc w:val="both"/>
        <w:rPr>
          <w:color w:val="000000"/>
        </w:rPr>
      </w:pPr>
      <w:r>
        <w:rPr>
          <w:color w:val="000000"/>
        </w:rPr>
        <w:t xml:space="preserve">1.1. </w:t>
      </w:r>
      <w:r>
        <w:rPr>
          <w:color w:val="000000"/>
        </w:rPr>
        <w:t xml:space="preserve">По настоящему </w:t>
      </w:r>
      <w:r>
        <w:rPr>
          <w:color w:val="000000"/>
        </w:rPr>
        <w:t xml:space="preserve">Контракту</w:t>
      </w:r>
      <w:r>
        <w:rPr>
          <w:color w:val="000000"/>
        </w:rPr>
        <w:t xml:space="preserve"> Заказчик дает задание и оплачивает его выполнение, а Исполнитель принимает на себя обязательства по Оказанию услуг, согласно спецификации и перечню услуг (Приложение № 1, Приложение №2), которое являе</w:t>
      </w:r>
      <w:r>
        <w:rPr>
          <w:color w:val="000000"/>
        </w:rPr>
        <w:t xml:space="preserve">тся неотъемлемой частью Контракта</w:t>
      </w:r>
      <w:r>
        <w:rPr>
          <w:color w:val="000000"/>
        </w:rPr>
        <w:t xml:space="preserve">, а Заказчик обязуется принять и оплатить оказанные услуги.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594"/>
        <w:jc w:val="both"/>
        <w:rPr>
          <w:color w:val="000000"/>
          <w:highlight w:val="none"/>
          <w:lang w:bidi="ru-RU"/>
        </w:rPr>
      </w:pPr>
      <w:r>
        <w:rPr>
          <w:color w:val="000000"/>
        </w:rPr>
        <w:t xml:space="preserve">1.2. </w:t>
      </w:r>
      <w:r>
        <w:rPr>
          <w:color w:val="000000"/>
          <w:lang w:bidi="ru-RU"/>
        </w:rPr>
        <w:t xml:space="preserve">Оказание услуг производится по адресам Заказчика: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color w:val="000000"/>
          <w:highlight w:val="none"/>
          <w:lang w:bidi="ru-RU"/>
        </w:rPr>
      </w:r>
      <w:r>
        <w:rPr>
          <w:color w:val="000000"/>
          <w:highlight w:val="none"/>
          <w:lang w:bidi="ru-RU"/>
        </w:rPr>
      </w:r>
    </w:p>
    <w:p>
      <w:pPr>
        <w:pStyle w:val="1062"/>
        <w:pBdr/>
        <w:spacing/>
        <w:ind w:firstLine="540"/>
        <w:jc w:val="both"/>
        <w:rPr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- 197739, </w:t>
      </w:r>
      <w:r>
        <w:rPr>
          <w:rFonts w:ascii="Times New Roman" w:hAnsi="Times New Roman" w:cs="Times New Roman"/>
          <w:highlight w:val="white"/>
        </w:rPr>
        <w:t xml:space="preserve">г.Санкт</w:t>
      </w:r>
      <w:r>
        <w:rPr>
          <w:rFonts w:ascii="Times New Roman" w:hAnsi="Times New Roman" w:cs="Times New Roman"/>
          <w:highlight w:val="white"/>
        </w:rPr>
        <w:t xml:space="preserve">-Петербург, пос. Солнечное, ул. Дачная, д 2 </w:t>
      </w:r>
      <w:r>
        <w:rPr>
          <w:rFonts w:ascii="Times New Roman" w:hAnsi="Times New Roman" w:cs="Times New Roman"/>
          <w:highlight w:val="white"/>
        </w:rPr>
        <w:t xml:space="preserve">лит.А</w:t>
      </w:r>
      <w:r>
        <w:rPr>
          <w:highlight w:val="white"/>
        </w:rPr>
      </w:r>
      <w:r>
        <w:rPr>
          <w:highlight w:val="white"/>
        </w:rPr>
      </w:r>
    </w:p>
    <w:p>
      <w:pPr>
        <w:pBdr/>
        <w:spacing/>
        <w:ind w:firstLine="5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1.3. </w:t>
      </w:r>
      <w:r>
        <w:rPr>
          <w:b/>
          <w:color w:val="000000" w:themeColor="text1"/>
        </w:rPr>
        <w:t xml:space="preserve">Идентификационный код закупки -  _____________</w:t>
      </w: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pBdr/>
        <w:spacing/>
        <w:ind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Bdr/>
        <w:spacing/>
        <w:ind/>
        <w:jc w:val="center"/>
        <w:rPr>
          <w:b/>
          <w:color w:val="000000"/>
        </w:rPr>
      </w:pPr>
      <w:r>
        <w:rPr>
          <w:b/>
          <w:color w:val="000000"/>
        </w:rPr>
        <w:t xml:space="preserve">2.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ПРАВА И ОБЯЗАННОСТИ СТОРОН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lang w:bidi="ru-RU"/>
        </w:rPr>
      </w:pPr>
      <w:r>
        <w:rPr>
          <w:rFonts w:eastAsia="Courier New"/>
          <w:b/>
          <w:color w:val="000000"/>
          <w:lang w:bidi="ru-RU"/>
        </w:rPr>
        <w:t xml:space="preserve">2.1. Права Заказчика:</w:t>
      </w:r>
      <w:r>
        <w:rPr>
          <w:rFonts w:eastAsia="Courier New"/>
          <w:b/>
          <w:color w:val="000000"/>
          <w:lang w:bidi="ru-RU"/>
        </w:rPr>
      </w:r>
      <w:r>
        <w:rPr>
          <w:rFonts w:eastAsia="Courier New"/>
          <w:b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2.1.1. Требовать от Исполнителя надлежащего исполнения обязательств в соответствии с условиями Контракта, а также требовать своевременного устранения недостатков.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2.1.2. Требовать от Исполнителя представления надлежащим образом оформленных документов, предусмотренных Контрактом.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2.1.3. Запрашивать у Исполнителя информацию о ходе и состоянии исполнения обязательств Исполнителя по Контракту.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2.1.4. Осуществлять контроль за порядком и сроками оказания услуг.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2.1.5. Привлекать экспертов, экспертные организации для проверки соответствия качества оказываемых услуг требованиям, установленным настоящим Контрактом.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2.1.6. Осуществлять иные права в соответствии с действующим законодательством Российской Федерации.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spacing w:val="1"/>
          <w:lang w:bidi="ru-RU"/>
        </w:rPr>
      </w:pPr>
      <w:r>
        <w:rPr>
          <w:rFonts w:eastAsia="Courier New"/>
          <w:b/>
          <w:color w:val="000000"/>
          <w:spacing w:val="1"/>
          <w:lang w:bidi="ru-RU"/>
        </w:rPr>
        <w:t xml:space="preserve">2.2. Обязанности Заказчика:</w:t>
      </w:r>
      <w:r>
        <w:rPr>
          <w:rFonts w:eastAsia="Courier New"/>
          <w:b/>
          <w:color w:val="000000"/>
          <w:spacing w:val="1"/>
          <w:lang w:bidi="ru-RU"/>
        </w:rPr>
      </w:r>
      <w:r>
        <w:rPr>
          <w:rFonts w:eastAsia="Courier New"/>
          <w:b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2.2.1. Обеспечить своевременную приемку оказанных услуг </w:t>
      </w:r>
      <w:r>
        <w:rPr>
          <w:rFonts w:eastAsia="Courier New"/>
          <w:color w:val="000000"/>
          <w:lang w:bidi="ru-RU"/>
        </w:rPr>
        <w:t xml:space="preserve">и проведение экспертизы для проверки оказанных услуг</w:t>
      </w:r>
      <w:r>
        <w:rPr>
          <w:rFonts w:eastAsia="Courier New"/>
          <w:color w:val="000000"/>
          <w:spacing w:val="1"/>
          <w:lang w:bidi="ru-RU"/>
        </w:rPr>
        <w:t xml:space="preserve"> в части соответствия условиям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2.2.2. Принять и оплатить оказанные услуги при отсутствии у Заказчика замечаний по качеству, соответствию оказанных услуг иным условиям Контракта.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2.2.3. Требовать уплаты неустойки (штрафа, пени) в случае неисполнения (ненадлежащего исполнения) Исполнителем обязательств по настоящему Контракту, а также возмещения убытков, причиненных по вине Исполнителя.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2.2.4.Своевременно предоставлять разъяснения и уточнения по запросам Исполнителя в части оказания услуг в соответствии с условиями настоящего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spacing w:val="1"/>
          <w:lang w:bidi="ru-RU"/>
        </w:rPr>
      </w:pPr>
      <w:r>
        <w:rPr>
          <w:rFonts w:eastAsia="Courier New"/>
          <w:b/>
          <w:color w:val="000000"/>
          <w:spacing w:val="1"/>
          <w:lang w:bidi="ru-RU"/>
        </w:rPr>
        <w:t xml:space="preserve">2.3. Права Исполнителя:</w:t>
      </w:r>
      <w:r>
        <w:rPr>
          <w:rFonts w:eastAsia="Courier New"/>
          <w:b/>
          <w:color w:val="000000"/>
          <w:spacing w:val="1"/>
          <w:lang w:bidi="ru-RU"/>
        </w:rPr>
      </w:r>
      <w:r>
        <w:rPr>
          <w:rFonts w:eastAsia="Courier New"/>
          <w:b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2.3.1. Требовать от Заказчика приемки оказанных услуг в соответствии с условиями </w:t>
      </w:r>
      <w:r>
        <w:rPr>
          <w:rFonts w:eastAsia="Courier New"/>
          <w:color w:val="000000"/>
          <w:spacing w:val="1"/>
          <w:lang w:bidi="ru-RU"/>
        </w:rPr>
        <w:t xml:space="preserve">Контракта.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2.3.2. Требовать от Заказчика своевременной оплаты надлежащим образом исполненных им обязательств.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2.3.3. 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2.3.4. Привлекать соисполнителя, за действия, которых несет ответственность, как за свои собственные.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lang w:bidi="ru-RU"/>
        </w:rPr>
      </w:pPr>
      <w:r>
        <w:rPr>
          <w:rFonts w:eastAsia="Courier New"/>
          <w:b/>
          <w:color w:val="000000"/>
          <w:lang w:bidi="ru-RU"/>
        </w:rPr>
        <w:t xml:space="preserve">2.4. Обязанности Исполнителя:</w:t>
      </w:r>
      <w:r>
        <w:rPr>
          <w:rFonts w:eastAsia="Courier New"/>
          <w:b/>
          <w:color w:val="000000"/>
          <w:lang w:bidi="ru-RU"/>
        </w:rPr>
      </w:r>
      <w:r>
        <w:rPr>
          <w:rFonts w:eastAsia="Courier New"/>
          <w:b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2.4.1. Своевременно и надлежащим образом исполнять обязательства в соответствии с условиями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2.4.2. Представить по письменному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2.4.3. Представить Заказчику сведения об изменении своего фактического местонахождения, телефона, факса, электронной почты в течение 1 (одного) рабочего дня с момента изменений, в письменной форме.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2.4.4. По требованию Заказчика своими силами и за свой счет в срок, указанный Заказчиком, устранить выявленные недостатки при оказании услуг.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2.4.5. В случае изменения банковских реквизитов в течение 1 (одного) р</w:t>
      </w:r>
      <w:r>
        <w:rPr>
          <w:rFonts w:eastAsia="Courier New"/>
          <w:color w:val="000000"/>
          <w:lang w:bidi="ru-RU"/>
        </w:rPr>
        <w:t xml:space="preserve">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банковский счет Исполнителя, несет Исполнитель.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Style w:val="1077"/>
        <w:pBdr/>
        <w:spacing/>
        <w:ind w:left="0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1077"/>
        <w:pBdr/>
        <w:spacing/>
        <w:ind w:left="0"/>
        <w:jc w:val="center"/>
        <w:rPr>
          <w:b/>
          <w:color w:val="000000"/>
        </w:rPr>
      </w:pPr>
      <w:r>
        <w:rPr>
          <w:b/>
          <w:color w:val="000000"/>
        </w:rPr>
        <w:t xml:space="preserve">3. ЦЕНА КОНТРАКТА, СРОКИ И ПОРЯДОК РАСЧЕТОВ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1077"/>
        <w:pBdr/>
        <w:spacing/>
        <w:ind w:firstLine="709" w:left="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1077"/>
        <w:pBdr/>
        <w:spacing/>
        <w:ind w:firstLine="600" w:left="0"/>
        <w:jc w:val="both"/>
        <w:rPr>
          <w:highlight w:val="yellow"/>
        </w:rPr>
      </w:pPr>
      <w:r>
        <w:rPr>
          <w:color w:val="000000"/>
        </w:rPr>
        <w:t xml:space="preserve">3.1. Цена Контракта составляет </w:t>
      </w:r>
      <w:r>
        <w:rPr>
          <w:b/>
          <w:bCs/>
          <w:color w:val="000000"/>
        </w:rPr>
        <w:t xml:space="preserve">–</w:t>
      </w:r>
      <w:r>
        <w:rPr>
          <w:b/>
          <w:bCs/>
          <w:color w:val="000000"/>
        </w:rPr>
        <w:t xml:space="preserve"> ________________</w:t>
      </w:r>
      <w:r>
        <w:t xml:space="preserve">, </w:t>
      </w:r>
      <w:r>
        <w:t xml:space="preserve">НДС 22% -</w:t>
      </w:r>
      <w:r>
        <w:t xml:space="preserve"> ________________</w:t>
      </w:r>
      <w:r>
        <w:t xml:space="preserve">, </w:t>
      </w:r>
      <w:r>
        <w:t xml:space="preserve">в соответствии с Приложением №1 к настоящему Контракту</w:t>
      </w:r>
      <w:r>
        <w:rPr>
          <w:color w:val="000000"/>
        </w:rPr>
        <w:t xml:space="preserve">.</w:t>
      </w:r>
      <w:r>
        <w:rPr>
          <w:highlight w:val="yellow"/>
        </w:rPr>
      </w:r>
      <w:r>
        <w:rPr>
          <w:highlight w:val="yellow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3.2. Настоящая цена </w:t>
      </w:r>
      <w:r>
        <w:rPr>
          <w:color w:val="000000"/>
        </w:rPr>
        <w:t xml:space="preserve">Контракта </w:t>
      </w:r>
      <w:r>
        <w:rPr>
          <w:color w:val="000000"/>
        </w:rPr>
        <w:t xml:space="preserve">является твердой и </w:t>
      </w:r>
      <w:r>
        <w:rPr>
          <w:color w:val="000000"/>
        </w:rPr>
        <w:t xml:space="preserve">определяется на весь срок исполнения Контракта, за исключением случаев, предусмотренных статьей 95 Федерального закона от 05.04.2013 № 44–ФЗ «О контрактной системе в сфере закупок товаров, работ, услуг для обеспечения государственных и муниципальных нужд».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3.3. Цена Контракта </w:t>
      </w:r>
      <w:r>
        <w:rPr>
          <w:color w:val="000000"/>
        </w:rPr>
        <w:t xml:space="preserve">включает все расходы Исполнителя</w:t>
      </w:r>
      <w:r>
        <w:rPr>
          <w:color w:val="000000"/>
        </w:rPr>
        <w:t xml:space="preserve"> </w:t>
      </w:r>
      <w:r>
        <w:rPr>
          <w:color w:val="000000"/>
        </w:rPr>
        <w:t xml:space="preserve">(</w:t>
      </w:r>
      <w:r>
        <w:rPr>
          <w:color w:val="000000"/>
        </w:rPr>
        <w:t xml:space="preserve">включая транспортные расходы, страхование, уплату таможенных пошлин, налогов, сборов </w:t>
      </w:r>
      <w:r>
        <w:rPr>
          <w:color w:val="000000"/>
        </w:rPr>
        <w:t xml:space="preserve">и других обязательных платежей), связанные с оказанием услуг.</w:t>
      </w:r>
      <w:r>
        <w:rPr>
          <w:color w:val="000000"/>
        </w:rPr>
      </w:r>
      <w:r>
        <w:rPr>
          <w:color w:val="000000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Цена Контракта может быть снижена по соглашению Сторон без изменения, предусмотренного Контрактом количества и качества оказанных услуг и иных условий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Источник финансирования: </w:t>
      </w:r>
      <w:bookmarkStart w:id="1" w:name="Par69"/>
      <w:r/>
      <w:bookmarkEnd w:id="1"/>
      <w:r>
        <w:rPr>
          <w:rFonts w:eastAsia="Courier New"/>
          <w:color w:val="000000"/>
          <w:lang w:bidi="ru-RU"/>
        </w:rPr>
        <w:t xml:space="preserve">Внебюджетные средства.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Оплата производится по безналичному расчету за фактически оказанные услуги в течение 7 (семи) рабочих дней с даты подписания Заказчиком документа о приемке.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Авансирование Контрактом не предусмотрено. 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Оплата по Контракту осуществляется по безналичному расчету платежными поручениями путем перечисления Заказчиком денежных средств на расчетный сче</w:t>
      </w:r>
      <w:r>
        <w:rPr>
          <w:rFonts w:eastAsia="Courier New"/>
          <w:color w:val="000000"/>
          <w:lang w:bidi="ru-RU"/>
        </w:rPr>
        <w:t xml:space="preserve">т Исполнителя, указанный в Контракте.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</w:t>
      </w:r>
      <w:r>
        <w:rPr>
          <w:rFonts w:eastAsia="Courier New"/>
          <w:color w:val="000000"/>
          <w:lang w:bidi="ru-RU"/>
        </w:rPr>
        <w:t xml:space="preserve">все риски, связанные с перечислением Заказчиком денежных средств на указанный в Контракте счет Исполнителя, несет Исполнитель. 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Bdr/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 w:firstLine="709"/>
        <w:jc w:val="center"/>
        <w:rPr>
          <w:rFonts w:eastAsia="Courier New"/>
          <w:b/>
          <w:bCs/>
          <w:color w:val="000000"/>
          <w:lang w:bidi="ru-RU"/>
        </w:rPr>
      </w:pPr>
      <w:r>
        <w:rPr>
          <w:b/>
          <w:color w:val="000000"/>
        </w:rPr>
        <w:t xml:space="preserve">4. </w:t>
      </w:r>
      <w:r>
        <w:rPr>
          <w:rFonts w:eastAsia="Courier New"/>
          <w:b/>
          <w:bCs/>
          <w:color w:val="000000"/>
          <w:lang w:bidi="ru-RU"/>
        </w:rPr>
        <w:t xml:space="preserve">ПОРЯДОК ОКАЗАНИЯ УСЛУГ</w:t>
      </w:r>
      <w:r>
        <w:rPr>
          <w:rFonts w:eastAsia="Courier New"/>
          <w:b/>
          <w:bCs/>
          <w:color w:val="000000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</w:p>
    <w:p>
      <w:pPr>
        <w:pStyle w:val="1062"/>
        <w:pBdr/>
        <w:spacing/>
        <w:ind w:firstLine="540"/>
        <w:jc w:val="both"/>
        <w:rPr>
          <w:rFonts w:eastAsia="Courier New"/>
          <w:lang w:bidi="ru-RU"/>
        </w:rPr>
      </w:pPr>
      <w:r>
        <w:rPr>
          <w:rFonts w:eastAsia="Courier New"/>
          <w:color w:val="000000"/>
          <w:lang w:bidi="ru-RU"/>
        </w:rPr>
        <w:t xml:space="preserve">4.1. Местом оказания </w:t>
      </w:r>
      <w:r>
        <w:rPr>
          <w:rFonts w:eastAsia="Courier New"/>
          <w:lang w:bidi="ru-RU"/>
        </w:rPr>
        <w:t xml:space="preserve">услуг является: 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rFonts w:eastAsia="Courier New"/>
          <w:lang w:bidi="ru-RU"/>
        </w:rPr>
      </w:r>
      <w:r>
        <w:rPr>
          <w:rFonts w:eastAsia="Courier New"/>
          <w:lang w:bidi="ru-RU"/>
        </w:rPr>
      </w:r>
    </w:p>
    <w:p>
      <w:pPr>
        <w:pStyle w:val="1062"/>
        <w:pBdr/>
        <w:spacing/>
        <w:ind w:firstLine="540"/>
        <w:jc w:val="both"/>
        <w:rPr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- 197739, </w:t>
      </w:r>
      <w:r>
        <w:rPr>
          <w:rFonts w:ascii="Times New Roman" w:hAnsi="Times New Roman" w:cs="Times New Roman"/>
          <w:highlight w:val="white"/>
        </w:rPr>
        <w:t xml:space="preserve">г.Санкт</w:t>
      </w:r>
      <w:r>
        <w:rPr>
          <w:rFonts w:ascii="Times New Roman" w:hAnsi="Times New Roman" w:cs="Times New Roman"/>
          <w:highlight w:val="white"/>
        </w:rPr>
        <w:t xml:space="preserve">-Петербург, пос. Солнечное, ул. Дачная, д 2 </w:t>
      </w:r>
      <w:r>
        <w:rPr>
          <w:rFonts w:ascii="Times New Roman" w:hAnsi="Times New Roman" w:cs="Times New Roman"/>
          <w:highlight w:val="white"/>
        </w:rPr>
        <w:t xml:space="preserve">лит.А</w:t>
      </w:r>
      <w:r>
        <w:rPr>
          <w:highlight w:val="white"/>
        </w:rPr>
      </w:r>
      <w:r>
        <w:rPr>
          <w:highlight w:val="white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4.2. Срок оказания:</w:t>
      </w:r>
      <w:r>
        <w:rPr>
          <w:rFonts w:eastAsia="Courier New"/>
          <w:lang w:bidi="ru-RU"/>
        </w:rPr>
      </w:r>
      <w:r>
        <w:rPr>
          <w:rFonts w:eastAsia="Courier New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-начало оказания услуги – с даты подписания контракта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- оконча</w:t>
      </w:r>
      <w:r>
        <w:rPr>
          <w:rFonts w:eastAsia="Courier New"/>
          <w:color w:val="000000"/>
          <w:lang w:bidi="ru-RU"/>
        </w:rPr>
        <w:t xml:space="preserve">ние оказания услуги – не позднее 10.12.</w:t>
      </w:r>
      <w:r>
        <w:rPr>
          <w:rFonts w:eastAsia="Courier New"/>
          <w:color w:val="000000"/>
          <w:lang w:bidi="ru-RU"/>
        </w:rPr>
        <w:t xml:space="preserve">2026</w:t>
      </w:r>
      <w:r>
        <w:rPr>
          <w:rFonts w:eastAsia="Courier New"/>
          <w:color w:val="000000"/>
          <w:lang w:bidi="ru-RU"/>
        </w:rPr>
        <w:t xml:space="preserve"> года.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4.3. Оказание услуг </w:t>
      </w:r>
      <w:r>
        <w:rPr>
          <w:rFonts w:eastAsia="Courier New"/>
          <w:color w:val="000000"/>
          <w:lang w:bidi="ru-RU"/>
        </w:rPr>
        <w:t xml:space="preserve">осуществляется в соответствии с</w:t>
      </w:r>
      <w:r>
        <w:rPr>
          <w:color w:val="000000"/>
        </w:rPr>
        <w:t xml:space="preserve"> перечнем услуг (Приложение №2)</w:t>
      </w:r>
      <w:r>
        <w:rPr>
          <w:rFonts w:eastAsia="Courier New"/>
          <w:color w:val="000000"/>
          <w:lang w:bidi="ru-RU"/>
        </w:rPr>
        <w:t xml:space="preserve">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Bdr/>
        <w:spacing/>
        <w:ind/>
        <w:contextualSpacing w:val="true"/>
        <w:jc w:val="center"/>
        <w:rPr>
          <w:b/>
          <w:color w:val="000000"/>
        </w:rPr>
      </w:pPr>
      <w:r>
        <w:rPr>
          <w:b/>
          <w:color w:val="000000"/>
          <w:spacing w:val="5"/>
        </w:rPr>
        <w:t xml:space="preserve">5. </w:t>
      </w:r>
      <w:r>
        <w:rPr>
          <w:rFonts w:eastAsia="Courier New"/>
          <w:b/>
          <w:bCs/>
          <w:color w:val="000000"/>
          <w:lang w:bidi="ru-RU"/>
        </w:rPr>
        <w:t xml:space="preserve">ПОРЯДОК ПРИЕМКИ УСЛУГ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5.1. Приемку оказанных услуг на соответствие качества осуществляет </w:t>
      </w:r>
      <w:r>
        <w:t xml:space="preserve">ответственное лицо</w:t>
      </w:r>
      <w:r>
        <w:t xml:space="preserve"> Заказчика.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5.2. </w:t>
      </w:r>
      <w:r>
        <w:t xml:space="preserve">Оказание всего</w:t>
      </w:r>
      <w:r>
        <w:t xml:space="preserve"> перечня </w:t>
      </w:r>
      <w:r>
        <w:t xml:space="preserve">услуг оформляется</w:t>
      </w:r>
      <w:r>
        <w:t xml:space="preserve"> актом оказанных услуг, в котором указываются: </w:t>
      </w:r>
      <w:r/>
    </w:p>
    <w:p>
      <w:pPr>
        <w:widowControl w:val="false"/>
        <w:pBdr/>
        <w:tabs>
          <w:tab w:val="left" w:leader="none" w:pos="9180"/>
        </w:tabs>
        <w:spacing/>
        <w:ind w:firstLine="709" w:left="-36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       -фамилия, имя, отчество и подпись лица, оказавшего услугу;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 w:left="-36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       -фамилия, имя, отчество и подпись лица, принявшего услугу;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 w:left="-36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       -печать учреждения. 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5.3. Для проверки соответствия оказанных услуг условиям Контракта Заказчик обязан провести экспертизу. Экспертиза оказанных услуг может проводиться Заказчиком своими силами или к ее проведению могут привлекаться эксперты, экспертные организации.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5.4. Для проведения экспертизы оказанных услуг Заказчик, эксперты, экспертные организации имеют право запрашивать у Исполнителя дополнительные материалы, относящиеся к условиям исполнения Контракта и отдельным этапам исполнения Контракта.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5.5. По решению Заказчика для приемки оказанных услуг, результатов отдельного этапа исполнения Контракта может создаваться приемочная комиссия.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5.6. Заказчик в течение 5 (пяти) рабочих дней после получения акта сдачи-приемки оказанных </w:t>
      </w:r>
      <w:r>
        <w:rPr>
          <w:rFonts w:eastAsia="Courier New"/>
          <w:bCs/>
          <w:color w:val="000000"/>
          <w:lang w:bidi="ru-RU"/>
        </w:rPr>
        <w:t xml:space="preserve">услуг подписывает его, либо направляет Исполнителю мотивированный отказ от его подписания, с указанием причин отказа. В случае привлечения Заказчиком для проведения экспертизы экспертов, экспертных организаций при принятии решения о приемке или об отказе в</w:t>
      </w:r>
      <w:r>
        <w:rPr>
          <w:rFonts w:eastAsia="Courier New"/>
          <w:bCs/>
          <w:color w:val="000000"/>
          <w:lang w:bidi="ru-RU"/>
        </w:rPr>
        <w:t xml:space="preserve"> приемке результатов отдельного этапа исполнения Контракта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5.7. Датой приемки оказанных услуг считается дата подписания Заказчиком акта сдачи-приемки оказанных услуг.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5.8. Все риски, связанные с оказанием услуг до момента их приемки Заказчиком, несет Исполнитель.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pBdr/>
        <w:tabs>
          <w:tab w:val="left" w:leader="none" w:pos="426"/>
        </w:tabs>
        <w:spacing/>
        <w:ind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left="284"/>
        <w:contextualSpacing w:val="true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6. </w:t>
      </w:r>
      <w:r>
        <w:rPr>
          <w:b/>
          <w:bCs/>
          <w:lang w:eastAsia="ar-SA"/>
        </w:rPr>
        <w:t xml:space="preserve">ОТВЕТСТВЕННОСТЬ СТОРОН</w:t>
      </w:r>
      <w:r>
        <w:rPr>
          <w:b/>
          <w:bCs/>
          <w:lang w:eastAsia="ar-SA"/>
        </w:rPr>
      </w:r>
      <w:r>
        <w:rPr>
          <w:b/>
          <w:bCs/>
          <w:lang w:eastAsia="ar-SA"/>
        </w:rPr>
      </w:r>
    </w:p>
    <w:p>
      <w:pPr>
        <w:pBdr/>
        <w:spacing w:line="276" w:lineRule="auto"/>
        <w:ind w:firstLine="709"/>
        <w:jc w:val="both"/>
        <w:rPr>
          <w:iCs/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.1. </w:t>
      </w:r>
      <w:r>
        <w:rPr>
          <w:iCs/>
          <w:lang w:eastAsia="ar-SA"/>
        </w:rPr>
        <w:t xml:space="preserve">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РФ.</w:t>
      </w:r>
      <w:r>
        <w:rPr>
          <w:iCs/>
          <w:lang w:eastAsia="ar-SA"/>
        </w:rPr>
      </w:r>
      <w:r>
        <w:rPr>
          <w:iCs/>
          <w:lang w:eastAsia="ar-SA"/>
        </w:rPr>
      </w:r>
    </w:p>
    <w:p>
      <w:pPr>
        <w:pBdr/>
        <w:spacing w:line="276" w:lineRule="auto"/>
        <w:ind w:firstLine="709"/>
        <w:jc w:val="both"/>
        <w:rPr>
          <w:iCs/>
          <w:lang w:eastAsia="ar-SA"/>
        </w:rPr>
      </w:pPr>
      <w:r>
        <w:rPr>
          <w:iCs/>
          <w:lang w:eastAsia="ar-SA"/>
        </w:rPr>
        <w:t xml:space="preserve">6</w:t>
      </w:r>
      <w:r>
        <w:rPr>
          <w:iCs/>
          <w:lang w:eastAsia="ar-SA"/>
        </w:rPr>
        <w:t xml:space="preserve">.2. </w:t>
      </w:r>
      <w:r>
        <w:rPr>
          <w:lang w:eastAsia="ar-SA"/>
        </w:rPr>
        <w:t xml:space="preserve">В случае просрочки исполнения Заказчиком обязательств, предусмотренных Договором, Исполнитель вправе потребовать уплаты пеней в размере 1/300 действующей на день</w:t>
      </w:r>
      <w:r>
        <w:rPr>
          <w:lang w:eastAsia="ar-SA"/>
        </w:rPr>
        <w:t xml:space="preserve">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срока исполнения обязательства.</w:t>
      </w:r>
      <w:r>
        <w:rPr>
          <w:iCs/>
          <w:lang w:eastAsia="ar-SA"/>
        </w:rPr>
      </w:r>
      <w:r>
        <w:rPr>
          <w:iCs/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iCs/>
          <w:lang w:eastAsia="ar-SA"/>
        </w:rPr>
        <w:t xml:space="preserve">6</w:t>
      </w:r>
      <w:r>
        <w:rPr>
          <w:iCs/>
          <w:lang w:eastAsia="ar-SA"/>
        </w:rPr>
        <w:t xml:space="preserve">.3. За каждый факт неисполнения Заказчиком обязательств, предусмотренных Договором, за исключением просрочки исполнения обязательств, предусмотренных </w:t>
      </w:r>
      <w:r>
        <w:rPr>
          <w:iCs/>
          <w:lang w:eastAsia="ar-SA"/>
        </w:rPr>
        <w:t xml:space="preserve">Договором, штраф устанавливается в размере 1 000 руб. (Одна тысяча рублей 00 коп.), согласно Постановления Правительства РФ от 30.08.2017г. №1042.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.4. </w:t>
      </w:r>
      <w:r>
        <w:rPr>
          <w:iCs/>
          <w:lang w:eastAsia="ar-SA"/>
        </w:rPr>
        <w:t xml:space="preserve">В слу</w:t>
      </w:r>
      <w:r>
        <w:rPr>
          <w:iCs/>
          <w:lang w:eastAsia="ar-SA"/>
        </w:rPr>
        <w:t xml:space="preserve">чае неисполнения или ненадлежащего исполнения Исполнителем обязательства, предусмотренного Договором, Заказчик направляет Исполнителю требование об уплате неустоек, рассчитанных в порядке установленных Постановлением Правительства РФ от 30.08.2017г. №1042.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.5. </w:t>
      </w:r>
      <w:r>
        <w:rPr>
          <w:iCs/>
          <w:lang w:eastAsia="ar-SA"/>
        </w:rPr>
        <w:t xml:space="preserve">За каждый день просрочки исполнения Исполнителем обязательства, предусмотренного Договором, начисляется пеня </w:t>
      </w:r>
      <w:r>
        <w:rPr>
          <w:iCs/>
          <w:lang w:eastAsia="ar-SA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  <w:r>
        <w:rPr>
          <w:lang w:eastAsia="ar-SA"/>
        </w:rPr>
        <w:t xml:space="preserve"> 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b/>
          <w:iCs/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.6. </w:t>
      </w:r>
      <w:r>
        <w:rPr>
          <w:iCs/>
          <w:lang w:eastAsia="ar-SA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</w:t>
      </w:r>
      <w:r>
        <w:rPr>
          <w:iCs/>
          <w:lang w:eastAsia="ar-SA"/>
        </w:rPr>
        <w:t xml:space="preserve">м просрочки исполнения обязательств (в том числе гарантийного обязательства), предусмотренных Договором, Исполнитель уплачивает Заказчику штраф, согласно Постановления Правительства РФ от 30.08.2017г. №1042, в размере 10% от цены Договора (этапа Договора).</w:t>
      </w:r>
      <w:r>
        <w:rPr>
          <w:b/>
          <w:iCs/>
          <w:lang w:eastAsia="ar-SA"/>
        </w:rPr>
        <w:t xml:space="preserve"> </w:t>
      </w:r>
      <w:r>
        <w:rPr>
          <w:b/>
          <w:iCs/>
          <w:lang w:eastAsia="ar-SA"/>
        </w:rPr>
      </w:r>
      <w:r>
        <w:rPr>
          <w:b/>
          <w:iCs/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iCs/>
          <w:lang w:eastAsia="ar-SA"/>
        </w:rPr>
        <w:t xml:space="preserve">6</w:t>
      </w:r>
      <w:r>
        <w:rPr>
          <w:iCs/>
          <w:lang w:eastAsia="ar-SA"/>
        </w:rPr>
        <w:t xml:space="preserve">.7. За каждый факт неисполнения или ненадлежащего испо</w:t>
      </w:r>
      <w:r>
        <w:rPr>
          <w:iCs/>
          <w:lang w:eastAsia="ar-SA"/>
        </w:rPr>
        <w:t xml:space="preserve">лнения Исполнителем обязательства, предусмотренного Договором, которое не имеет стоимостного выражения, Исполнитель уплачивает Заказчику штраф в размере 1 000 руб. (Одна тысяча рублей 00 коп.), согласно Постановления Правительства РФ от 30.08.2017г. №1042.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.8. В случае неисполнения или ненадлежащего исполнения Исполнителем обязательств по Договору Заказчик вправе произвести оплату по Договору в размер</w:t>
      </w:r>
      <w:r>
        <w:rPr>
          <w:lang w:eastAsia="ar-SA"/>
        </w:rPr>
        <w:t xml:space="preserve">е за вычетом суммы неустойки (штрафа, пени), подлежащей уплате Исполнителем в соответствии с условиями ответственности последнего по Договору. В этом случае оплата по Договору осуществляется на основании документов, указанных в п. 3.4, а также акта в котор</w:t>
      </w:r>
      <w:r>
        <w:rPr>
          <w:lang w:eastAsia="ar-SA"/>
        </w:rPr>
        <w:t xml:space="preserve">ом указываются: сумма, подлежащая оплате в соответствии с условиями Договора: размер неустойки (штрафа, пени), подлежащей взысканию; основания применения и порядок расчета неустойки (штрафа, пени); итоговая сумма, подлежащая оплате Исполнителю по Договору.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.9. Уплата неустойки не освобождает Исполнителя от выполнения лежащих на нем обязательств или устранения нарушений.</w:t>
      </w:r>
      <w:r>
        <w:rPr>
          <w:lang w:eastAsia="ar-SA"/>
        </w:rPr>
      </w:r>
      <w:r>
        <w:rPr>
          <w:lang w:eastAsia="ar-SA"/>
        </w:rPr>
      </w:r>
    </w:p>
    <w:p>
      <w:pPr>
        <w:pBdr/>
        <w:tabs>
          <w:tab w:val="left" w:leader="none" w:pos="426"/>
        </w:tabs>
        <w:spacing/>
        <w:ind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center"/>
        <w:rPr>
          <w:b/>
          <w:color w:val="000000"/>
        </w:rPr>
      </w:pPr>
      <w:r>
        <w:rPr>
          <w:b/>
          <w:color w:val="000000"/>
        </w:rPr>
        <w:t xml:space="preserve">7. </w:t>
      </w:r>
      <w:r>
        <w:rPr>
          <w:rFonts w:eastAsia="Courier New"/>
          <w:b/>
          <w:color w:val="000000"/>
          <w:lang w:bidi="ru-RU"/>
        </w:rPr>
        <w:t xml:space="preserve">ГАРАНТИЙНЫЙ СРОК УСЛУГИ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false"/>
        <w:pBdr/>
        <w:spacing/>
        <w:ind w:firstLine="709"/>
        <w:jc w:val="both"/>
        <w:rPr/>
      </w:pPr>
      <w:r>
        <w:rPr>
          <w:color w:val="000000"/>
          <w:lang w:bidi="ru-RU"/>
        </w:rPr>
        <w:t xml:space="preserve">7.1.</w:t>
      </w:r>
      <w:r>
        <w:rPr>
          <w:b/>
          <w:color w:val="000000"/>
          <w:lang w:bidi="ru-RU"/>
        </w:rPr>
        <w:t xml:space="preserve"> </w:t>
      </w:r>
      <w:r>
        <w:t xml:space="preserve">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7.2. Исполнитель обязуется предоставлять по запросу Заказчика всю необходимую информацию и документы об условиях оказания Услуг.</w:t>
      </w:r>
      <w:r/>
    </w:p>
    <w:p>
      <w:pPr>
        <w:pBdr/>
        <w:tabs>
          <w:tab w:val="left" w:leader="none" w:pos="0"/>
          <w:tab w:val="right" w:leader="none" w:pos="9498"/>
        </w:tabs>
        <w:spacing/>
        <w:ind w:firstLine="600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tabs>
          <w:tab w:val="left" w:leader="none" w:pos="0"/>
          <w:tab w:val="right" w:leader="none" w:pos="9498"/>
        </w:tabs>
        <w:spacing/>
        <w:ind w:left="720"/>
        <w:jc w:val="center"/>
        <w:rPr>
          <w:b/>
          <w:bCs/>
          <w:color w:val="000000"/>
          <w:lang w:bidi="ru-RU"/>
        </w:rPr>
      </w:pPr>
      <w:r>
        <w:rPr>
          <w:b/>
          <w:color w:val="000000"/>
        </w:rPr>
        <w:t xml:space="preserve">8</w:t>
      </w:r>
      <w:r>
        <w:rPr>
          <w:b/>
          <w:color w:val="000000"/>
        </w:rPr>
        <w:t xml:space="preserve">. </w:t>
      </w:r>
      <w:r>
        <w:rPr>
          <w:b/>
          <w:bCs/>
          <w:color w:val="000000"/>
          <w:lang w:bidi="ru-RU"/>
        </w:rPr>
        <w:t xml:space="preserve">СРОК ДЕЙСТВИЯ КОНТРАКТА, ПОРЯДОК ИЗМЕНЕНИЯ И РАСТОРЖЕНИЯ КОНТРАКТА</w:t>
      </w:r>
      <w:r>
        <w:rPr>
          <w:b/>
          <w:bCs/>
          <w:color w:val="000000"/>
          <w:lang w:bidi="ru-RU"/>
        </w:rPr>
      </w:r>
      <w:r>
        <w:rPr>
          <w:b/>
          <w:bCs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8.1. Настоящий Контракт считается заключенным с момента размещения в единой информационной системе в сфере з</w:t>
      </w:r>
      <w:r>
        <w:rPr>
          <w:rFonts w:eastAsia="Courier New"/>
          <w:color w:val="000000"/>
          <w:lang w:bidi="ru-RU"/>
        </w:rPr>
        <w:t xml:space="preserve">акупок и действует до 31</w:t>
      </w:r>
      <w:r>
        <w:rPr>
          <w:rFonts w:eastAsia="Courier New"/>
          <w:color w:val="000000"/>
          <w:lang w:bidi="ru-RU"/>
        </w:rPr>
        <w:t xml:space="preserve">.12.2026</w:t>
      </w:r>
      <w:r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 xml:space="preserve">г.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8.2. Все изменения Контракта должны быть совершены в письменном виде и оформлены дополнительными соглашениями к Контракту.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 w:line="100" w:lineRule="atLeast"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8.3. Контракт, может быть, расторгнут по основаниям в соответствии с гражданским законодательством Российской Федерации.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 w:line="100" w:lineRule="atLeast"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</w:t>
      </w:r>
      <w:r>
        <w:rPr>
          <w:rFonts w:eastAsia="Courier New"/>
          <w:bCs/>
          <w:color w:val="000000"/>
          <w:lang w:bidi="ru-RU"/>
        </w:rPr>
        <w:t xml:space="preserve">определенные статьей 95 Федерального закона о контрактной системе.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alibri"/>
          <w:color w:val="000000"/>
          <w:lang w:eastAsia="en-US" w:bidi="ru-RU"/>
        </w:rPr>
      </w:pPr>
      <w:r>
        <w:rPr>
          <w:rFonts w:eastAsia="Courier New"/>
          <w:bCs/>
          <w:color w:val="000000"/>
          <w:lang w:bidi="ru-RU"/>
        </w:rPr>
        <w:t xml:space="preserve">8.5. </w:t>
      </w:r>
      <w:r>
        <w:rPr>
          <w:rFonts w:eastAsia="Calibri"/>
          <w:color w:val="000000"/>
          <w:lang w:eastAsia="en-US" w:bidi="ru-RU"/>
        </w:rPr>
        <w:t xml:space="preserve">В случае расторжения контракта по основаниям, предусмотренным </w:t>
      </w:r>
      <w:hyperlink r:id="rId14" w:tooltip="consultantplus://offline/ref=E57066D4950B4C4B65D9492E146FFE79801F34D9965456B7D4F94AE81755E43D48460190A1F8D33145633D070D4ECA8408BDB62D44B5F234G7k2P" w:history="1">
        <w:r>
          <w:rPr>
            <w:rFonts w:eastAsia="Calibri"/>
            <w:color w:val="000000"/>
            <w:lang w:eastAsia="en-US" w:bidi="ru-RU"/>
          </w:rPr>
          <w:t xml:space="preserve">частью 8</w:t>
        </w:r>
      </w:hyperlink>
      <w:r>
        <w:rPr>
          <w:rFonts w:eastAsia="Calibri"/>
          <w:color w:val="000000"/>
          <w:lang w:eastAsia="en-US" w:bidi="ru-RU"/>
        </w:rPr>
        <w:t xml:space="preserve"> статьи 95 Закона, заказчик вправе заключить контракт с участником аукциона, с которым в соответствии с Законом заключается контракт при уклонении от заключения контракта, победителя электронного аукциона (за исключением победителя, предусмотренного </w:t>
      </w:r>
      <w:hyperlink r:id="rId15" w:tooltip="consultantplus://offline/ref=E57066D4950B4C4B65D9492E146FFE79801F34D9965456B7D4F94AE81755E43D48460198A6F8DB67112C3C5B4B1CD9860ABDB4285BGBkEP" w:history="1">
        <w:r>
          <w:rPr>
            <w:rFonts w:eastAsia="Calibri"/>
            <w:color w:val="000000"/>
            <w:lang w:eastAsia="en-US" w:bidi="ru-RU"/>
          </w:rPr>
          <w:t xml:space="preserve">частью 14 статьи 83.2</w:t>
        </w:r>
      </w:hyperlink>
      <w:r>
        <w:rPr>
          <w:rFonts w:eastAsia="Calibri"/>
          <w:color w:val="000000"/>
          <w:lang w:eastAsia="en-US" w:bidi="ru-RU"/>
        </w:rPr>
        <w:t xml:space="preserve"> Закона) и при условии согласия такого участника аукциона заключить контракт. Указанный контракт заключается с соблюдением условий, предусмотренных </w:t>
      </w:r>
      <w:hyperlink r:id="rId16" w:tooltip="consultantplus://offline/ref=E57066D4950B4C4B65D9492E146FFE79801F34D9965456B7D4F94AE81755E43D48460190A3F9D73814392D034419C0980FA6A82A5AB6GFkBP" w:history="1">
        <w:r>
          <w:rPr>
            <w:rFonts w:eastAsia="Calibri"/>
            <w:color w:val="000000"/>
            <w:lang w:eastAsia="en-US" w:bidi="ru-RU"/>
          </w:rPr>
          <w:t xml:space="preserve">частью 1 статьи 34</w:t>
        </w:r>
      </w:hyperlink>
      <w:r>
        <w:rPr>
          <w:rFonts w:eastAsia="Calibri"/>
          <w:color w:val="000000"/>
          <w:lang w:eastAsia="en-US" w:bidi="ru-RU"/>
        </w:rPr>
        <w:t xml:space="preserve"> Закона с учетом положений </w:t>
      </w:r>
      <w:hyperlink r:id="rId17" w:tooltip="consultantplus://offline/ref=E57066D4950B4C4B65D9492E146FFE79801F34D9965456B7D4F94AE81755E43D48460190A1F8D33045633D070D4ECA8408BDB62D44B5F234G7k2P" w:history="1">
        <w:r>
          <w:rPr>
            <w:rFonts w:eastAsia="Calibri"/>
            <w:color w:val="000000"/>
            <w:lang w:eastAsia="en-US" w:bidi="ru-RU"/>
          </w:rPr>
          <w:t xml:space="preserve">части 18</w:t>
        </w:r>
      </w:hyperlink>
      <w:r>
        <w:rPr>
          <w:rFonts w:eastAsia="Calibri"/>
          <w:color w:val="000000"/>
          <w:lang w:eastAsia="en-US" w:bidi="ru-RU"/>
        </w:rPr>
        <w:t xml:space="preserve"> статьи 95 Закона, и после предоставления в соответствии Законом участни</w:t>
      </w:r>
      <w:r>
        <w:rPr>
          <w:rFonts w:eastAsia="Calibri"/>
          <w:color w:val="000000"/>
          <w:lang w:eastAsia="en-US" w:bidi="ru-RU"/>
        </w:rPr>
        <w:t xml:space="preserve">ком аукциона обеспечения исполнения контракта, если требование обеспечения исполнения контракта предусмотрено извещением об осуществлении закупки и (или) документацией об аукционе. При этом при расторжении контракта (за исключением контракта, указанного в </w:t>
      </w:r>
      <w:hyperlink r:id="rId18" w:tooltip="consultantplus://offline/ref=E57066D4950B4C4B65D9492E146FFE79801F34D9965456B7D4F94AE81755E43D48460190A3F8D53814392D034419C0980FA6A82A5AB6GFkBP" w:history="1">
        <w:r>
          <w:rPr>
            <w:rFonts w:eastAsia="Calibri"/>
            <w:color w:val="000000"/>
            <w:lang w:eastAsia="en-US" w:bidi="ru-RU"/>
          </w:rPr>
          <w:t xml:space="preserve">части 9 статьи 37</w:t>
        </w:r>
      </w:hyperlink>
      <w:r>
        <w:rPr>
          <w:rFonts w:eastAsia="Calibri"/>
          <w:color w:val="000000"/>
          <w:lang w:eastAsia="en-US" w:bidi="ru-RU"/>
        </w:rPr>
        <w:t xml:space="preserve"> Закона) в связи с односторонним отказом заказчика от исполнения контракта заключение контракта допускается в случае, если в связи с таким расторжением в соответствии с </w:t>
      </w:r>
      <w:hyperlink r:id="rId19" w:tooltip="consultantplus://offline/ref=E57066D4950B4C4B65D9492E146FFE79801F34D9965456B7D4F94AE81755E43D48460190A0FFD23814392D034419C0980FA6A82A5AB6GFkBP" w:history="1">
        <w:r>
          <w:rPr>
            <w:rFonts w:eastAsia="Calibri"/>
            <w:color w:val="000000"/>
            <w:lang w:eastAsia="en-US" w:bidi="ru-RU"/>
          </w:rPr>
          <w:t xml:space="preserve">частью 7 статьи 104</w:t>
        </w:r>
      </w:hyperlink>
      <w:r>
        <w:rPr>
          <w:rFonts w:eastAsia="Calibri"/>
          <w:color w:val="000000"/>
          <w:lang w:eastAsia="en-US" w:bidi="ru-RU"/>
        </w:rPr>
        <w:t xml:space="preserve"> Закона принято решение о включении информации о поставщике (подрядчике, исполнителе), с которым расторгнут контракт, в реестр недобросовестных поставщиков (подрядчиков, исполнителей).</w:t>
      </w:r>
      <w:r>
        <w:rPr>
          <w:rFonts w:eastAsia="Calibri"/>
          <w:color w:val="000000"/>
          <w:lang w:eastAsia="en-US" w:bidi="ru-RU"/>
        </w:rPr>
      </w:r>
      <w:r>
        <w:rPr>
          <w:rFonts w:eastAsia="Calibri"/>
          <w:color w:val="000000"/>
          <w:lang w:eastAsia="en-US" w:bidi="ru-RU"/>
        </w:rPr>
      </w:r>
    </w:p>
    <w:p>
      <w:pPr>
        <w:widowControl w:val="false"/>
        <w:pBdr/>
        <w:spacing w:line="100" w:lineRule="atLeast"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8.6. </w:t>
      </w:r>
      <w:r>
        <w:rPr>
          <w:rFonts w:eastAsia="Courier New"/>
          <w:color w:val="000000"/>
          <w:lang w:bidi="ru-RU"/>
        </w:rPr>
        <w:t xml:space="preserve">З</w:t>
      </w:r>
      <w:r>
        <w:rPr>
          <w:rFonts w:eastAsia="Courier New"/>
          <w:color w:val="000000"/>
          <w:lang w:bidi="ru-RU"/>
        </w:rPr>
        <w:t xml:space="preserve">аказчик обязан принять решение об одностороннем отказе от исполнения Контракта, если в ходе исполнения контракта установлено, что Исполнитель и (или) поставляемый товар не соответствуют установленным извещением об осуществлении закупки и (или) документацие</w:t>
      </w:r>
      <w:r>
        <w:rPr>
          <w:rFonts w:eastAsia="Courier New"/>
          <w:color w:val="000000"/>
          <w:lang w:bidi="ru-RU"/>
        </w:rPr>
        <w:t xml:space="preserve">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Исполнителя.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8.7. В случае расторжения настоящего Контракта по соглашению Сторон Стороны подписывают акт сверки расчетов, отображающий расчеты Сторон за период исполнения Контракта до момента его расторжения, а также объем услуг, фактически оказанных Заказчику.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8.8. Расторжение контракта влечет за собой прекращение обязательств Сторон по нему, но не освобождает от ответственности за неисполнение контрактных обязательств, которые имели место до расторжения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8.9. Изменение существенных условий Контракта при его исполнении допускается в случаях, предусмотренных пунктом 6 статьи 161 Бюджетного кодекса Российской Федерации, при уменьшении ранее доведенных до Заказчика как получ</w:t>
      </w:r>
      <w:r>
        <w:rPr>
          <w:rFonts w:eastAsia="Courier New"/>
          <w:color w:val="000000"/>
          <w:lang w:bidi="ru-RU"/>
        </w:rPr>
        <w:t xml:space="preserve">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предусмотренного Контрактом.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Bdr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/>
        <w:ind/>
        <w:jc w:val="center"/>
        <w:rPr>
          <w:b/>
          <w:bCs/>
          <w:color w:val="000000"/>
          <w:lang w:bidi="ru-RU"/>
        </w:rPr>
      </w:pPr>
      <w:r>
        <w:rPr>
          <w:b/>
          <w:color w:val="000000"/>
        </w:rPr>
        <w:t xml:space="preserve">9</w:t>
      </w:r>
      <w:r>
        <w:rPr>
          <w:b/>
          <w:color w:val="000000"/>
        </w:rPr>
        <w:t xml:space="preserve">. </w:t>
      </w:r>
      <w:r>
        <w:rPr>
          <w:b/>
          <w:bCs/>
          <w:color w:val="000000"/>
          <w:lang w:bidi="ru-RU"/>
        </w:rPr>
        <w:t xml:space="preserve">АНТИКОРРУПЦИОННЫЕ УСЛОВИЯ</w:t>
      </w:r>
      <w:r>
        <w:rPr>
          <w:b/>
          <w:bCs/>
          <w:color w:val="000000"/>
          <w:lang w:bidi="ru-RU"/>
        </w:rPr>
      </w:r>
      <w:r>
        <w:rPr>
          <w:b/>
          <w:bCs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</w:t>
      </w:r>
      <w:r>
        <w:rPr>
          <w:rFonts w:eastAsia="Courier New"/>
          <w:color w:val="000000"/>
          <w:lang w:bidi="ru-RU"/>
        </w:rPr>
        <w:t xml:space="preserve">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платить или предлагать уплатить денежные средства или предоставить иные ценности, безвозмездно выполнить р</w:t>
      </w:r>
      <w:r>
        <w:rPr>
          <w:rFonts w:eastAsia="Courier New"/>
          <w:color w:val="000000"/>
          <w:lang w:bidi="ru-RU"/>
        </w:rPr>
        <w:t xml:space="preserve">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не совершать иных действий, нарушающих антикоррупционное законодательство </w:t>
      </w:r>
      <w:r>
        <w:rPr>
          <w:rFonts w:eastAsia="Courier New"/>
          <w:color w:val="000000"/>
          <w:lang w:bidi="ru-RU"/>
        </w:rPr>
        <w:t xml:space="preserve">Российской Федерации.</w:t>
      </w:r>
      <w:r>
        <w:rPr>
          <w:rFonts w:eastAsia="Courier New"/>
          <w:b/>
          <w:bCs/>
          <w:color w:val="000000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</w:p>
    <w:p>
      <w:pPr>
        <w:pStyle w:val="1075"/>
        <w:pBdr/>
        <w:spacing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pStyle w:val="1075"/>
        <w:pBdr/>
        <w:spacing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ОБСТОЯТЕЛЬСТВА НЕПРЕОДОЛИМОЙ СИЛЫ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.1. Стороны освобождаются от ответственности за ча</w:t>
      </w:r>
      <w:r>
        <w:rPr>
          <w:color w:val="000000"/>
        </w:rPr>
        <w:t xml:space="preserve">стичное или полное неисполнение обязательств, если такое неисполнение является следствием действия непреодолимой силы и их  последствий: землетрясение, наводнение, пожар, ураган, смерч, сильные снежные заносы, гололед и гололедица, другие признанные официа</w:t>
      </w:r>
      <w:r>
        <w:rPr>
          <w:color w:val="000000"/>
        </w:rPr>
        <w:t xml:space="preserve">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.2. В случае действия обстоятельств непреодолимой силы срок исполнения настоящего контракта сторонами отодвигается соразмерно времени, в течение которого действуют обстоятельства непреодолимой силы и их последствия.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.3.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контракту.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.5. Если обстоятельства и их последствия будут длиться более 1 (одного) месяца, то стороны расторгают Контракт. В этом случае ни одна из сторон не имеет права потребовать от другой стороны возмещения убытков.</w:t>
      </w:r>
      <w:r>
        <w:rPr>
          <w:color w:val="000000"/>
        </w:rPr>
      </w:r>
      <w:r>
        <w:rPr>
          <w:color w:val="000000"/>
        </w:rPr>
      </w:r>
    </w:p>
    <w:p>
      <w:pPr>
        <w:pBdr/>
        <w:shd w:val="clear" w:color="auto" w:fill="ffffff"/>
        <w:tabs>
          <w:tab w:val="left" w:leader="none" w:pos="1445"/>
        </w:tabs>
        <w:spacing/>
        <w:ind w:firstLine="600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Style w:val="1079"/>
        <w:numPr>
          <w:ilvl w:val="0"/>
          <w:numId w:val="14"/>
        </w:numPr>
        <w:pBdr/>
        <w:tabs>
          <w:tab w:val="left" w:leader="none" w:pos="702"/>
        </w:tabs>
        <w:spacing w:after="0"/>
        <w:ind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РАЗРЕШЕНИЕ СПОРОВ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.1. В случае возникновения любых противоречий, прет</w:t>
      </w:r>
      <w:r>
        <w:rPr>
          <w:rFonts w:eastAsia="Calibri"/>
          <w:color w:val="000000"/>
          <w:lang w:eastAsia="en-US"/>
        </w:rPr>
        <w:t xml:space="preserve">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.2. Рассмотрение претензий Сторон осуществляется в порядке, установленном законодательством Российской Федерации.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.4. Претензия предъявляется в письменной форме и подлежит регистрации в день ее поступления. К претензии </w:t>
      </w:r>
      <w:r>
        <w:rPr>
          <w:rFonts w:eastAsia="Calibri"/>
          <w:color w:val="000000"/>
          <w:lang w:eastAsia="en-US"/>
        </w:rPr>
        <w:t xml:space="preserve">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shd w:val="clear" w:color="auto" w:fill="ffffff"/>
        <w:tabs>
          <w:tab w:val="left" w:leader="none" w:pos="0"/>
        </w:tabs>
        <w:spacing/>
        <w:ind w:firstLine="600"/>
        <w:jc w:val="both"/>
        <w:rPr>
          <w:b/>
          <w:color w:val="000000"/>
          <w:spacing w:val="-1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</w:t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Bdr/>
        <w:shd w:val="clear" w:color="auto" w:fill="ffffff"/>
        <w:tabs>
          <w:tab w:val="left" w:leader="none" w:pos="1445"/>
        </w:tabs>
        <w:spacing/>
        <w:ind w:firstLine="600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Bdr/>
        <w:shd w:val="clear" w:color="auto" w:fill="ffffff"/>
        <w:tabs>
          <w:tab w:val="left" w:leader="none" w:pos="1445"/>
        </w:tabs>
        <w:spacing/>
        <w:ind w:firstLine="600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1</w:t>
      </w:r>
      <w:r>
        <w:rPr>
          <w:b/>
          <w:color w:val="000000"/>
          <w:spacing w:val="-1"/>
        </w:rPr>
        <w:t xml:space="preserve">2</w:t>
      </w:r>
      <w:r>
        <w:rPr>
          <w:b/>
          <w:color w:val="000000"/>
          <w:spacing w:val="-1"/>
        </w:rPr>
        <w:t xml:space="preserve">. ПРОЧИЕ УСЛОВИЯ</w:t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.1. Споры, возникающие при исполнении Контракта, могут быть переданы</w:t>
      </w:r>
      <w:r>
        <w:rPr>
          <w:color w:val="000000"/>
        </w:rPr>
        <w:br/>
        <w:t xml:space="preserve">на рассмотрение в Арбитражный суд города Санкт-Петербурга и Ленинградской области.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.2. По всем вопросам, не урегулированным Контрактом, Стороны руководствуются действующим законодательством. В случае противоречия условий Контракта положением законов и иных правовых актов подлежит применению Закон или иной правовой акт.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.3. Настоящий Контракт подлежит включению в Реестр контрактов.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.4. При исполнении настоящего контракта не допускается перемена</w:t>
      </w:r>
      <w:r>
        <w:rPr>
          <w:color w:val="000000"/>
        </w:rPr>
        <w:t xml:space="preserve"> Исполнителя</w:t>
      </w:r>
      <w:r>
        <w:rPr>
          <w:color w:val="000000"/>
        </w:rPr>
        <w:t xml:space="preserve">, в том числе путем уступки прав и перевода долга по контракту, за исключением случаев реорганизации </w:t>
      </w:r>
      <w:r>
        <w:rPr>
          <w:color w:val="000000"/>
        </w:rPr>
        <w:t xml:space="preserve">Исполнителя </w:t>
      </w:r>
      <w:r>
        <w:rPr>
          <w:color w:val="000000"/>
        </w:rPr>
        <w:t xml:space="preserve">в форме преобразования, слияния или присоединения.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.5. В случае реорганизации одной из Сторон как юридического лица, все права и обязанности по настоящему Контракту не прекращаются, а переходят к его правопреемнику.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.6. При изменении юридического адреса, банковских реквизитов, а также в случае реорганизации, Стороны обязаны незамедлительно уведомить об этом друг друга.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360"/>
          <w:tab w:val="num" w:leader="none" w:pos="900"/>
        </w:tabs>
        <w:spacing w:line="276" w:lineRule="auto"/>
        <w:ind w:firstLine="567"/>
        <w:jc w:val="both"/>
        <w:rPr/>
      </w:pPr>
      <w:r>
        <w:rPr>
          <w:lang w:eastAsia="ar-SA"/>
        </w:rPr>
        <w:t xml:space="preserve"> 12.7. </w:t>
      </w:r>
      <w:r>
        <w:t xml:space="preserve">Действие настоящего </w:t>
      </w:r>
      <w:r>
        <w:t xml:space="preserve">Контракта</w:t>
      </w:r>
      <w:r>
        <w:t xml:space="preserve"> прерывается на срок проведения Управлением Роспотребнадзора по городу Санкт-Петербургу (территориальным отделом) выездной проверки Заказчика (плановой либо внеплановой).  Период прерывания </w:t>
      </w:r>
      <w:r>
        <w:t xml:space="preserve">Контракта</w:t>
      </w:r>
      <w:r>
        <w:t xml:space="preserve"> определяется датами проведения провер</w:t>
      </w:r>
      <w:r>
        <w:t xml:space="preserve">о</w:t>
      </w:r>
      <w:r>
        <w:t xml:space="preserve">к, указанными в распоряжении Управления Роспотребнадзора (территориального отдела). </w:t>
      </w:r>
      <w:r>
        <w:t xml:space="preserve">Контракт</w:t>
      </w:r>
      <w:r>
        <w:t xml:space="preserve"> прерывается автоматически, подписания Сторонами дополнительного соглашения не требуется. Действие </w:t>
      </w:r>
      <w:r>
        <w:t xml:space="preserve">Контракта</w:t>
      </w:r>
      <w: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 </w:t>
      </w:r>
      <w:r/>
    </w:p>
    <w:p>
      <w:pPr>
        <w:widowControl w:val="false"/>
        <w:pBdr/>
        <w:spacing w:line="276" w:lineRule="auto"/>
        <w:ind/>
        <w:jc w:val="both"/>
        <w:rPr>
          <w:lang w:eastAsia="ar-SA"/>
        </w:rPr>
      </w:pPr>
      <w:r>
        <w:t xml:space="preserve">      </w:t>
      </w:r>
      <w:r>
        <w:t xml:space="preserve">      12.8. </w:t>
      </w:r>
      <w:r>
        <w:rPr>
          <w:lang w:eastAsia="ar-SA"/>
        </w:rPr>
        <w:t xml:space="preserve">Все сведения, ставшие известными Испол</w:t>
      </w:r>
      <w:r>
        <w:rPr>
          <w:lang w:eastAsia="ar-SA"/>
        </w:rPr>
        <w:t xml:space="preserve">нителю в ходе исполнения Контракта</w:t>
      </w:r>
      <w:r>
        <w:rPr>
          <w:lang w:eastAsia="ar-SA"/>
        </w:rPr>
        <w:t xml:space="preserve">, являются конфиденциальными. Действие условия о конфиденциальности не распространяется на передачу информации органам </w:t>
      </w:r>
      <w:r>
        <w:rPr>
          <w:lang w:eastAsia="ar-SA"/>
        </w:rPr>
        <w:t xml:space="preserve">Роспотребнадзора</w:t>
      </w:r>
      <w:r>
        <w:rPr>
          <w:lang w:eastAsia="ar-SA"/>
        </w:rPr>
        <w:t xml:space="preserve">, </w:t>
      </w:r>
      <w:r>
        <w:rPr>
          <w:lang w:eastAsia="ar-SA"/>
        </w:rPr>
        <w:t xml:space="preserve">Росаккредитации</w:t>
      </w:r>
      <w:r>
        <w:rPr>
          <w:lang w:eastAsia="ar-SA"/>
        </w:rPr>
        <w:t xml:space="preserve">, иным государственным органам, уполномоченным законом на получение указанной информации. Информация, полученная в ходе оказа</w:t>
      </w:r>
      <w:r>
        <w:rPr>
          <w:lang w:eastAsia="ar-SA"/>
        </w:rPr>
        <w:t xml:space="preserve">ния услуг по настоящему Контракту</w:t>
      </w:r>
      <w:r>
        <w:rPr>
          <w:lang w:eastAsia="ar-SA"/>
        </w:rPr>
        <w:t xml:space="preserve"> об обстоятельствах, представляющих угрозу для здоровья человека, может быть самостоятельно передана </w:t>
      </w:r>
      <w:r>
        <w:rPr>
          <w:lang w:eastAsia="ar-SA"/>
        </w:rPr>
        <w:t xml:space="preserve">Исполнителем в</w:t>
      </w:r>
      <w:r>
        <w:rPr>
          <w:lang w:eastAsia="ar-SA"/>
        </w:rPr>
        <w:t xml:space="preserve"> органы Роспотребнадзора.</w:t>
      </w:r>
      <w:r>
        <w:rPr>
          <w:lang w:eastAsia="ar-SA"/>
        </w:rPr>
      </w:r>
      <w:r>
        <w:rPr>
          <w:lang w:eastAsia="ar-SA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    </w:t>
      </w: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.9</w:t>
      </w:r>
      <w:r>
        <w:rPr>
          <w:color w:val="000000"/>
        </w:rPr>
        <w:t xml:space="preserve">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</w:t>
      </w:r>
      <w:r>
        <w:rPr>
          <w:color w:val="000000"/>
        </w:rPr>
        <w:t xml:space="preserve">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0"/>
          <w:tab w:val="right" w:leader="none" w:pos="9498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tabs>
          <w:tab w:val="left" w:leader="none" w:pos="0"/>
          <w:tab w:val="right" w:leader="none" w:pos="9498"/>
        </w:tabs>
        <w:spacing/>
        <w:ind w:firstLine="600"/>
        <w:jc w:val="center"/>
        <w:rPr>
          <w:b/>
          <w:color w:val="000000"/>
        </w:rPr>
      </w:pPr>
      <w:r>
        <w:rPr>
          <w:b/>
          <w:color w:val="000000"/>
        </w:rPr>
        <w:t xml:space="preserve">1</w:t>
      </w:r>
      <w:r>
        <w:rPr>
          <w:b/>
          <w:color w:val="000000"/>
        </w:rPr>
        <w:t xml:space="preserve">3</w:t>
      </w:r>
      <w:r>
        <w:rPr>
          <w:b/>
          <w:color w:val="000000"/>
        </w:rPr>
        <w:t xml:space="preserve">. ПРИЛОЖЕНИЕ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hd w:val="clear" w:color="auto" w:fill="ffffff"/>
        <w:spacing/>
        <w:ind w:firstLine="600"/>
        <w:jc w:val="both"/>
        <w:rPr>
          <w:rFonts w:eastAsia="Courier New"/>
          <w:color w:val="000000"/>
          <w:highlight w:val="none"/>
          <w:lang w:bidi="ru-RU"/>
        </w:rPr>
      </w:pPr>
      <w:r>
        <w:rPr>
          <w:color w:val="000000"/>
        </w:rPr>
        <w:t xml:space="preserve">       </w:t>
      </w:r>
      <w:r>
        <w:rPr>
          <w:color w:val="000000"/>
        </w:rPr>
        <w:t xml:space="preserve">1</w:t>
      </w:r>
      <w:r>
        <w:rPr>
          <w:color w:val="000000"/>
        </w:rPr>
        <w:t xml:space="preserve">3</w:t>
      </w:r>
      <w:r>
        <w:rPr>
          <w:color w:val="000000"/>
        </w:rPr>
        <w:t xml:space="preserve">.1. Приложение № 1</w:t>
      </w:r>
      <w:r>
        <w:rPr>
          <w:color w:val="000000"/>
        </w:rPr>
        <w:t xml:space="preserve"> </w:t>
      </w:r>
      <w:r>
        <w:rPr>
          <w:color w:val="000000"/>
        </w:rPr>
        <w:t xml:space="preserve">–</w:t>
      </w:r>
      <w:r>
        <w:rPr>
          <w:rFonts w:eastAsia="Courier New"/>
          <w:color w:val="000000"/>
          <w:lang w:bidi="ru-RU"/>
        </w:rPr>
        <w:t xml:space="preserve"> Спецификация</w:t>
      </w:r>
      <w:r>
        <w:rPr>
          <w:rFonts w:eastAsia="Courier New"/>
          <w:color w:val="000000"/>
          <w:highlight w:val="none"/>
          <w:lang w:bidi="ru-RU"/>
        </w:rPr>
      </w:r>
      <w:r>
        <w:rPr>
          <w:rFonts w:eastAsia="Courier New"/>
          <w:color w:val="000000"/>
          <w:highlight w:val="none"/>
          <w:lang w:bidi="ru-RU"/>
        </w:rPr>
      </w:r>
    </w:p>
    <w:p>
      <w:pPr>
        <w:pBdr/>
        <w:shd w:val="clear" w:color="auto" w:fill="ffffff"/>
        <w:spacing/>
        <w:ind w:firstLine="60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highlight w:val="none"/>
          <w:lang w:bidi="ru-RU"/>
        </w:rPr>
        <w:t xml:space="preserve">       13.2. </w:t>
      </w:r>
      <w:r>
        <w:rPr>
          <w:rFonts w:cs="Times New Roman"/>
        </w:rPr>
        <w:t xml:space="preserve">Приложение № 2 – Перечень услуг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600"/>
        <w:jc w:val="both"/>
        <w:rPr>
          <w:rFonts w:eastAsia="Courier New"/>
          <w:color w:val="000000"/>
          <w:spacing w:val="-2"/>
          <w:lang w:bidi="ru-RU"/>
        </w:rPr>
      </w:pPr>
      <w:r>
        <w:rPr>
          <w:rFonts w:eastAsia="Courier New"/>
          <w:color w:val="000000"/>
          <w:lang w:bidi="ru-RU"/>
        </w:rPr>
        <w:t xml:space="preserve">       </w:t>
      </w:r>
      <w:r>
        <w:rPr>
          <w:rFonts w:eastAsia="Courier New"/>
          <w:color w:val="000000"/>
          <w:lang w:bidi="ru-RU"/>
        </w:rPr>
        <w:t xml:space="preserve">Приложения к контракту является его неотъемлемой частью. </w:t>
      </w:r>
      <w:r>
        <w:rPr>
          <w:rFonts w:eastAsia="Courier New"/>
          <w:color w:val="000000"/>
          <w:spacing w:val="-2"/>
          <w:lang w:bidi="ru-RU"/>
        </w:rPr>
      </w:r>
      <w:r>
        <w:rPr>
          <w:rFonts w:eastAsia="Courier New"/>
          <w:color w:val="000000"/>
          <w:spacing w:val="-2"/>
          <w:lang w:bidi="ru-RU"/>
        </w:rPr>
      </w:r>
    </w:p>
    <w:p>
      <w:pPr>
        <w:pBdr/>
        <w:shd w:val="clear" w:color="auto" w:fill="ffffff"/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hd w:val="clear" w:color="auto" w:fill="ffffff"/>
        <w:spacing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 xml:space="preserve">1</w:t>
      </w:r>
      <w:r>
        <w:rPr>
          <w:b/>
          <w:color w:val="000000"/>
        </w:rPr>
        <w:t xml:space="preserve">4</w:t>
      </w:r>
      <w:r>
        <w:rPr>
          <w:b/>
          <w:color w:val="000000"/>
        </w:rPr>
        <w:t xml:space="preserve">. АДРЕСА, БАНКОВСКИЕ РЕКВИЗИТЫ, ПОДПИСИ СТОРОН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tblW w:w="10173" w:type="dxa"/>
        <w:tblBorders/>
        <w:tblLayout w:type="fixed"/>
        <w:tblLook w:val="0000" w:firstRow="0" w:lastRow="0" w:firstColumn="0" w:lastColumn="0" w:noHBand="0" w:noVBand="0"/>
      </w:tblPr>
      <w:tblGrid>
        <w:gridCol w:w="4928"/>
        <w:gridCol w:w="5245"/>
      </w:tblGrid>
      <w:tr>
        <w:trPr>
          <w:trHeight w:val="93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8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14.1. ЗАКАЗЧИК: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 w14:paraId="7DB7350A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ГБДОУ детский сад № 20 Приморского района Санкт-Петербурга</w:t>
            </w:r>
            <w:r/>
          </w:p>
          <w:p w14:paraId="01F3D2AC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 w14:paraId="071FA8F6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ИНН/КПП 7814046825/781401001</w:t>
            </w:r>
            <w:r/>
          </w:p>
          <w:p w14:paraId="2AF71058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/>
          </w:p>
          <w:p w14:paraId="0AC8484E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/>
          </w:p>
          <w:p w14:paraId="78E844B1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/>
          </w:p>
          <w:p w14:paraId="2E58EBB8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/>
          </w:p>
          <w:p w14:paraId="78F49D5C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/>
          </w:p>
          <w:p w14:paraId="6B92EA7A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/>
          </w:p>
          <w:p w14:paraId="7E8AA6DB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ул.Дибуновская, д.10, лит.А</w:t>
            </w:r>
            <w:r/>
          </w:p>
          <w:p w14:paraId="607AF1EA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Телефон:  (812) 246-37-60</w:t>
            </w:r>
            <w:r/>
          </w:p>
          <w:p w14:paraId="5B09FD8B">
            <w:pPr>
              <w:pStyle w:val="1104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E-mail: primdou-20@mail.ru</w:t>
            </w:r>
            <w:r/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Заведующий ГБДОУ д/с № 20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Приморского района Санкт-Петербурга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________________________</w:t>
            </w:r>
            <w:r>
              <w:rPr>
                <w:b w:val="0"/>
                <w:bCs w:val="0"/>
                <w:sz w:val="22"/>
                <w:szCs w:val="22"/>
              </w:rPr>
              <w:t xml:space="preserve">Ю.В.Скорбящева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(Подписано ЭЦП)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contextualSpacing w:val="tru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14.2. ИСПОЛНИТЕЛЬ: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________________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Подписано ЭЦП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contextualSpacing w:val="tru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Bdr/>
        <w:spacing/>
        <w:ind w:firstLine="5103"/>
        <w:outlineLvl w:val="0"/>
        <w:rPr>
          <w:color w:val="000000"/>
          <w:sz w:val="28"/>
          <w:szCs w:val="28"/>
        </w:rPr>
        <w:sectPr>
          <w:headerReference w:type="default" r:id="rId9"/>
          <w:footerReference w:type="default" r:id="rId11"/>
          <w:footerReference w:type="first" r:id="rId12"/>
          <w:footnotePr/>
          <w:endnotePr/>
          <w:type w:val="nextPage"/>
          <w:pgSz w:h="16838" w:orient="portrait" w:w="11906"/>
          <w:pgMar w:top="680" w:right="851" w:bottom="709" w:left="1418" w:header="539" w:footer="584" w:gutter="0"/>
          <w:cols w:num="1" w:sep="0" w:space="720" w:equalWidth="1"/>
        </w:sect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 w:firstLine="5103"/>
        <w:jc w:val="right"/>
        <w:outlineLvl w:val="0"/>
        <w:rPr>
          <w:color w:val="000000"/>
        </w:rPr>
      </w:pPr>
      <w:r>
        <w:rPr>
          <w:color w:val="000000"/>
        </w:rPr>
        <w:t xml:space="preserve">Приложение № 1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right"/>
        <w:outlineLvl w:val="0"/>
        <w:rPr>
          <w:bCs/>
          <w:color w:val="000000"/>
        </w:rPr>
      </w:pPr>
      <w:r>
        <w:rPr>
          <w:color w:val="000000"/>
        </w:rPr>
        <w:t xml:space="preserve">  </w:t>
      </w:r>
      <w:r>
        <w:rPr>
          <w:color w:val="000000"/>
        </w:rPr>
        <w:t xml:space="preserve">к Контракту </w:t>
      </w:r>
      <w:r>
        <w:rPr>
          <w:bCs/>
          <w:color w:val="000000"/>
        </w:rPr>
        <w:t xml:space="preserve">№</w:t>
      </w:r>
      <w:r>
        <w:rPr>
          <w:bCs/>
          <w:color w:val="000000"/>
        </w:rPr>
        <w:t xml:space="preserve"> ____</w:t>
      </w:r>
      <w:r>
        <w:rPr>
          <w:bCs/>
          <w:color w:val="000000"/>
        </w:rPr>
        <w:t xml:space="preserve">  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pacing/>
        <w:ind w:firstLine="3828"/>
        <w:jc w:val="right"/>
        <w:outlineLvl w:val="0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от</w:t>
      </w:r>
      <w:r>
        <w:rPr>
          <w:color w:val="000000"/>
        </w:rPr>
        <w:t xml:space="preserve"> «__</w:t>
      </w:r>
      <w:r>
        <w:rPr>
          <w:color w:val="000000"/>
        </w:rPr>
        <w:t xml:space="preserve">» ____</w:t>
      </w:r>
      <w:r>
        <w:rPr>
          <w:color w:val="000000"/>
        </w:rPr>
        <w:t xml:space="preserve"> </w:t>
      </w:r>
      <w:r>
        <w:rPr>
          <w:color w:val="000000"/>
        </w:rPr>
        <w:t xml:space="preserve">2026</w:t>
      </w:r>
      <w:r>
        <w:rPr>
          <w:color w:val="000000"/>
        </w:rPr>
        <w:t xml:space="preserve"> г.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/>
        <w:jc w:val="center"/>
        <w:rPr>
          <w:rFonts w:eastAsia="Courier New"/>
          <w:b/>
          <w:bCs/>
          <w:color w:val="000000"/>
          <w:highlight w:val="none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 xml:space="preserve">СПЕЦИФИКАЦИЯ</w:t>
      </w:r>
      <w:r>
        <w:rPr>
          <w:rFonts w:eastAsia="Courier New"/>
          <w:b/>
          <w:bCs/>
          <w:color w:val="000000"/>
          <w:highlight w:val="none"/>
          <w:lang w:bidi="ru-RU"/>
        </w:rPr>
      </w:r>
      <w:r>
        <w:rPr>
          <w:rFonts w:eastAsia="Courier New"/>
          <w:b/>
          <w:bCs/>
          <w:color w:val="000000"/>
          <w:highlight w:val="none"/>
          <w:lang w:bidi="ru-RU"/>
        </w:rPr>
      </w:r>
    </w:p>
    <w:tbl>
      <w:tblPr>
        <w:tblStyle w:val="904"/>
        <w:tblW w:w="0" w:type="auto"/>
        <w:tblBorders/>
        <w:tblLook w:val="04A0" w:firstRow="1" w:lastRow="0" w:firstColumn="1" w:lastColumn="0" w:noHBand="0" w:noVBand="1"/>
      </w:tblPr>
      <w:tblGrid>
        <w:gridCol w:w="1559"/>
        <w:gridCol w:w="1559"/>
        <w:gridCol w:w="1559"/>
        <w:gridCol w:w="1559"/>
        <w:gridCol w:w="1559"/>
        <w:gridCol w:w="1559"/>
      </w:tblGrid>
      <w:tr>
        <w:trPr/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№ п.п.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Наименование услуги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Ед. изм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Кол-во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Цена за единицу (руб.)включая НДС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Итого (руб.)включая НДС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</w:tr>
      <w:tr>
        <w:trPr/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1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Оказание услуг по проведению лабораторных исследований воды на загородной базе ГБДОУ детского сада №20 Приморского района Санкт-Петербурга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Усл.ед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1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ab/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/>
          </w:p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_____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ab/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/>
          </w:p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_____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</w:tr>
    </w:tbl>
    <w:p>
      <w:pPr>
        <w:pBdr/>
        <w:spacing/>
        <w:ind/>
        <w:jc w:val="center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highlight w:val="none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tbl>
      <w:tblPr>
        <w:tblW w:w="10347" w:type="dxa"/>
        <w:tblBorders/>
        <w:tblLayout w:type="fixed"/>
        <w:tblpPr w:horzAnchor="margin" w:tblpX="-318" w:vertAnchor="text" w:tblpY="107" w:leftFromText="180" w:topFromText="0" w:rightFromText="180" w:bottomFromText="0"/>
        <w:tblLook w:val="0000" w:firstRow="0" w:lastRow="0" w:firstColumn="0" w:lastColumn="0" w:noHBand="0" w:noVBand="0"/>
      </w:tblPr>
      <w:tblGrid>
        <w:gridCol w:w="5070"/>
        <w:gridCol w:w="5277"/>
      </w:tblGrid>
      <w:tr>
        <w:trPr/>
        <w:tc>
          <w:tcPr>
            <w:tcBorders/>
            <w:tcW w:w="5070" w:type="dxa"/>
            <w:textDirection w:val="lrTb"/>
            <w:noWrap w:val="false"/>
          </w:tcPr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Заведующий ГБДОУ д/с № 20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Приморского района Санкт-Петербурга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________________________</w:t>
            </w:r>
            <w:r>
              <w:rPr>
                <w:b w:val="0"/>
                <w:bCs w:val="0"/>
                <w:sz w:val="22"/>
                <w:szCs w:val="22"/>
              </w:rPr>
              <w:t xml:space="preserve">Ю.В.Скорбящева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Подписано ЭЦП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62"/>
              <w:pBdr/>
              <w:spacing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527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________________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Подписано ЭЦП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contextualSpacing w:val="tru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1062"/>
              <w:pBdr/>
              <w:spacing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 w:firstLine="5103"/>
        <w:jc w:val="right"/>
        <w:outlineLvl w:val="0"/>
        <w:rPr>
          <w:color w:val="000000"/>
        </w:rPr>
      </w:pPr>
      <w:r>
        <w:rPr>
          <w:color w:val="000000"/>
        </w:rPr>
        <w:t xml:space="preserve">Приложение № 2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right"/>
        <w:outlineLvl w:val="0"/>
        <w:rPr>
          <w:bCs/>
          <w:color w:val="000000"/>
        </w:rPr>
      </w:pPr>
      <w:r>
        <w:rPr>
          <w:color w:val="000000"/>
        </w:rPr>
        <w:t xml:space="preserve">  </w:t>
      </w:r>
      <w:r>
        <w:rPr>
          <w:color w:val="000000"/>
        </w:rPr>
        <w:t xml:space="preserve">к Контракту </w:t>
      </w:r>
      <w:r>
        <w:rPr>
          <w:bCs/>
          <w:color w:val="000000"/>
        </w:rPr>
        <w:t xml:space="preserve">№</w:t>
      </w:r>
      <w:r>
        <w:rPr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_________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pacing/>
        <w:ind w:firstLine="3828"/>
        <w:jc w:val="right"/>
        <w:outlineLvl w:val="0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от</w:t>
      </w:r>
      <w:r>
        <w:rPr>
          <w:color w:val="000000"/>
        </w:rPr>
        <w:t xml:space="preserve"> «__</w:t>
      </w:r>
      <w:r>
        <w:rPr>
          <w:color w:val="000000"/>
        </w:rPr>
        <w:t xml:space="preserve">» _________ </w:t>
      </w:r>
      <w:r>
        <w:rPr>
          <w:color w:val="000000"/>
        </w:rPr>
        <w:t xml:space="preserve">2026</w:t>
      </w:r>
      <w:r>
        <w:rPr>
          <w:color w:val="000000"/>
        </w:rPr>
        <w:t xml:space="preserve"> г.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/>
        <w:jc w:val="center"/>
        <w:rPr>
          <w:rFonts w:eastAsia="Courier New"/>
          <w:b/>
          <w:bCs/>
          <w:color w:val="000000"/>
          <w:highlight w:val="none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 xml:space="preserve">Перечень услуг</w:t>
      </w:r>
      <w:r>
        <w:rPr>
          <w:rFonts w:eastAsia="Courier New"/>
          <w:b/>
          <w:bCs/>
          <w:color w:val="000000"/>
          <w:highlight w:val="none"/>
          <w:lang w:bidi="ru-RU"/>
        </w:rPr>
      </w:r>
      <w:r>
        <w:rPr>
          <w:rFonts w:eastAsia="Courier New"/>
          <w:b/>
          <w:bCs/>
          <w:color w:val="000000"/>
          <w:highlight w:val="none"/>
          <w:lang w:bidi="ru-RU"/>
        </w:rPr>
      </w:r>
    </w:p>
    <w:tbl>
      <w:tblPr>
        <w:tblStyle w:val="1102"/>
        <w:tblInd w:w="-1418" w:type="dxa"/>
        <w:tblW w:w="113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072"/>
        <w:gridCol w:w="850"/>
        <w:gridCol w:w="850"/>
      </w:tblGrid>
      <w:tr>
        <w:trPr/>
        <w:tc>
          <w:tcPr>
            <w:shd w:val="clear" w:color="ffffff" w:fill="ffffff"/>
            <w:tcBorders/>
            <w:tcW w:w="56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№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  <w:tc>
          <w:tcPr>
            <w:shd w:val="clear" w:color="ffffff" w:fill="ffffff"/>
            <w:tcBorders/>
            <w:tcW w:w="90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Наименование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услуги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Ед. изм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Коли-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чество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pBdr/>
              <w:spacing/>
              <w:ind w:left="360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b/>
                <w:sz w:val="20"/>
                <w:szCs w:val="20"/>
                <w:highlight w:val="white"/>
              </w:rPr>
            </w:pPr>
            <w:r>
              <w:rPr>
                <w:rFonts w:cs="Times New Roman"/>
                <w:b/>
                <w:sz w:val="20"/>
                <w:szCs w:val="20"/>
                <w:highlight w:val="white"/>
              </w:rPr>
            </w:r>
            <w:r>
              <w:rPr>
                <w:rFonts w:cs="Times New Roman"/>
                <w:b/>
                <w:sz w:val="20"/>
                <w:szCs w:val="20"/>
                <w:highlight w:val="white"/>
              </w:rPr>
              <w:t xml:space="preserve">197739, г.Санкт-Петербург, пос. Солнечное, ул. Дачная, д 2 лит.А</w:t>
            </w:r>
            <w:r>
              <w:rPr>
                <w:rFonts w:cs="Times New Roman"/>
                <w:b/>
                <w:sz w:val="20"/>
                <w:szCs w:val="20"/>
                <w:highlight w:val="white"/>
              </w:rPr>
            </w:r>
            <w:r>
              <w:rPr>
                <w:rFonts w:cs="Times New Roman"/>
                <w:b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хлорорганических пестицидов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Исследование питьевой воды (мембранный метод) ОМЧ, ОКБ, 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E.coli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Микробиологический показатель - Энтерококки 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Исследование на колифаги (с обогащением)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>
          <w:trHeight w:val="405"/>
        </w:trPr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 водородного показателя (рН) в пищевых отходах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сухого остатка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жесткости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Отбор проб воды холодного водоснабжения (до 5 проб на объекте)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сумарной альфа-, бета-удельной активности радионуклидов в воде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Лабораторное радиологическое исследование пробы питьевой воды на содержание радона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одного показателя фотометрическим методом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14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 привкуса, запаха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металлов методом ААС (1 металл)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13,000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бериллия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бора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нефтепродуктов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СПАВ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одного показателя фотометрическим методом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6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мышьяка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ртути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сульфатов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фторид-ионов/фторидов 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цианидов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vMerge w:val="restart"/>
            <w:textDirection w:val="lrTb"/>
            <w:noWrap w:val="false"/>
          </w:tcPr>
          <w:p w14:paraId="14E125AD"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vMerge w:val="restart"/>
            <w:textDirection w:val="lrTb"/>
            <w:noWrap w:val="false"/>
          </w:tcPr>
          <w:p w14:paraId="04B25C40"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vMerge w:val="restart"/>
            <w:textDirection w:val="lrTb"/>
            <w:noWrap w:val="false"/>
          </w:tcPr>
          <w:p w14:paraId="473B5BAE"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vMerge w:val="restart"/>
            <w:textDirection w:val="lrTb"/>
            <w:noWrap w:val="false"/>
          </w:tcPr>
          <w:p w14:paraId="67971301">
            <w:pPr>
              <w:pBdr/>
              <w:spacing/>
              <w:ind/>
              <w:rPr/>
            </w:pPr>
            <w:r>
              <w:t xml:space="preserve">      </w:t>
            </w: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/>
          </w:p>
        </w:tc>
      </w:tr>
      <w:tr>
        <w:trPr/>
        <w:tc>
          <w:tcPr>
            <w:shd w:val="clear" w:color="ffffff" w:fill="ffffff"/>
            <w:tcBorders/>
            <w:tcW w:w="567" w:type="dxa"/>
            <w:vMerge w:val="restart"/>
            <w:textDirection w:val="lrTb"/>
            <w:noWrap w:val="false"/>
          </w:tcPr>
          <w:p w14:paraId="1B79AE65"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vMerge w:val="restart"/>
            <w:textDirection w:val="lrTb"/>
            <w:noWrap w:val="false"/>
          </w:tcPr>
          <w:p w14:paraId="7FD29FAA"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vMerge w:val="restart"/>
            <w:textDirection w:val="lrTb"/>
            <w:noWrap w:val="false"/>
          </w:tcPr>
          <w:p w14:paraId="2494D5A9"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vMerge w:val="restart"/>
            <w:textDirection w:val="lrTb"/>
            <w:noWrap w:val="false"/>
          </w:tcPr>
          <w:p w14:paraId="57C22CE0">
            <w:pPr>
              <w:pBdr/>
              <w:spacing/>
              <w:ind/>
              <w:rPr/>
            </w:pPr>
            <w:r>
              <w:t xml:space="preserve">      </w:t>
            </w:r>
            <w:r>
              <w:rPr>
                <w:rFonts w:cs="Times New Roman"/>
                <w:sz w:val="20"/>
                <w:szCs w:val="20"/>
                <w:highlight w:val="none"/>
              </w:rPr>
              <w:t xml:space="preserve">5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/>
          </w:p>
        </w:tc>
      </w:tr>
      <w:tr>
        <w:trPr/>
        <w:tc>
          <w:tcPr>
            <w:shd w:val="clear" w:color="ffffff" w:fill="ffffff"/>
            <w:tcBorders/>
            <w:tcW w:w="567" w:type="dxa"/>
            <w:vMerge w:val="restart"/>
            <w:textDirection w:val="lrTb"/>
            <w:noWrap w:val="false"/>
          </w:tcPr>
          <w:p w14:paraId="305E1066">
            <w:pPr>
              <w:pStyle w:val="1079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vMerge w:val="restart"/>
            <w:textDirection w:val="lrTb"/>
            <w:noWrap w:val="false"/>
          </w:tcPr>
          <w:p w14:paraId="414C40AD"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Санитарно-эпидемиологическая экспертиза</w:t>
            </w:r>
            <w:r>
              <w:rPr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по результатам лабораторных радиологических исследований питьевой воды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vMerge w:val="restart"/>
            <w:textDirection w:val="lrTb"/>
            <w:noWrap w:val="false"/>
          </w:tcPr>
          <w:p w14:paraId="3E2DE39E"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vMerge w:val="restart"/>
            <w:textDirection w:val="lrTb"/>
            <w:noWrap w:val="false"/>
          </w:tcPr>
          <w:p w14:paraId="0D5024E4"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none"/>
              </w:rPr>
              <w:t xml:space="preserve">1,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000</w:t>
            </w:r>
            <w:r>
              <w:rPr>
                <w:rFonts w:cs="Times New Roman"/>
                <w:sz w:val="20"/>
                <w:szCs w:val="20"/>
                <w:highlight w:val="non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</w:tbl>
    <w:p>
      <w:pPr>
        <w:pBdr/>
        <w:spacing/>
        <w:ind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  <w:r>
        <w:rPr>
          <w:sz w:val="20"/>
          <w:szCs w:val="20"/>
          <w:highlight w:val="white"/>
        </w:rPr>
      </w:r>
      <w:r>
        <w:rPr>
          <w:sz w:val="20"/>
          <w:szCs w:val="20"/>
          <w:highlight w:val="white"/>
        </w:rPr>
      </w:r>
    </w:p>
    <w:tbl>
      <w:tblPr>
        <w:tblW w:w="10347" w:type="dxa"/>
        <w:tblBorders/>
        <w:tblLayout w:type="fixed"/>
        <w:tblpPr w:horzAnchor="margin" w:tblpX="-318" w:vertAnchor="text" w:tblpY="107" w:leftFromText="180" w:topFromText="0" w:rightFromText="180" w:bottomFromText="0"/>
        <w:tblLook w:val="0000" w:firstRow="0" w:lastRow="0" w:firstColumn="0" w:lastColumn="0" w:noHBand="0" w:noVBand="0"/>
      </w:tblPr>
      <w:tblGrid>
        <w:gridCol w:w="5070"/>
        <w:gridCol w:w="5277"/>
      </w:tblGrid>
      <w:tr>
        <w:trPr/>
        <w:tc>
          <w:tcPr>
            <w:tcBorders/>
            <w:tcW w:w="5070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Заведующий ГБДОУ д/с № 20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Приморского района Санкт-Петербурга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________________________</w:t>
            </w:r>
            <w:r>
              <w:rPr>
                <w:b/>
                <w:sz w:val="22"/>
                <w:szCs w:val="22"/>
              </w:rPr>
              <w:t xml:space="preserve">Ю.В.Скорбящева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>
              <w:rPr>
                <w:sz w:val="20"/>
                <w:szCs w:val="20"/>
              </w:rPr>
              <w:t xml:space="preserve"> (Подписано ЭЦП)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62"/>
              <w:pBdr/>
              <w:spacing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527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________________ </w:t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Подписано ЭЦП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pBdr/>
              <w:spacing/>
              <w:ind/>
              <w:contextualSpacing w:val="tru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10"/>
      <w:footnotePr/>
      <w:endnotePr/>
      <w:type w:val="nextPage"/>
      <w:pgSz w:h="16838" w:orient="portrait" w:w="11906"/>
      <w:pgMar w:top="1134" w:right="850" w:bottom="1134" w:left="1701" w:header="539" w:footer="58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Liberation Serif">
    <w:panose1 w:val="02020603050405020304"/>
  </w:font>
  <w:font w:name="Tahoma">
    <w:panose1 w:val="020B0604030504040204"/>
  </w:font>
  <w:font w:name="Calibri">
    <w:panose1 w:val="020F0502020204030204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74581095"/>
      <w:docPartObj>
        <w:docPartGallery w:val="Page Numbers (Bottom of Page)"/>
        <w:docPartUnique w:val="true"/>
      </w:docPartObj>
      <w:rPr/>
    </w:sdtPr>
    <w:sdtContent>
      <w:p>
        <w:pPr>
          <w:pStyle w:val="1100"/>
          <w:pBdr/>
          <w:spacing/>
          <w:ind/>
          <w:jc w:val="right"/>
          <w:rPr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7</w:t>
        </w:r>
        <w:r>
          <w:fldChar w:fldCharType="end"/>
        </w:r>
        <w:r/>
      </w:p>
    </w:sdtContent>
  </w:sdt>
  <w:p>
    <w:pPr>
      <w:pStyle w:val="110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04438302"/>
      <w:docPartObj>
        <w:docPartGallery w:val="Page Numbers (Bottom of Page)"/>
        <w:docPartUnique w:val="true"/>
      </w:docPartObj>
      <w:rPr/>
    </w:sdtPr>
    <w:sdtContent>
      <w:p>
        <w:pPr>
          <w:pStyle w:val="1100"/>
          <w:pBdr/>
          <w:spacing/>
          <w:ind/>
          <w:jc w:val="right"/>
          <w:rPr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10</w:t>
        </w:r>
        <w:r>
          <w:fldChar w:fldCharType="end"/>
        </w:r>
        <w:r/>
      </w:p>
    </w:sdtContent>
  </w:sdt>
  <w:p>
    <w:pPr>
      <w:pStyle w:val="110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72"/>
      <w:pBdr/>
      <w:spacing w:after="120"/>
      <w:ind/>
      <w:jc w:val="center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72"/>
      <w:pBdr/>
      <w:spacing w:after="120"/>
      <w:ind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473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4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59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45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1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31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04"/>
      </w:pPr>
      <w:rPr>
        <w:rFonts w:hint="default"/>
      </w:rPr>
      <w:start w:val="1"/>
      <w:suff w:val="space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360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>
        <w:rFonts w:hint="default"/>
      </w:rPr>
      <w:start w:val="1"/>
      <w:suff w:val="space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"/>
      <w:suff w:val="space"/>
    </w:lvl>
    <w:lvl w:ilvl="1">
      <w:isLgl w:val="true"/>
      <w:lvlJc w:val="left"/>
      <w:lvlText w:val="%1.%2."/>
      <w:numFmt w:val="decimal"/>
      <w:pPr>
        <w:pBdr/>
        <w:spacing/>
        <w:ind w:hanging="1035" w:left="2028"/>
      </w:pPr>
      <w:rPr>
        <w:rFonts w:hint="default"/>
      </w:rPr>
      <w:start w:val="4"/>
      <w:suff w:val="space"/>
    </w:lvl>
    <w:lvl w:ilvl="2">
      <w:isLgl w:val="true"/>
      <w:lvlJc w:val="left"/>
      <w:lvlText w:val="%1.%2.%3."/>
      <w:numFmt w:val="decimal"/>
      <w:pPr>
        <w:pBdr/>
        <w:spacing/>
        <w:ind w:hanging="1035" w:left="1744"/>
      </w:pPr>
      <w:rPr>
        <w:rFonts w:hint="default"/>
      </w:rPr>
      <w:start w:val="1"/>
      <w:suff w:val="space"/>
    </w:lvl>
    <w:lvl w:ilvl="3">
      <w:isLgl w:val="true"/>
      <w:lvlJc w:val="left"/>
      <w:lvlText w:val="%1.%2.%3.%4."/>
      <w:numFmt w:val="decimal"/>
      <w:pPr>
        <w:pBdr/>
        <w:spacing/>
        <w:ind w:hanging="1080" w:left="1789"/>
      </w:pPr>
      <w:rPr>
        <w:rFonts w:hint="default"/>
      </w:rPr>
      <w:start w:val="1"/>
      <w:suff w:val="space"/>
    </w:lvl>
    <w:lvl w:ilvl="4">
      <w:isLgl w:val="true"/>
      <w:lvlJc w:val="left"/>
      <w:lvlText w:val="%1.%2.%3.%4.%5."/>
      <w:numFmt w:val="decimal"/>
      <w:pPr>
        <w:pBdr/>
        <w:spacing/>
        <w:ind w:hanging="1080" w:left="1789"/>
      </w:pPr>
      <w:rPr>
        <w:rFonts w:hint="default"/>
      </w:rPr>
      <w:start w:val="1"/>
      <w:suff w:val="space"/>
    </w:lvl>
    <w:lvl w:ilvl="5">
      <w:isLgl w:val="true"/>
      <w:lvlJc w:val="left"/>
      <w:lvlText w:val="%1.%2.%3.%4.%5.%6."/>
      <w:numFmt w:val="decimal"/>
      <w:pPr>
        <w:pBdr/>
        <w:spacing/>
        <w:ind w:hanging="1440" w:left="2149"/>
      </w:pPr>
      <w:rPr>
        <w:rFonts w:hint="default"/>
      </w:rPr>
      <w:start w:val="1"/>
      <w:suff w:val="space"/>
    </w:lvl>
    <w:lvl w:ilvl="6">
      <w:isLgl w:val="true"/>
      <w:lvlJc w:val="left"/>
      <w:lvlText w:val="%1.%2.%3.%4.%5.%6.%7."/>
      <w:numFmt w:val="decimal"/>
      <w:pPr>
        <w:pBdr/>
        <w:spacing/>
        <w:ind w:hanging="1800" w:left="2509"/>
      </w:pPr>
      <w:rPr>
        <w:rFonts w:hint="default"/>
      </w:rPr>
      <w:start w:val="1"/>
      <w:suff w:val="space"/>
    </w:lvl>
    <w:lvl w:ilvl="7">
      <w:isLgl w:val="true"/>
      <w:lvlJc w:val="left"/>
      <w:lvlText w:val="%1.%2.%3.%4.%5.%6.%7.%8."/>
      <w:numFmt w:val="decimal"/>
      <w:pPr>
        <w:pBdr/>
        <w:spacing/>
        <w:ind w:hanging="1800" w:left="2509"/>
      </w:pPr>
      <w:rPr>
        <w:rFonts w:hint="default"/>
      </w:rPr>
      <w:start w:val="1"/>
      <w:suff w:val="space"/>
    </w:lvl>
    <w:lvl w:ilvl="8">
      <w:isLgl w:val="true"/>
      <w:lvlJc w:val="left"/>
      <w:lvlText w:val="%1.%2.%3.%4.%5.%6.%7.%8.%9."/>
      <w:numFmt w:val="decimal"/>
      <w:pPr>
        <w:pBdr/>
        <w:spacing/>
        <w:ind w:hanging="2160" w:left="2869"/>
      </w:pPr>
      <w:rPr>
        <w:rFonts w:hint="default"/>
      </w:rPr>
      <w:start w:val="1"/>
      <w:suff w:val="space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956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192"/>
      </w:pPr>
      <w:rPr>
        <w:rFonts w:hint="default"/>
      </w:rPr>
      <w:start w:val="2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2024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226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092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3688"/>
      </w:pPr>
      <w:rPr>
        <w:rFonts w:hint="default"/>
      </w:rPr>
      <w:start w:val="1"/>
      <w:suff w:val="space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space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720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>
        <w:rFonts w:hint="default"/>
      </w:rPr>
      <w:start w:val="3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>
        <w:rFonts w:hint="default"/>
      </w:rPr>
      <w:start w:val="1"/>
      <w:suff w:val="space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473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4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59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45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1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31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04"/>
      </w:pPr>
      <w:rPr>
        <w:rFonts w:hint="default"/>
      </w:rPr>
      <w:start w:val="1"/>
      <w:suff w:val="space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540" w:left="54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540" w:left="900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>
        <w:rFonts w:hint="default"/>
      </w:rPr>
      <w:start w:val="5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>
        <w:rFonts w:hint="default"/>
      </w:rPr>
      <w:start w:val="1"/>
      <w:suff w:val="space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4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473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4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59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45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1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31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04"/>
      </w:pPr>
      <w:rPr>
        <w:rFonts w:hint="default"/>
      </w:rPr>
      <w:start w:val="1"/>
      <w:suff w:val="space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3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1211"/>
      </w:pPr>
      <w:rPr>
        <w:rFonts w:hint="default"/>
      </w:rPr>
      <w:start w:val="4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>
        <w:rFonts w:hint="default"/>
      </w:rPr>
      <w:start w:val="1"/>
      <w:suff w:val="space"/>
    </w:lvl>
  </w:abstractNum>
  <w:abstractNum w:abstractNumId="2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8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360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>
        <w:rFonts w:hint="default"/>
      </w:rPr>
      <w:start w:val="1"/>
      <w:suff w:val="space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900"/>
      </w:pPr>
      <w:rPr>
        <w:rFonts w:hint="default"/>
      </w:rPr>
      <w:start w:val="1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6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3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0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7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5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2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9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660"/>
      </w:pPr>
      <w:rPr/>
      <w:start w:val="1"/>
      <w:suff w:val="space"/>
    </w:lvl>
  </w:abstractNum>
  <w:abstractNum w:abstractNumId="24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  <w:sz w:val="20"/>
      </w:rPr>
      <w:start w:val="1"/>
      <w:suff w:val="space"/>
    </w:lvl>
  </w:abstractNum>
  <w:abstractNum w:abstractNumId="2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113" w:left="113"/>
      </w:pPr>
      <w:rPr/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firstLine="0" w:left="113"/>
      </w:pPr>
      <w:rPr/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113" w:left="339"/>
      </w:pPr>
      <w:rPr/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113" w:left="452"/>
      </w:pPr>
      <w:rPr/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13" w:left="565"/>
      </w:pPr>
      <w:rPr/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13" w:left="678"/>
      </w:pPr>
      <w:rPr/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13" w:left="791"/>
      </w:pPr>
      <w:rPr/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13" w:left="904"/>
      </w:pPr>
      <w:rPr/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13" w:left="1017"/>
      </w:pPr>
      <w:rPr/>
      <w:start w:val="1"/>
      <w:suff w:val="space"/>
    </w:lvl>
  </w:abstractNum>
  <w:abstractNum w:abstractNumId="2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9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928"/>
      </w:pPr>
      <w:rPr>
        <w:rFonts w:hint="default"/>
      </w:rPr>
      <w:start w:val="4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85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2424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335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392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484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5416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6344"/>
      </w:pPr>
      <w:rPr>
        <w:rFonts w:hint="default"/>
      </w:rPr>
      <w:start w:val="1"/>
      <w:suff w:val="space"/>
    </w:lvl>
  </w:abstractNum>
  <w:abstractNum w:abstractNumId="2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862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004"/>
      </w:pPr>
      <w:rPr>
        <w:rFonts w:hint="default"/>
      </w:rPr>
      <w:start w:val="6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862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648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79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292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434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936"/>
      </w:pPr>
      <w:rPr>
        <w:rFonts w:hint="default"/>
      </w:rPr>
      <w:start w:val="1"/>
      <w:suff w:val="space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8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firstLine="0" w:left="2160"/>
      </w:pPr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firstLine="0" w:left="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firstLine="0" w:left="216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  <w:start w:val="1"/>
      <w:suff w:val="space"/>
    </w:lvl>
    <w:lvl w:ilvl="3">
      <w:isLgl w:val="false"/>
      <w:lvlJc w:val="left"/>
      <w:lvlText w:val="·"/>
      <w:numFmt w:val="decimal"/>
      <w:pPr>
        <w:pBdr/>
        <w:spacing/>
        <w:ind w:firstLine="0" w:left="2160"/>
      </w:pPr>
      <w:rPr/>
      <w:start w:val="1"/>
      <w:suff w:val="space"/>
    </w:lvl>
    <w:lvl w:ilvl="4">
      <w:isLgl w:val="false"/>
      <w:lvlJc w:val="left"/>
      <w:lvlText w:val="o"/>
      <w:numFmt w:val="decimal"/>
      <w:pPr>
        <w:pBdr/>
        <w:spacing/>
        <w:ind w:firstLine="0" w:left="2160"/>
      </w:pPr>
      <w:rPr/>
      <w:start w:val="1"/>
      <w:suff w:val="space"/>
    </w:lvl>
    <w:lvl w:ilvl="5">
      <w:isLgl w:val="false"/>
      <w:lvlJc w:val="left"/>
      <w:lvlText w:val="§"/>
      <w:numFmt w:val="decimal"/>
      <w:pPr>
        <w:pBdr/>
        <w:spacing/>
        <w:ind w:firstLine="0" w:left="2160"/>
      </w:pPr>
      <w:rPr/>
      <w:start w:val="1"/>
      <w:suff w:val="space"/>
    </w:lvl>
    <w:lvl w:ilvl="6">
      <w:isLgl w:val="false"/>
      <w:lvlJc w:val="left"/>
      <w:lvlText w:val="·"/>
      <w:numFmt w:val="decimal"/>
      <w:pPr>
        <w:pBdr/>
        <w:spacing/>
        <w:ind w:firstLine="0" w:left="2160"/>
      </w:pPr>
      <w:rPr/>
      <w:start w:val="1"/>
      <w:suff w:val="space"/>
    </w:lvl>
    <w:lvl w:ilvl="7">
      <w:isLgl w:val="false"/>
      <w:lvlJc w:val="left"/>
      <w:lvlText w:val="o"/>
      <w:numFmt w:val="decimal"/>
      <w:pPr>
        <w:pBdr/>
        <w:spacing/>
        <w:ind w:firstLine="0" w:left="2160"/>
      </w:pPr>
      <w:rPr/>
      <w:start w:val="1"/>
      <w:suff w:val="space"/>
    </w:lvl>
    <w:lvl w:ilvl="8">
      <w:isLgl w:val="false"/>
      <w:lvlJc w:val="left"/>
      <w:lvlText w:val="§"/>
      <w:numFmt w:val="decimal"/>
      <w:pPr>
        <w:pBdr/>
        <w:spacing/>
        <w:ind w:firstLine="0" w:left="2160"/>
      </w:pPr>
      <w:rPr/>
      <w:start w:val="1"/>
      <w:suff w:val="space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570" w:left="57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681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401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121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841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561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281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001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721"/>
      </w:pPr>
      <w:rPr/>
      <w:start w:val="1"/>
      <w:suff w:val="space"/>
    </w:lvl>
  </w:abstractNum>
  <w:abstractNum w:abstractNumId="34">
    <w:lvl w:ilvl="0">
      <w:isLgl w:val="false"/>
      <w:lvlJc w:val="left"/>
      <w:lvlText w:val="%1."/>
      <w:numFmt w:val="decimal"/>
      <w:pPr>
        <w:pBdr/>
        <w:spacing/>
        <w:ind w:hanging="360" w:left="25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32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39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46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54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61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68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75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8280"/>
      </w:pPr>
      <w:rPr/>
      <w:start w:val="1"/>
      <w:suff w:val="space"/>
    </w:lvl>
  </w:abstractNum>
  <w:abstractNum w:abstractNumId="35">
    <w:lvl w:ilvl="0">
      <w:isLgl w:val="false"/>
      <w:lvlJc w:val="left"/>
      <w:lvlText w:val="%1."/>
      <w:numFmt w:val="decimal"/>
      <w:pPr>
        <w:pBdr/>
        <w:spacing/>
        <w:ind w:hanging="360" w:left="900"/>
      </w:pPr>
      <w:rPr>
        <w:rFonts w:hint="default"/>
      </w:rPr>
      <w:start w:val="12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6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3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0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7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5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2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9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660"/>
      </w:pPr>
      <w:rPr/>
      <w:start w:val="1"/>
      <w:suff w:val="space"/>
    </w:lvl>
  </w:abstractNum>
  <w:abstractNum w:abstractNumId="3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37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840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6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8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6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6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8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60"/>
      </w:pPr>
      <w:rPr>
        <w:rFonts w:hint="default"/>
      </w:rPr>
      <w:start w:val="1"/>
      <w:suff w:val="space"/>
    </w:lvl>
  </w:abstractNum>
  <w:abstractNum w:abstractNumId="3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39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</w:rPr>
      <w:start w:val="5"/>
      <w:suff w:val="space"/>
    </w:lvl>
    <w:lvl w:ilvl="1">
      <w:isLgl w:val="true"/>
      <w:lvlJc w:val="left"/>
      <w:lvlText w:val="%1.%2."/>
      <w:numFmt w:val="decimal"/>
      <w:pPr>
        <w:pBdr/>
        <w:spacing/>
        <w:ind w:hanging="495" w:left="779"/>
      </w:pPr>
      <w:rPr>
        <w:rFonts w:hint="default"/>
      </w:rPr>
      <w:start w:val="1"/>
      <w:suff w:val="space"/>
    </w:lvl>
    <w:lvl w:ilvl="2">
      <w:isLgl w:val="true"/>
      <w:lvlJc w:val="left"/>
      <w:lvlText w:val="%1.%2.%3."/>
      <w:numFmt w:val="decimal"/>
      <w:pPr>
        <w:pBdr/>
        <w:spacing/>
        <w:ind w:hanging="720" w:left="1004"/>
      </w:pPr>
      <w:rPr>
        <w:rFonts w:hint="default"/>
      </w:rPr>
      <w:start w:val="1"/>
      <w:suff w:val="space"/>
    </w:lvl>
    <w:lvl w:ilvl="3">
      <w:isLgl w:val="true"/>
      <w:lvlJc w:val="left"/>
      <w:lvlText w:val="%1.%2.%3.%4."/>
      <w:numFmt w:val="decimal"/>
      <w:pPr>
        <w:pBdr/>
        <w:spacing/>
        <w:ind w:hanging="720" w:left="1004"/>
      </w:pPr>
      <w:rPr>
        <w:rFonts w:hint="default"/>
      </w:rPr>
      <w:start w:val="1"/>
      <w:suff w:val="space"/>
    </w:lvl>
    <w:lvl w:ilvl="4">
      <w:isLgl w:val="true"/>
      <w:lvlJc w:val="left"/>
      <w:lvlText w:val="%1.%2.%3.%4.%5."/>
      <w:numFmt w:val="decimal"/>
      <w:pPr>
        <w:pBdr/>
        <w:spacing/>
        <w:ind w:hanging="1080" w:left="1364"/>
      </w:pPr>
      <w:rPr>
        <w:rFonts w:hint="default"/>
      </w:rPr>
      <w:start w:val="1"/>
      <w:suff w:val="space"/>
    </w:lvl>
    <w:lvl w:ilvl="5">
      <w:isLgl w:val="true"/>
      <w:lvlJc w:val="left"/>
      <w:lvlText w:val="%1.%2.%3.%4.%5.%6."/>
      <w:numFmt w:val="decimal"/>
      <w:pPr>
        <w:pBdr/>
        <w:spacing/>
        <w:ind w:hanging="1080" w:left="1364"/>
      </w:pPr>
      <w:rPr>
        <w:rFonts w:hint="default"/>
      </w:rPr>
      <w:start w:val="1"/>
      <w:suff w:val="space"/>
    </w:lvl>
    <w:lvl w:ilvl="6">
      <w:isLgl w:val="true"/>
      <w:lvlJc w:val="left"/>
      <w:lvlText w:val="%1.%2.%3.%4.%5.%6.%7."/>
      <w:numFmt w:val="decimal"/>
      <w:pPr>
        <w:pBdr/>
        <w:spacing/>
        <w:ind w:hanging="1440" w:left="1724"/>
      </w:pPr>
      <w:rPr>
        <w:rFonts w:hint="default"/>
      </w:rPr>
      <w:start w:val="1"/>
      <w:suff w:val="space"/>
    </w:lvl>
    <w:lvl w:ilvl="7">
      <w:isLgl w:val="true"/>
      <w:lvlJc w:val="left"/>
      <w:lvlText w:val="%1.%2.%3.%4.%5.%6.%7.%8."/>
      <w:numFmt w:val="decimal"/>
      <w:pPr>
        <w:pBdr/>
        <w:spacing/>
        <w:ind w:hanging="1440" w:left="1724"/>
      </w:pPr>
      <w:rPr>
        <w:rFonts w:hint="default"/>
      </w:rPr>
      <w:start w:val="1"/>
      <w:suff w:val="space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2084"/>
      </w:pPr>
      <w:rPr>
        <w:rFonts w:hint="default"/>
      </w:rPr>
      <w:start w:val="1"/>
      <w:suff w:val="space"/>
    </w:lvl>
  </w:abstractNum>
  <w:abstractNum w:abstractNumId="4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space"/>
    </w:lvl>
  </w:abstractNum>
  <w:abstractNum w:abstractNumId="41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  <w:sz w:val="20"/>
      </w:rPr>
      <w:start w:val="1"/>
      <w:suff w:val="space"/>
    </w:lvl>
  </w:abstractNum>
  <w:abstractNum w:abstractNumId="4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43">
    <w:lvl w:ilvl="0">
      <w:isLgl w:val="false"/>
      <w:lvlJc w:val="left"/>
      <w:lvlText w:val="%1."/>
      <w:numFmt w:val="decimal"/>
      <w:pPr>
        <w:pBdr/>
        <w:spacing/>
        <w:ind w:firstLine="0" w:left="0"/>
      </w:pPr>
      <w:rPr/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firstLine="0" w:left="0"/>
      </w:pPr>
      <w:rPr/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firstLine="0" w:left="0"/>
      </w:pPr>
      <w:rPr/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firstLine="0" w:left="0"/>
      </w:pPr>
      <w:rPr/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firstLine="0" w:left="0"/>
      </w:pPr>
      <w:rPr/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firstLine="0" w:left="0"/>
      </w:pPr>
      <w:rPr/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firstLine="0" w:left="0"/>
      </w:pPr>
      <w:rPr/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firstLine="0" w:left="0"/>
      </w:pPr>
      <w:rPr/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firstLine="0" w:left="0"/>
      </w:pPr>
      <w:rPr/>
      <w:start w:val="1"/>
      <w:suff w:val="space"/>
    </w:lvl>
  </w:abstractNum>
  <w:abstractNum w:abstractNumId="44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1080"/>
        </w:tabs>
        <w:spacing/>
        <w:ind w:hanging="360" w:left="108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800"/>
        </w:tabs>
        <w:spacing/>
        <w:ind w:hanging="180" w:left="180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3240"/>
        </w:tabs>
        <w:spacing/>
        <w:ind w:hanging="360" w:left="324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3960"/>
        </w:tabs>
        <w:spacing/>
        <w:ind w:hanging="180" w:left="396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5400"/>
        </w:tabs>
        <w:spacing/>
        <w:ind w:hanging="360" w:left="540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6120"/>
        </w:tabs>
        <w:spacing/>
        <w:ind w:hanging="180" w:left="6120"/>
      </w:pPr>
      <w:rPr/>
      <w:start w:val="1"/>
      <w:suff w:val="space"/>
    </w:lvl>
  </w:abstractNum>
  <w:abstractNum w:abstractNumId="4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46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space"/>
    </w:lvl>
  </w:abstractNum>
  <w:abstractNum w:abstractNumId="47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44"/>
  </w:num>
  <w:num w:numId="2">
    <w:abstractNumId w:val="5"/>
  </w:num>
  <w:num w:numId="3">
    <w:abstractNumId w:val="35"/>
  </w:num>
  <w:num w:numId="4">
    <w:abstractNumId w:val="22"/>
  </w:num>
  <w:num w:numId="5">
    <w:abstractNumId w:val="7"/>
  </w:num>
  <w:num w:numId="6">
    <w:abstractNumId w:val="33"/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1"/>
  </w:num>
  <w:num w:numId="12">
    <w:abstractNumId w:val="17"/>
  </w:num>
  <w:num w:numId="13">
    <w:abstractNumId w:val="26"/>
  </w:num>
  <w:num w:numId="14">
    <w:abstractNumId w:val="23"/>
  </w:num>
  <w:num w:numId="15">
    <w:abstractNumId w:val="37"/>
  </w:num>
  <w:num w:numId="16">
    <w:abstractNumId w:val="6"/>
  </w:num>
  <w:num w:numId="17">
    <w:abstractNumId w:val="9"/>
  </w:num>
  <w:num w:numId="18">
    <w:abstractNumId w:val="30"/>
  </w:num>
  <w:num w:numId="19">
    <w:abstractNumId w:val="14"/>
  </w:num>
  <w:num w:numId="20">
    <w:abstractNumId w:val="18"/>
  </w:num>
  <w:num w:numId="21">
    <w:abstractNumId w:val="40"/>
  </w:num>
  <w:num w:numId="22">
    <w:abstractNumId w:val="38"/>
  </w:num>
  <w:num w:numId="23">
    <w:abstractNumId w:val="15"/>
  </w:num>
  <w:num w:numId="24">
    <w:abstractNumId w:val="3"/>
  </w:num>
  <w:num w:numId="25">
    <w:abstractNumId w:val="4"/>
  </w:num>
  <w:num w:numId="26">
    <w:abstractNumId w:val="25"/>
  </w:num>
  <w:num w:numId="27">
    <w:abstractNumId w:val="10"/>
  </w:num>
  <w:num w:numId="28">
    <w:abstractNumId w:val="16"/>
  </w:num>
  <w:num w:numId="29">
    <w:abstractNumId w:val="20"/>
  </w:num>
  <w:num w:numId="30">
    <w:abstractNumId w:val="13"/>
  </w:num>
  <w:num w:numId="31">
    <w:abstractNumId w:val="36"/>
  </w:num>
  <w:num w:numId="32">
    <w:abstractNumId w:val="42"/>
  </w:num>
  <w:num w:numId="33">
    <w:abstractNumId w:val="45"/>
  </w:num>
  <w:num w:numId="34">
    <w:abstractNumId w:val="8"/>
  </w:num>
  <w:num w:numId="35">
    <w:abstractNumId w:val="27"/>
  </w:num>
  <w:num w:numId="36">
    <w:abstractNumId w:val="21"/>
  </w:num>
  <w:num w:numId="37">
    <w:abstractNumId w:val="11"/>
  </w:num>
  <w:num w:numId="38">
    <w:abstractNumId w:val="0"/>
  </w:num>
  <w:num w:numId="39">
    <w:abstractNumId w:val="29"/>
  </w:num>
  <w:num w:numId="40">
    <w:abstractNumId w:val="41"/>
  </w:num>
  <w:num w:numId="41">
    <w:abstractNumId w:val="24"/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43">
    <w:abstractNumId w:val="19"/>
  </w:num>
  <w:num w:numId="44">
    <w:abstractNumId w:val="31"/>
  </w:num>
  <w:num w:numId="45">
    <w:abstractNumId w:val="28"/>
  </w:num>
  <w:num w:numId="46">
    <w:abstractNumId w:val="34"/>
  </w:num>
  <w:num w:numId="47">
    <w:abstractNumId w:val="39"/>
  </w:num>
  <w:num w:numId="48">
    <w:abstractNumId w:val="46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Intense Emphasis"/>
    <w:basedOn w:val="10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871">
    <w:name w:val="Intense Reference"/>
    <w:basedOn w:val="10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72">
    <w:name w:val="Subtle Emphasis"/>
    <w:basedOn w:val="10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3">
    <w:name w:val="Subtle Reference"/>
    <w:basedOn w:val="10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4">
    <w:name w:val="Book Title"/>
    <w:basedOn w:val="104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75">
    <w:name w:val="FollowedHyperlink"/>
    <w:basedOn w:val="10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76">
    <w:name w:val="Placeholder Text"/>
    <w:basedOn w:val="1049"/>
    <w:uiPriority w:val="99"/>
    <w:semiHidden/>
    <w:pPr>
      <w:pBdr/>
      <w:spacing/>
      <w:ind/>
    </w:pPr>
    <w:rPr>
      <w:color w:val="666666"/>
    </w:rPr>
  </w:style>
  <w:style w:type="character" w:styleId="877">
    <w:name w:val="Heading 1 Char"/>
    <w:basedOn w:val="1049"/>
    <w:link w:val="1046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78">
    <w:name w:val="Heading 2 Char"/>
    <w:basedOn w:val="1049"/>
    <w:link w:val="1047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879">
    <w:name w:val="Heading 3"/>
    <w:basedOn w:val="1045"/>
    <w:next w:val="1045"/>
    <w:link w:val="88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880">
    <w:name w:val="Heading 3 Char"/>
    <w:basedOn w:val="1049"/>
    <w:link w:val="87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881">
    <w:name w:val="Heading 4"/>
    <w:basedOn w:val="1045"/>
    <w:next w:val="1045"/>
    <w:link w:val="88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82">
    <w:name w:val="Heading 4 Char"/>
    <w:basedOn w:val="1049"/>
    <w:link w:val="88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883">
    <w:name w:val="Heading 5"/>
    <w:basedOn w:val="1045"/>
    <w:next w:val="1045"/>
    <w:link w:val="88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84">
    <w:name w:val="Heading 5 Char"/>
    <w:basedOn w:val="1049"/>
    <w:link w:val="88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885">
    <w:name w:val="Heading 6"/>
    <w:basedOn w:val="1045"/>
    <w:next w:val="1045"/>
    <w:link w:val="88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86">
    <w:name w:val="Heading 6 Char"/>
    <w:basedOn w:val="1049"/>
    <w:link w:val="88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87">
    <w:name w:val="Heading 7 Char"/>
    <w:basedOn w:val="1049"/>
    <w:link w:val="104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88">
    <w:name w:val="Heading 8"/>
    <w:basedOn w:val="1045"/>
    <w:next w:val="1045"/>
    <w:link w:val="88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89">
    <w:name w:val="Heading 8 Char"/>
    <w:basedOn w:val="1049"/>
    <w:link w:val="88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890">
    <w:name w:val="Heading 9"/>
    <w:basedOn w:val="1045"/>
    <w:next w:val="1045"/>
    <w:link w:val="891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91">
    <w:name w:val="Heading 9 Char"/>
    <w:basedOn w:val="1049"/>
    <w:link w:val="89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92">
    <w:name w:val="Title"/>
    <w:basedOn w:val="1045"/>
    <w:next w:val="1045"/>
    <w:link w:val="89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93">
    <w:name w:val="Title Char"/>
    <w:basedOn w:val="1049"/>
    <w:link w:val="892"/>
    <w:uiPriority w:val="10"/>
    <w:pPr>
      <w:pBdr/>
      <w:spacing/>
      <w:ind/>
    </w:pPr>
    <w:rPr>
      <w:sz w:val="48"/>
      <w:szCs w:val="48"/>
    </w:rPr>
  </w:style>
  <w:style w:type="paragraph" w:styleId="894">
    <w:name w:val="Subtitle"/>
    <w:basedOn w:val="1045"/>
    <w:next w:val="1045"/>
    <w:link w:val="89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95">
    <w:name w:val="Subtitle Char"/>
    <w:basedOn w:val="1049"/>
    <w:link w:val="894"/>
    <w:uiPriority w:val="11"/>
    <w:pPr>
      <w:pBdr/>
      <w:spacing/>
      <w:ind/>
    </w:pPr>
    <w:rPr>
      <w:sz w:val="24"/>
      <w:szCs w:val="24"/>
    </w:rPr>
  </w:style>
  <w:style w:type="paragraph" w:styleId="896">
    <w:name w:val="Quote"/>
    <w:basedOn w:val="1045"/>
    <w:next w:val="1045"/>
    <w:link w:val="897"/>
    <w:uiPriority w:val="29"/>
    <w:qFormat/>
    <w:pPr>
      <w:pBdr/>
      <w:spacing/>
      <w:ind w:right="720" w:left="720"/>
    </w:pPr>
    <w:rPr>
      <w:i/>
    </w:rPr>
  </w:style>
  <w:style w:type="character" w:styleId="897">
    <w:name w:val="Quote Char"/>
    <w:link w:val="896"/>
    <w:uiPriority w:val="29"/>
    <w:pPr>
      <w:pBdr/>
      <w:spacing/>
      <w:ind/>
    </w:pPr>
    <w:rPr>
      <w:i/>
    </w:rPr>
  </w:style>
  <w:style w:type="paragraph" w:styleId="898">
    <w:name w:val="Intense Quote"/>
    <w:basedOn w:val="1045"/>
    <w:next w:val="1045"/>
    <w:link w:val="89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99">
    <w:name w:val="Intense Quote Char"/>
    <w:link w:val="898"/>
    <w:uiPriority w:val="30"/>
    <w:pPr>
      <w:pBdr/>
      <w:spacing/>
      <w:ind/>
    </w:pPr>
    <w:rPr>
      <w:i/>
    </w:rPr>
  </w:style>
  <w:style w:type="character" w:styleId="900">
    <w:name w:val="Header Char"/>
    <w:basedOn w:val="1049"/>
    <w:link w:val="1072"/>
    <w:uiPriority w:val="99"/>
    <w:pPr>
      <w:pBdr/>
      <w:spacing/>
      <w:ind/>
    </w:pPr>
  </w:style>
  <w:style w:type="character" w:styleId="901">
    <w:name w:val="Footer Char"/>
    <w:basedOn w:val="1049"/>
    <w:link w:val="1100"/>
    <w:uiPriority w:val="99"/>
    <w:pPr>
      <w:pBdr/>
      <w:spacing/>
      <w:ind/>
    </w:pPr>
  </w:style>
  <w:style w:type="paragraph" w:styleId="902">
    <w:name w:val="Caption"/>
    <w:basedOn w:val="1045"/>
    <w:next w:val="1045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903">
    <w:name w:val="Caption Char"/>
    <w:basedOn w:val="902"/>
    <w:link w:val="1100"/>
    <w:uiPriority w:val="99"/>
    <w:pPr>
      <w:pBdr/>
      <w:spacing/>
      <w:ind/>
    </w:pPr>
  </w:style>
  <w:style w:type="table" w:styleId="904">
    <w:name w:val="Table Grid"/>
    <w:basedOn w:val="10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Table Grid Light"/>
    <w:basedOn w:val="10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Plain Table 1"/>
    <w:basedOn w:val="10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Plain Table 2"/>
    <w:basedOn w:val="105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Plain Table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Plain Table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Plain Table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1 Light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1 Light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1 Light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1 Light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1 Light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1 Light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1 Light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2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2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2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2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2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2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3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3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3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3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3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3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4"/>
    <w:basedOn w:val="10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4 - Accent 1"/>
    <w:basedOn w:val="10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4 - Accent 2"/>
    <w:basedOn w:val="10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4 - Accent 3"/>
    <w:basedOn w:val="10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4 - Accent 4"/>
    <w:basedOn w:val="10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4 - Accent 5"/>
    <w:basedOn w:val="10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4 - Accent 6"/>
    <w:basedOn w:val="10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5 Dark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5 Dark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5 Dark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5 Dark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5 Dark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5 Dark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5 Dark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6 Colorful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6 Colorful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6 Colorful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6 Colorful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6 Colorful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6 Colorful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6 Colorful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7 Colorful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7 Colorful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7 Colorful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7 Colorful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7 Colorful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7 Colorful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7 Colorful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1 Light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1 Light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1 Light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1 Light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1 Light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1 Light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1 Light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2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2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2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2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2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2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3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3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3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3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3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3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4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4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4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4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4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4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5 Dark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5 Dark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5 Dark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5 Dark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5 Dark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5 Dark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5 Dark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6 Colorful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6 Colorful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6 Colorful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6 Colorful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6 Colorful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6 Colorful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6 Colorful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7 Colorful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7 Colorful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7 Colorful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7 Colorful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7 Colorful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7 Colorful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7 Colorful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ned - Accent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ned - Accent 1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ned - Accent 2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ned - Accent 3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ned - Accent 4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ned - Accent 5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ned - Accent 6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 - Accent 1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 2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&amp; Lined - Accent 3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&amp; Lined - Accent 4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&amp; Lined - Accent 5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&amp; Lined - Accent 6"/>
    <w:basedOn w:val="10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Bordered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Bordered - Accent 1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Bordered - Accent 2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Bordered - Accent 3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Bordered - Accent 4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Bordered - Accent 5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Bordered - Accent 6"/>
    <w:basedOn w:val="10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0">
    <w:name w:val="Footnote Text Char"/>
    <w:link w:val="1069"/>
    <w:uiPriority w:val="99"/>
    <w:pPr>
      <w:pBdr/>
      <w:spacing/>
      <w:ind/>
    </w:pPr>
    <w:rPr>
      <w:sz w:val="18"/>
    </w:rPr>
  </w:style>
  <w:style w:type="paragraph" w:styleId="1031">
    <w:name w:val="endnote text"/>
    <w:basedOn w:val="1045"/>
    <w:link w:val="103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032">
    <w:name w:val="Endnote Text Char"/>
    <w:link w:val="1031"/>
    <w:uiPriority w:val="99"/>
    <w:pPr>
      <w:pBdr/>
      <w:spacing/>
      <w:ind/>
    </w:pPr>
    <w:rPr>
      <w:sz w:val="20"/>
    </w:rPr>
  </w:style>
  <w:style w:type="character" w:styleId="1033">
    <w:name w:val="endnote reference"/>
    <w:basedOn w:val="1049"/>
    <w:uiPriority w:val="99"/>
    <w:semiHidden/>
    <w:unhideWhenUsed/>
    <w:pPr>
      <w:pBdr/>
      <w:spacing/>
      <w:ind/>
    </w:pPr>
    <w:rPr>
      <w:vertAlign w:val="superscript"/>
    </w:rPr>
  </w:style>
  <w:style w:type="paragraph" w:styleId="1034">
    <w:name w:val="toc 1"/>
    <w:basedOn w:val="1045"/>
    <w:next w:val="1045"/>
    <w:uiPriority w:val="39"/>
    <w:unhideWhenUsed/>
    <w:pPr>
      <w:pBdr/>
      <w:spacing w:after="57"/>
      <w:ind w:right="0" w:firstLine="0" w:left="0"/>
    </w:pPr>
  </w:style>
  <w:style w:type="paragraph" w:styleId="1035">
    <w:name w:val="toc 2"/>
    <w:basedOn w:val="1045"/>
    <w:next w:val="1045"/>
    <w:uiPriority w:val="39"/>
    <w:unhideWhenUsed/>
    <w:pPr>
      <w:pBdr/>
      <w:spacing w:after="57"/>
      <w:ind w:right="0" w:firstLine="0" w:left="283"/>
    </w:pPr>
  </w:style>
  <w:style w:type="paragraph" w:styleId="1036">
    <w:name w:val="toc 3"/>
    <w:basedOn w:val="1045"/>
    <w:next w:val="1045"/>
    <w:uiPriority w:val="39"/>
    <w:unhideWhenUsed/>
    <w:pPr>
      <w:pBdr/>
      <w:spacing w:after="57"/>
      <w:ind w:right="0" w:firstLine="0" w:left="567"/>
    </w:pPr>
  </w:style>
  <w:style w:type="paragraph" w:styleId="1037">
    <w:name w:val="toc 4"/>
    <w:basedOn w:val="1045"/>
    <w:next w:val="1045"/>
    <w:uiPriority w:val="39"/>
    <w:unhideWhenUsed/>
    <w:pPr>
      <w:pBdr/>
      <w:spacing w:after="57"/>
      <w:ind w:right="0" w:firstLine="0" w:left="850"/>
    </w:pPr>
  </w:style>
  <w:style w:type="paragraph" w:styleId="1038">
    <w:name w:val="toc 5"/>
    <w:basedOn w:val="1045"/>
    <w:next w:val="1045"/>
    <w:uiPriority w:val="39"/>
    <w:unhideWhenUsed/>
    <w:pPr>
      <w:pBdr/>
      <w:spacing w:after="57"/>
      <w:ind w:right="0" w:firstLine="0" w:left="1134"/>
    </w:pPr>
  </w:style>
  <w:style w:type="paragraph" w:styleId="1039">
    <w:name w:val="toc 6"/>
    <w:basedOn w:val="1045"/>
    <w:next w:val="1045"/>
    <w:uiPriority w:val="39"/>
    <w:unhideWhenUsed/>
    <w:pPr>
      <w:pBdr/>
      <w:spacing w:after="57"/>
      <w:ind w:right="0" w:firstLine="0" w:left="1417"/>
    </w:pPr>
  </w:style>
  <w:style w:type="paragraph" w:styleId="1040">
    <w:name w:val="toc 7"/>
    <w:basedOn w:val="1045"/>
    <w:next w:val="1045"/>
    <w:uiPriority w:val="39"/>
    <w:unhideWhenUsed/>
    <w:pPr>
      <w:pBdr/>
      <w:spacing w:after="57"/>
      <w:ind w:right="0" w:firstLine="0" w:left="1701"/>
    </w:pPr>
  </w:style>
  <w:style w:type="paragraph" w:styleId="1041">
    <w:name w:val="toc 8"/>
    <w:basedOn w:val="1045"/>
    <w:next w:val="1045"/>
    <w:uiPriority w:val="39"/>
    <w:unhideWhenUsed/>
    <w:pPr>
      <w:pBdr/>
      <w:spacing w:after="57"/>
      <w:ind w:right="0" w:firstLine="0" w:left="1984"/>
    </w:pPr>
  </w:style>
  <w:style w:type="paragraph" w:styleId="1042">
    <w:name w:val="toc 9"/>
    <w:basedOn w:val="1045"/>
    <w:next w:val="1045"/>
    <w:uiPriority w:val="39"/>
    <w:unhideWhenUsed/>
    <w:pPr>
      <w:pBdr/>
      <w:spacing w:after="57"/>
      <w:ind w:right="0" w:firstLine="0" w:left="2268"/>
    </w:pPr>
  </w:style>
  <w:style w:type="paragraph" w:styleId="1043">
    <w:name w:val="TOC Heading"/>
    <w:uiPriority w:val="39"/>
    <w:unhideWhenUsed/>
    <w:pPr>
      <w:pBdr/>
      <w:spacing/>
      <w:ind/>
    </w:pPr>
  </w:style>
  <w:style w:type="paragraph" w:styleId="1044">
    <w:name w:val="table of figures"/>
    <w:basedOn w:val="1045"/>
    <w:next w:val="1045"/>
    <w:uiPriority w:val="99"/>
    <w:unhideWhenUsed/>
    <w:pPr>
      <w:pBdr/>
      <w:spacing w:after="0" w:afterAutospacing="0"/>
      <w:ind/>
    </w:pPr>
  </w:style>
  <w:style w:type="paragraph" w:styleId="1045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46">
    <w:name w:val="Heading 1"/>
    <w:basedOn w:val="1045"/>
    <w:next w:val="1045"/>
    <w:link w:val="1091"/>
    <w:uiPriority w:val="9"/>
    <w:qFormat/>
    <w:pPr>
      <w:keepNext w:val="true"/>
      <w:keepLines w:val="true"/>
      <w:pBdr/>
      <w:spacing w:before="240"/>
      <w:ind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1047">
    <w:name w:val="Heading 2"/>
    <w:basedOn w:val="1045"/>
    <w:next w:val="1045"/>
    <w:link w:val="1081"/>
    <w:uiPriority w:val="9"/>
    <w:semiHidden/>
    <w:unhideWhenUsed/>
    <w:qFormat/>
    <w:pPr>
      <w:keepNext w:val="true"/>
      <w:keepLines w:val="true"/>
      <w:pBdr/>
      <w:spacing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1048">
    <w:name w:val="Heading 7"/>
    <w:basedOn w:val="1045"/>
    <w:next w:val="1045"/>
    <w:link w:val="1052"/>
    <w:qFormat/>
    <w:pPr>
      <w:keepNext w:val="true"/>
      <w:keepLines w:val="true"/>
      <w:widowControl w:val="false"/>
      <w:suppressLineNumbers w:val="true"/>
      <w:pBdr/>
      <w:spacing/>
      <w:ind/>
      <w:outlineLvl w:val="6"/>
    </w:pPr>
    <w:rPr>
      <w:rFonts w:ascii="Calibri" w:hAnsi="Calibri"/>
    </w:rPr>
  </w:style>
  <w:style w:type="character" w:styleId="1049" w:default="1">
    <w:name w:val="Default Paragraph Font"/>
    <w:uiPriority w:val="1"/>
    <w:semiHidden/>
    <w:unhideWhenUsed/>
    <w:pPr>
      <w:pBdr/>
      <w:spacing/>
      <w:ind/>
    </w:pPr>
  </w:style>
  <w:style w:type="table" w:styleId="105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51" w:default="1">
    <w:name w:val="No List"/>
    <w:uiPriority w:val="99"/>
    <w:semiHidden/>
    <w:unhideWhenUsed/>
    <w:pPr>
      <w:pBdr/>
      <w:spacing/>
      <w:ind/>
    </w:pPr>
  </w:style>
  <w:style w:type="character" w:styleId="1052" w:customStyle="1">
    <w:name w:val="Заголовок 7 Знак"/>
    <w:basedOn w:val="1049"/>
    <w:link w:val="1048"/>
    <w:pPr>
      <w:pBdr/>
      <w:spacing/>
      <w:ind/>
    </w:pPr>
    <w:rPr>
      <w:rFonts w:ascii="Calibri" w:hAnsi="Calibri" w:eastAsia="Times New Roman" w:cs="Times New Roman"/>
      <w:sz w:val="24"/>
      <w:szCs w:val="24"/>
    </w:rPr>
  </w:style>
  <w:style w:type="character" w:styleId="1053">
    <w:name w:val="page number"/>
    <w:pPr>
      <w:pBdr/>
      <w:spacing/>
      <w:ind/>
    </w:pPr>
    <w:rPr>
      <w:rFonts w:cs="Times New Roman"/>
    </w:rPr>
  </w:style>
  <w:style w:type="character" w:styleId="1054">
    <w:name w:val="footnote reference"/>
    <w:uiPriority w:val="99"/>
    <w:pPr>
      <w:pBdr/>
      <w:spacing/>
      <w:ind/>
    </w:pPr>
    <w:rPr>
      <w:vertAlign w:val="superscript"/>
    </w:rPr>
  </w:style>
  <w:style w:type="character" w:styleId="1055" w:customStyle="1">
    <w:name w:val="Основной текст 3 Знак"/>
    <w:link w:val="1056"/>
    <w:pPr>
      <w:pBdr/>
      <w:spacing/>
      <w:ind/>
    </w:pPr>
    <w:rPr>
      <w:rFonts w:cs="Times New Roman"/>
      <w:sz w:val="16"/>
      <w:szCs w:val="16"/>
      <w:lang w:eastAsia="ru-RU"/>
    </w:rPr>
  </w:style>
  <w:style w:type="paragraph" w:styleId="1056">
    <w:name w:val="Body Text 3"/>
    <w:basedOn w:val="1045"/>
    <w:link w:val="1055"/>
    <w:pPr>
      <w:pBdr/>
      <w:spacing w:after="120"/>
      <w:ind/>
    </w:pPr>
    <w:rPr>
      <w:rFonts w:asciiTheme="minorHAnsi" w:hAnsiTheme="minorHAnsi" w:eastAsiaTheme="minorHAnsi"/>
      <w:sz w:val="16"/>
      <w:szCs w:val="16"/>
    </w:rPr>
  </w:style>
  <w:style w:type="character" w:styleId="1057" w:customStyle="1">
    <w:name w:val="Основной текст 3 Знак1"/>
    <w:basedOn w:val="1049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058" w:customStyle="1">
    <w:name w:val="Основной текст с отступом 2 Знак"/>
    <w:link w:val="1059"/>
    <w:pPr>
      <w:pBdr/>
      <w:spacing/>
      <w:ind/>
    </w:pPr>
    <w:rPr>
      <w:rFonts w:cs="Times New Roman"/>
      <w:sz w:val="24"/>
      <w:szCs w:val="24"/>
    </w:rPr>
  </w:style>
  <w:style w:type="paragraph" w:styleId="1059">
    <w:name w:val="Body Text Indent 2"/>
    <w:basedOn w:val="1045"/>
    <w:link w:val="1058"/>
    <w:pPr>
      <w:pBdr/>
      <w:tabs>
        <w:tab w:val="left" w:leader="none" w:pos="720"/>
      </w:tabs>
      <w:spacing w:before="57"/>
      <w:ind w:hanging="720" w:left="720"/>
      <w:jc w:val="both"/>
    </w:pPr>
    <w:rPr>
      <w:rFonts w:asciiTheme="minorHAnsi" w:hAnsiTheme="minorHAnsi" w:eastAsiaTheme="minorHAnsi"/>
      <w:lang w:eastAsia="en-US"/>
    </w:rPr>
  </w:style>
  <w:style w:type="character" w:styleId="1060" w:customStyle="1">
    <w:name w:val="Основной текст с отступом 2 Знак1"/>
    <w:basedOn w:val="1049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61" w:customStyle="1">
    <w:name w:val="ConsPlusNormal Знак"/>
    <w:link w:val="1062"/>
    <w:qFormat/>
    <w:pPr>
      <w:pBdr/>
      <w:spacing/>
      <w:ind/>
    </w:pPr>
    <w:rPr>
      <w:rFonts w:ascii="Arial" w:hAnsi="Arial" w:cs="Arial"/>
      <w:lang w:eastAsia="ru-RU"/>
    </w:rPr>
  </w:style>
  <w:style w:type="paragraph" w:styleId="1062" w:customStyle="1">
    <w:name w:val="ConsPlusNormal"/>
    <w:link w:val="1061"/>
    <w:qFormat/>
    <w:pPr>
      <w:widowControl w:val="false"/>
      <w:pBdr/>
      <w:spacing w:after="0" w:line="240" w:lineRule="auto"/>
      <w:ind w:firstLine="720"/>
    </w:pPr>
    <w:rPr>
      <w:rFonts w:ascii="Arial" w:hAnsi="Arial" w:cs="Arial"/>
      <w:lang w:eastAsia="ru-RU"/>
    </w:rPr>
  </w:style>
  <w:style w:type="character" w:styleId="1063" w:customStyle="1">
    <w:name w:val="Основной текст Знак"/>
    <w:link w:val="1064"/>
    <w:pPr>
      <w:pBdr/>
      <w:spacing/>
      <w:ind/>
    </w:pPr>
    <w:rPr>
      <w:rFonts w:cs="Times New Roman"/>
      <w:sz w:val="24"/>
      <w:szCs w:val="24"/>
      <w:lang w:eastAsia="ru-RU"/>
    </w:rPr>
  </w:style>
  <w:style w:type="paragraph" w:styleId="1064">
    <w:name w:val="Body Text"/>
    <w:basedOn w:val="1045"/>
    <w:link w:val="1063"/>
    <w:pPr>
      <w:pBdr/>
      <w:spacing/>
      <w:ind/>
      <w:jc w:val="both"/>
    </w:pPr>
    <w:rPr>
      <w:rFonts w:asciiTheme="minorHAnsi" w:hAnsiTheme="minorHAnsi" w:eastAsiaTheme="minorHAnsi"/>
    </w:rPr>
  </w:style>
  <w:style w:type="character" w:styleId="1065" w:customStyle="1">
    <w:name w:val="Основной текст Знак1"/>
    <w:basedOn w:val="1049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66" w:customStyle="1">
    <w:name w:val="Пункты Знак"/>
    <w:link w:val="1067"/>
    <w:pPr>
      <w:pBdr/>
      <w:spacing/>
      <w:ind/>
    </w:pPr>
    <w:rPr>
      <w:rFonts w:ascii="Calibri" w:hAnsi="Calibri" w:eastAsia="Calibri"/>
      <w:bCs/>
      <w:iCs/>
      <w:sz w:val="24"/>
      <w:szCs w:val="28"/>
    </w:rPr>
  </w:style>
  <w:style w:type="paragraph" w:styleId="1067" w:customStyle="1">
    <w:name w:val="Пункты"/>
    <w:basedOn w:val="1047"/>
    <w:link w:val="1066"/>
    <w:qFormat/>
    <w:pPr>
      <w:keepLines w:val="false"/>
      <w:pBdr/>
      <w:tabs>
        <w:tab w:val="left" w:leader="none" w:pos="1134"/>
      </w:tabs>
      <w:spacing w:before="120"/>
      <w:ind/>
      <w:jc w:val="both"/>
    </w:pPr>
    <w:rPr>
      <w:rFonts w:ascii="Calibri" w:hAnsi="Calibri" w:eastAsia="Calibri" w:cstheme="minorBidi"/>
      <w:b w:val="0"/>
      <w:iCs/>
      <w:color w:val="auto"/>
      <w:sz w:val="24"/>
      <w:szCs w:val="28"/>
      <w:lang w:eastAsia="en-US"/>
    </w:rPr>
  </w:style>
  <w:style w:type="character" w:styleId="1068" w:customStyle="1">
    <w:name w:val="Текст сноски Знак"/>
    <w:link w:val="1069"/>
    <w:pPr>
      <w:pBdr/>
      <w:spacing/>
      <w:ind/>
    </w:pPr>
    <w:rPr>
      <w:rFonts w:cs="Times New Roman"/>
      <w:sz w:val="20"/>
      <w:szCs w:val="20"/>
    </w:rPr>
  </w:style>
  <w:style w:type="paragraph" w:styleId="1069">
    <w:name w:val="footnote text"/>
    <w:basedOn w:val="1045"/>
    <w:link w:val="1068"/>
    <w:pPr>
      <w:pBdr/>
      <w:spacing w:after="60"/>
      <w:ind/>
      <w:jc w:val="both"/>
    </w:pPr>
    <w:rPr>
      <w:rFonts w:asciiTheme="minorHAnsi" w:hAnsiTheme="minorHAnsi" w:eastAsiaTheme="minorHAnsi"/>
      <w:sz w:val="20"/>
      <w:szCs w:val="20"/>
      <w:lang w:eastAsia="en-US"/>
    </w:rPr>
  </w:style>
  <w:style w:type="character" w:styleId="1070" w:customStyle="1">
    <w:name w:val="Текст сноски Знак1"/>
    <w:basedOn w:val="1049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71" w:customStyle="1">
    <w:name w:val="Верхний колонтитул Знак"/>
    <w:link w:val="1072"/>
    <w:uiPriority w:val="99"/>
    <w:pPr>
      <w:pBdr/>
      <w:spacing/>
      <w:ind/>
    </w:pPr>
    <w:rPr>
      <w:rFonts w:cs="Times New Roman"/>
      <w:sz w:val="24"/>
      <w:szCs w:val="24"/>
      <w:lang w:eastAsia="ru-RU"/>
    </w:rPr>
  </w:style>
  <w:style w:type="paragraph" w:styleId="1072">
    <w:name w:val="Header"/>
    <w:basedOn w:val="1045"/>
    <w:link w:val="1071"/>
    <w:uiPriority w:val="99"/>
    <w:pPr>
      <w:pBdr/>
      <w:tabs>
        <w:tab w:val="center" w:leader="none" w:pos="4677"/>
        <w:tab w:val="right" w:leader="none" w:pos="9355"/>
      </w:tabs>
      <w:spacing/>
      <w:ind/>
    </w:pPr>
    <w:rPr>
      <w:rFonts w:asciiTheme="minorHAnsi" w:hAnsiTheme="minorHAnsi" w:eastAsiaTheme="minorHAnsi"/>
    </w:rPr>
  </w:style>
  <w:style w:type="character" w:styleId="1073" w:customStyle="1">
    <w:name w:val="Верхний колонтитул Знак1"/>
    <w:basedOn w:val="1049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74" w:customStyle="1">
    <w:name w:val="ConsNormal Знак"/>
    <w:link w:val="1075"/>
    <w:pPr>
      <w:pBdr/>
      <w:spacing/>
      <w:ind/>
    </w:pPr>
    <w:rPr>
      <w:rFonts w:ascii="Arial" w:hAnsi="Arial" w:cs="Arial"/>
      <w:lang w:eastAsia="ru-RU"/>
    </w:rPr>
  </w:style>
  <w:style w:type="paragraph" w:styleId="1075" w:customStyle="1">
    <w:name w:val="ConsNormal"/>
    <w:link w:val="1074"/>
    <w:pPr>
      <w:pBdr/>
      <w:spacing w:after="0" w:line="240" w:lineRule="auto"/>
      <w:ind w:right="19772" w:firstLine="720"/>
    </w:pPr>
    <w:rPr>
      <w:rFonts w:ascii="Arial" w:hAnsi="Arial" w:cs="Arial"/>
      <w:lang w:eastAsia="ru-RU"/>
    </w:rPr>
  </w:style>
  <w:style w:type="paragraph" w:styleId="1076" w:customStyle="1">
    <w:name w:val="Heading"/>
    <w:pPr>
      <w:pBdr/>
      <w:spacing w:after="0" w:line="240" w:lineRule="auto"/>
      <w:ind/>
    </w:pPr>
    <w:rPr>
      <w:rFonts w:ascii="Arial" w:hAnsi="Arial" w:eastAsia="Times New Roman" w:cs="Arial"/>
      <w:b/>
      <w:bCs/>
      <w:lang w:eastAsia="ru-RU"/>
    </w:rPr>
  </w:style>
  <w:style w:type="paragraph" w:styleId="1077" w:customStyle="1">
    <w:name w:val="Абзац списка4"/>
    <w:basedOn w:val="1045"/>
    <w:uiPriority w:val="99"/>
    <w:qFormat/>
    <w:pPr>
      <w:pBdr/>
      <w:spacing/>
      <w:ind w:left="720"/>
      <w:contextualSpacing w:val="true"/>
    </w:pPr>
  </w:style>
  <w:style w:type="paragraph" w:styleId="1078" w:customStyle="1">
    <w:name w:val="Body Text Indent 31"/>
    <w:basedOn w:val="1045"/>
    <w:pPr>
      <w:pBdr/>
      <w:spacing w:line="312" w:lineRule="auto"/>
      <w:ind w:left="-142"/>
      <w:jc w:val="both"/>
    </w:pPr>
    <w:rPr>
      <w:sz w:val="28"/>
      <w:szCs w:val="28"/>
    </w:rPr>
  </w:style>
  <w:style w:type="paragraph" w:styleId="1079">
    <w:name w:val="List Paragraph"/>
    <w:basedOn w:val="1045"/>
    <w:link w:val="1080"/>
    <w:uiPriority w:val="34"/>
    <w:qFormat/>
    <w:pPr>
      <w:pBdr/>
      <w:spacing w:after="160" w:line="259" w:lineRule="auto"/>
      <w:ind w:left="720"/>
      <w:contextualSpacing w:val="true"/>
    </w:pPr>
    <w:rPr>
      <w:rFonts w:ascii="Calibri" w:hAnsi="Calibri" w:eastAsia="Calibri"/>
      <w:sz w:val="22"/>
      <w:szCs w:val="22"/>
      <w:lang w:eastAsia="en-US"/>
    </w:rPr>
  </w:style>
  <w:style w:type="character" w:styleId="1080" w:customStyle="1">
    <w:name w:val="Абзац списка Знак"/>
    <w:link w:val="1079"/>
    <w:uiPriority w:val="34"/>
    <w:pPr>
      <w:pBdr/>
      <w:spacing/>
      <w:ind/>
    </w:pPr>
    <w:rPr>
      <w:rFonts w:ascii="Calibri" w:hAnsi="Calibri" w:eastAsia="Calibri" w:cs="Times New Roman"/>
    </w:rPr>
  </w:style>
  <w:style w:type="character" w:styleId="1081" w:customStyle="1">
    <w:name w:val="Заголовок 2 Знак"/>
    <w:basedOn w:val="1049"/>
    <w:link w:val="1047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1082">
    <w:name w:val="Hyperlink"/>
    <w:uiPriority w:val="99"/>
    <w:unhideWhenUsed/>
    <w:pPr>
      <w:pBdr/>
      <w:spacing/>
      <w:ind/>
    </w:pPr>
    <w:rPr>
      <w:rFonts w:hint="default" w:ascii="Times New Roman" w:hAnsi="Times New Roman" w:cs="Times New Roman"/>
      <w:color w:val="0000ff"/>
      <w:u w:val="single"/>
    </w:rPr>
  </w:style>
  <w:style w:type="paragraph" w:styleId="1083" w:customStyle="1">
    <w:name w:val="Default"/>
    <w:pPr>
      <w:pBdr/>
      <w:spacing w:after="0" w:line="240" w:lineRule="auto"/>
      <w:ind/>
    </w:pPr>
    <w:rPr>
      <w:rFonts w:ascii="Times New Roman" w:hAnsi="Times New Roman" w:cs="Times New Roman"/>
      <w:color w:val="000000"/>
      <w:sz w:val="24"/>
      <w:szCs w:val="24"/>
    </w:rPr>
  </w:style>
  <w:style w:type="paragraph" w:styleId="1084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paragraph" w:styleId="1085">
    <w:name w:val="Balloon Text"/>
    <w:basedOn w:val="1045"/>
    <w:link w:val="1086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1086" w:customStyle="1">
    <w:name w:val="Текст выноски Знак"/>
    <w:basedOn w:val="1049"/>
    <w:link w:val="1085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eastAsia="ru-RU"/>
    </w:rPr>
  </w:style>
  <w:style w:type="character" w:styleId="1087">
    <w:name w:val="Emphasis"/>
    <w:qFormat/>
    <w:pPr>
      <w:pBdr/>
      <w:spacing/>
      <w:ind/>
    </w:pPr>
    <w:rPr>
      <w:i/>
      <w:iCs/>
    </w:rPr>
  </w:style>
  <w:style w:type="paragraph" w:styleId="1088" w:customStyle="1">
    <w:name w:val="ConsPlusTitle"/>
    <w:pPr>
      <w:widowControl w:val="false"/>
      <w:pBdr/>
      <w:spacing w:after="0" w:line="240" w:lineRule="auto"/>
      <w:ind/>
    </w:pPr>
    <w:rPr>
      <w:rFonts w:ascii="Calibri" w:hAnsi="Calibri" w:eastAsia="Times New Roman" w:cs="Calibri"/>
      <w:b/>
      <w:szCs w:val="20"/>
      <w:lang w:eastAsia="ru-RU"/>
    </w:rPr>
  </w:style>
  <w:style w:type="paragraph" w:styleId="1089">
    <w:name w:val="Normal (Web)"/>
    <w:basedOn w:val="1045"/>
    <w:unhideWhenUsed/>
    <w:pPr>
      <w:pBdr/>
      <w:spacing w:after="100" w:afterAutospacing="1" w:before="100" w:beforeAutospacing="1"/>
      <w:ind/>
    </w:pPr>
  </w:style>
  <w:style w:type="character" w:styleId="1090">
    <w:name w:val="Strong"/>
    <w:basedOn w:val="1049"/>
    <w:uiPriority w:val="22"/>
    <w:qFormat/>
    <w:pPr>
      <w:pBdr/>
      <w:spacing/>
      <w:ind/>
    </w:pPr>
    <w:rPr>
      <w:b/>
      <w:bCs/>
    </w:rPr>
  </w:style>
  <w:style w:type="character" w:styleId="1091" w:customStyle="1">
    <w:name w:val="Заголовок 1 Знак"/>
    <w:basedOn w:val="1049"/>
    <w:link w:val="1046"/>
    <w:uiPriority w:val="9"/>
    <w:pPr>
      <w:pBdr/>
      <w:spacing/>
      <w:ind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1092" w:customStyle="1">
    <w:name w:val="ff2bcad746e5c62a9ac9de5495275597nocollection"/>
    <w:basedOn w:val="1049"/>
    <w:pPr>
      <w:pBdr/>
      <w:spacing/>
      <w:ind/>
    </w:pPr>
  </w:style>
  <w:style w:type="character" w:styleId="1093" w:customStyle="1">
    <w:name w:val="wmi-callto"/>
    <w:basedOn w:val="1049"/>
    <w:pPr>
      <w:pBdr/>
      <w:spacing/>
      <w:ind/>
    </w:pPr>
  </w:style>
  <w:style w:type="character" w:styleId="1094" w:customStyle="1">
    <w:name w:val="DFN"/>
    <w:pPr>
      <w:pBdr/>
      <w:spacing/>
      <w:ind/>
    </w:pPr>
    <w:rPr>
      <w:b/>
      <w:bCs w:val="0"/>
    </w:rPr>
  </w:style>
  <w:style w:type="paragraph" w:styleId="1095">
    <w:name w:val="Body Text Indent"/>
    <w:basedOn w:val="1045"/>
    <w:link w:val="1096"/>
    <w:uiPriority w:val="99"/>
    <w:semiHidden/>
    <w:unhideWhenUsed/>
    <w:pPr>
      <w:pBdr/>
      <w:spacing w:after="120"/>
      <w:ind w:left="283"/>
    </w:pPr>
  </w:style>
  <w:style w:type="character" w:styleId="1096" w:customStyle="1">
    <w:name w:val="Основной текст с отступом Знак"/>
    <w:basedOn w:val="1049"/>
    <w:link w:val="1095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97" w:customStyle="1">
    <w:name w:val="Обычный1"/>
    <w:pPr>
      <w:widowControl w:val="false"/>
      <w:pBdr/>
      <w:spacing w:after="0" w:line="240" w:lineRule="auto"/>
      <w:ind w:firstLine="540"/>
      <w:jc w:val="both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1098" w:customStyle="1">
    <w:name w:val="Содержимое таблицы"/>
    <w:basedOn w:val="1045"/>
    <w:pPr>
      <w:widowControl w:val="false"/>
      <w:suppressLineNumbers w:val="true"/>
      <w:pBdr/>
      <w:spacing/>
      <w:ind/>
    </w:pPr>
    <w:rPr>
      <w:rFonts w:ascii="Liberation Serif" w:hAnsi="Liberation Serif" w:eastAsia="SimSun" w:cs="Mangal"/>
      <w:lang w:eastAsia="zh-CN" w:bidi="hi-IN"/>
    </w:rPr>
  </w:style>
  <w:style w:type="paragraph" w:styleId="1099" w:customStyle="1">
    <w:name w:val="Table Paragraph"/>
    <w:basedOn w:val="1045"/>
    <w:uiPriority w:val="1"/>
    <w:qFormat/>
    <w:pPr>
      <w:widowControl w:val="false"/>
      <w:pBdr/>
      <w:spacing/>
      <w:ind/>
    </w:pPr>
    <w:rPr>
      <w:rFonts w:ascii="Microsoft YaHei" w:hAnsi="Microsoft YaHei" w:eastAsia="Microsoft YaHei" w:cs="Microsoft YaHei"/>
      <w:sz w:val="22"/>
      <w:szCs w:val="22"/>
      <w:lang w:eastAsia="en-US"/>
    </w:rPr>
  </w:style>
  <w:style w:type="paragraph" w:styleId="1100">
    <w:name w:val="Footer"/>
    <w:basedOn w:val="1045"/>
    <w:link w:val="1101"/>
    <w:uiPriority w:val="99"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101" w:customStyle="1">
    <w:name w:val="Нижний колонтитул Знак"/>
    <w:basedOn w:val="1049"/>
    <w:link w:val="1100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102" w:customStyle="1">
    <w:name w:val="TableStyle5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hint="default" w:ascii="Arial" w:hAnsi="Arial" w:eastAsiaTheme="minorEastAsia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16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rPr>
      <w:cantSplit w:val="false"/>
      <w:jc w:val="left"/>
    </w:trPr>
    <w:tcPr>
      <w:tcBorders/>
      <w:tcW w:w="0" w:type="auto"/>
      <w:vAlign w:val="top"/>
      <w:vMerge w:val="restart"/>
      <w:hMerge w:val="restart"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103" w:customStyle="1">
    <w:name w:val="Другое"/>
    <w:basedOn w:val="916"/>
    <w:next w:val="942"/>
    <w:link w:val="941"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40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en-US" w:eastAsia="en-US" w:bidi="ar-SA"/>
      <w14:ligatures w14:val="none"/>
    </w:rPr>
  </w:style>
  <w:style w:type="paragraph" w:styleId="1104" w:customStyle="1">
    <w:name w:val="Без интервала1"/>
    <w:next w:val="938"/>
    <w:link w:val="905"/>
    <w:uiPriority w:val="99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ar-SA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hyperlink" Target="consultantplus://offline/ref=E57066D4950B4C4B65D9492E146FFE79801F34D9965456B7D4F94AE81755E43D48460190A1F8D33145633D070D4ECA8408BDB62D44B5F234G7k2P" TargetMode="External"/><Relationship Id="rId15" Type="http://schemas.openxmlformats.org/officeDocument/2006/relationships/hyperlink" Target="consultantplus://offline/ref=E57066D4950B4C4B65D9492E146FFE79801F34D9965456B7D4F94AE81755E43D48460198A6F8DB67112C3C5B4B1CD9860ABDB4285BGBkEP" TargetMode="External"/><Relationship Id="rId16" Type="http://schemas.openxmlformats.org/officeDocument/2006/relationships/hyperlink" Target="consultantplus://offline/ref=E57066D4950B4C4B65D9492E146FFE79801F34D9965456B7D4F94AE81755E43D48460190A3F9D73814392D034419C0980FA6A82A5AB6GFkBP" TargetMode="External"/><Relationship Id="rId17" Type="http://schemas.openxmlformats.org/officeDocument/2006/relationships/hyperlink" Target="consultantplus://offline/ref=E57066D4950B4C4B65D9492E146FFE79801F34D9965456B7D4F94AE81755E43D48460190A1F8D33045633D070D4ECA8408BDB62D44B5F234G7k2P" TargetMode="External"/><Relationship Id="rId18" Type="http://schemas.openxmlformats.org/officeDocument/2006/relationships/hyperlink" Target="consultantplus://offline/ref=E57066D4950B4C4B65D9492E146FFE79801F34D9965456B7D4F94AE81755E43D48460190A3F8D53814392D034419C0980FA6A82A5AB6GFkBP" TargetMode="External"/><Relationship Id="rId19" Type="http://schemas.openxmlformats.org/officeDocument/2006/relationships/hyperlink" Target="consultantplus://offline/ref=E57066D4950B4C4B65D9492E146FFE79801F34D9965456B7D4F94AE81755E43D48460190A0FFD23814392D034419C0980FA6A82A5AB6GFkBP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727FC53E-DC9F-4DF1-A1A7-DF0D7B783934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11</cp:revision>
  <dcterms:created xsi:type="dcterms:W3CDTF">2024-02-20T19:12:00Z</dcterms:created>
  <dcterms:modified xsi:type="dcterms:W3CDTF">2026-06-06T22:39:23Z</dcterms:modified>
</cp:coreProperties>
</file>