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jc w:val="center"/>
        <w:rPr>
          <w:b/>
        </w:rPr>
      </w:pPr>
      <w:r>
        <w:rPr>
          <w:b/>
        </w:rPr>
        <w:t xml:space="preserve"> КОНТРАКТ № </w:t>
      </w:r>
    </w:p>
    <w:p>
      <w:pPr>
        <w:jc w:val="both"/>
      </w:pPr>
      <w:r>
        <w:t>г. Санкт- Петербург                                                                                от «  » аиюня 2026 г.</w:t>
      </w:r>
    </w:p>
    <w:p>
      <w:pPr>
        <w:jc w:val="both"/>
      </w:pPr>
    </w:p>
    <w:p>
      <w:pPr>
        <w:jc w:val="both"/>
        <w:rPr>
          <w:sz w:val="22"/>
          <w:szCs w:val="22"/>
        </w:rPr>
      </w:pPr>
    </w:p>
    <w:p>
      <w:pPr>
        <w:jc w:val="both"/>
      </w:pPr>
      <w:r>
        <w:t xml:space="preserve">     ГОСУДАРСТВЕННОЕ БЮДЖЕТНОЕ ДОШКОЛЬНОЕ ОБРАЗОВАТЕЛЬНОЕ УЧРЕЖДЕНИЕ ДЕТСКИЙ САД № 80 МОСКОВСКОГО РАЙОНА САНКТ-ПЕТЕРБУРГА, именуемое в дальнейшем «Заказчик», в лице Заведующей Федорова Надежда Александровна, действующего на основании Устава, с одной стороны и </w:t>
      </w:r>
      <w:r>
        <w:rPr>
          <w:color w:val="000000" w:themeColor="text1"/>
          <w:sz w:val="22"/>
          <w:szCs w:val="22"/>
          <w:shd w:val="clear" w:color="auto" w:fill="FFFFFF"/>
        </w:rPr>
        <w:t>_____</w:t>
      </w:r>
      <w:r>
        <w:rPr>
          <w:color w:val="000000" w:themeColor="text1"/>
          <w:sz w:val="22"/>
          <w:szCs w:val="22"/>
        </w:rPr>
        <w:t xml:space="preserve"> , именуемый в дальнейшем «Поставщик», в лице ____, действующего на основании ___</w:t>
      </w:r>
      <w:r>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pPr>
        <w:jc w:val="both"/>
      </w:pPr>
    </w:p>
    <w:p>
      <w:pPr>
        <w:jc w:val="center"/>
        <w:rPr>
          <w:b/>
        </w:rPr>
      </w:pPr>
      <w:r>
        <w:rPr>
          <w:b/>
        </w:rPr>
        <w:t>1. Предмет контракта</w:t>
      </w:r>
    </w:p>
    <w:p>
      <w:pPr>
        <w:ind w:firstLine="708"/>
        <w:jc w:val="both"/>
      </w:pPr>
      <w:r>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pPr>
        <w:jc w:val="both"/>
        <w:rPr>
          <w:rFonts w:ascii="Arial" w:hAnsi="Arial" w:cs="Arial"/>
          <w:color w:val="333333"/>
          <w:sz w:val="20"/>
          <w:szCs w:val="20"/>
          <w:shd w:val="clear" w:color="auto" w:fill="FFFFFF"/>
        </w:rPr>
      </w:pPr>
      <w:r>
        <w:t xml:space="preserve">Идентификационный код </w:t>
      </w:r>
      <w:r>
        <w:rPr>
          <w:sz w:val="22"/>
          <w:szCs w:val="22"/>
        </w:rPr>
        <w:t>закупки:</w:t>
      </w:r>
      <w:r>
        <w:rPr>
          <w:rFonts w:ascii="Arial" w:hAnsi="Arial" w:cs="Arial"/>
          <w:color w:val="333333"/>
          <w:sz w:val="20"/>
          <w:szCs w:val="20"/>
          <w:shd w:val="clear" w:color="auto" w:fill="FFFFFF"/>
        </w:rPr>
        <w:t xml:space="preserve"> </w:t>
      </w:r>
      <w:r>
        <w:rPr>
          <w:sz w:val="22"/>
          <w:szCs w:val="22"/>
        </w:rPr>
        <w:t>***</w:t>
      </w:r>
    </w:p>
    <w:p>
      <w:pPr>
        <w:jc w:val="both"/>
      </w:pPr>
    </w:p>
    <w:p>
      <w:pPr>
        <w:jc w:val="center"/>
        <w:rPr>
          <w:b/>
        </w:rPr>
      </w:pPr>
      <w:r>
        <w:rPr>
          <w:b/>
        </w:rPr>
        <w:t>2. Цена Контракта и порядок расчетов</w:t>
      </w:r>
    </w:p>
    <w:p>
      <w:pPr>
        <w:ind w:firstLine="708"/>
        <w:jc w:val="both"/>
      </w:pPr>
      <w:r>
        <w:t xml:space="preserve">2.1. Цена контракта составляет ___ рублей ___ копеек (____рублей __ копеек), включая </w:t>
      </w:r>
      <w:r>
        <w:rPr>
          <w:color w:val="000000"/>
          <w:sz w:val="22"/>
          <w:szCs w:val="22"/>
        </w:rPr>
        <w:t>НДС</w:t>
      </w:r>
      <w:r>
        <w:t>, и определена в Спецификации (Приложение № 1 к Контракту), являющейся неотъемлемой частью Контракта</w:t>
      </w:r>
    </w:p>
    <w:p>
      <w:pPr>
        <w:ind w:firstLine="708"/>
        <w:jc w:val="both"/>
      </w:pPr>
      <w:r>
        <w:t xml:space="preserve">Источник финансирования: Внебюджетные средства. Средства бюджетных учреждений.  Код вида расходов 244 </w:t>
      </w:r>
    </w:p>
    <w:p>
      <w:pPr>
        <w:ind w:firstLine="708"/>
        <w:jc w:val="both"/>
      </w:pPr>
      <w: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pPr>
        <w:ind w:firstLine="708"/>
        <w:jc w:val="both"/>
      </w:pPr>
      <w:r>
        <w:t>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10 (десяти) рабочих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pPr>
        <w:ind w:firstLine="708"/>
        <w:jc w:val="both"/>
      </w:pPr>
      <w:r>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pPr>
        <w:jc w:val="both"/>
      </w:pPr>
    </w:p>
    <w:p>
      <w:pPr>
        <w:jc w:val="center"/>
        <w:rPr>
          <w:b/>
        </w:rPr>
      </w:pPr>
      <w:r>
        <w:rPr>
          <w:b/>
        </w:rPr>
        <w:t>3. Порядок поставки Товара</w:t>
      </w:r>
    </w:p>
    <w:p>
      <w:pPr>
        <w:ind w:firstLine="708"/>
        <w:jc w:val="both"/>
      </w:pPr>
      <w:r>
        <w:t xml:space="preserve">3.1 Требования к качеству Товара, комплектности, таре, упаковке, маркировке </w:t>
      </w:r>
      <w:r>
        <w:br/>
        <w:t xml:space="preserve">и иные требования содержатся в Техническом задании, являющемся неотъемлемой частью настоящего Контракта (Приложение № 2 к Контракту). </w:t>
      </w:r>
    </w:p>
    <w:p>
      <w:pPr>
        <w:ind w:firstLine="708"/>
        <w:jc w:val="both"/>
      </w:pPr>
      <w:r>
        <w:t>3.2. Поставка Товара осуществляется по адресу, указанному в Техническом задании (приложение № 2 к Контракту).</w:t>
      </w:r>
    </w:p>
    <w:p>
      <w:pPr>
        <w:ind w:firstLine="708"/>
        <w:jc w:val="both"/>
      </w:pPr>
      <w:r>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pPr>
        <w:ind w:firstLine="708"/>
        <w:jc w:val="both"/>
      </w:pPr>
      <w: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pPr>
        <w:ind w:firstLine="708"/>
        <w:jc w:val="both"/>
      </w:pPr>
      <w:r>
        <w:t xml:space="preserve">3.5. Срок поставки Товара указывается в Техническом задании (приложение </w:t>
      </w:r>
      <w:r>
        <w:br/>
        <w:t>№ 2 к Контракту).</w:t>
      </w:r>
    </w:p>
    <w:p>
      <w:pPr>
        <w:jc w:val="center"/>
      </w:pPr>
    </w:p>
    <w:p>
      <w:pPr>
        <w:jc w:val="center"/>
        <w:rPr>
          <w:b/>
        </w:rPr>
      </w:pPr>
      <w:r>
        <w:rPr>
          <w:b/>
        </w:rPr>
        <w:t>4. Порядок приемки Товара</w:t>
      </w:r>
    </w:p>
    <w:p>
      <w:pPr>
        <w:ind w:firstLine="708"/>
        <w:jc w:val="both"/>
      </w:pPr>
      <w: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pPr>
        <w:ind w:firstLine="708"/>
        <w:jc w:val="both"/>
      </w:pPr>
      <w:r>
        <w:t>4.2. Срок приемки указан в Техническом задании (приложение № 2 к Контракту).</w:t>
      </w:r>
    </w:p>
    <w:p>
      <w:pPr>
        <w:ind w:firstLine="708"/>
        <w:jc w:val="both"/>
      </w:pPr>
      <w: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pPr>
        <w:ind w:firstLine="708"/>
        <w:jc w:val="both"/>
      </w:pPr>
      <w: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br/>
        <w:t>в уведомлении, последний отказывается от приемки и оплаты. Мотивированный отказ направляется Поставщику в письменной форме.</w:t>
      </w:r>
    </w:p>
    <w:p>
      <w:pPr>
        <w:ind w:firstLine="708"/>
        <w:jc w:val="both"/>
      </w:pPr>
      <w: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pPr>
        <w:ind w:firstLine="708"/>
        <w:jc w:val="both"/>
      </w:pPr>
      <w: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pPr>
        <w:ind w:firstLine="708"/>
        <w:jc w:val="both"/>
      </w:pPr>
      <w:r>
        <w:t>4.7. Все расходы, связанные с устранением недостатков, несет Поставщик.</w:t>
      </w:r>
    </w:p>
    <w:p>
      <w:pPr>
        <w:jc w:val="both"/>
      </w:pPr>
    </w:p>
    <w:p>
      <w:pPr>
        <w:jc w:val="center"/>
        <w:rPr>
          <w:b/>
        </w:rPr>
      </w:pPr>
      <w:r>
        <w:rPr>
          <w:b/>
        </w:rPr>
        <w:t>5. Права и обязанности сторон</w:t>
      </w:r>
    </w:p>
    <w:p>
      <w:pPr>
        <w:ind w:firstLine="708"/>
        <w:jc w:val="both"/>
      </w:pPr>
      <w:r>
        <w:t>5.1. Заказчик вправе:</w:t>
      </w:r>
    </w:p>
    <w:p>
      <w:pPr>
        <w:ind w:firstLine="708"/>
        <w:jc w:val="both"/>
      </w:pPr>
      <w:r>
        <w:t xml:space="preserve">5.1.1.Требовать от Поставщика надлежащего исполнения обязательств </w:t>
      </w:r>
      <w:r>
        <w:br/>
        <w:t>в соответствии с Контрактом, а также требовать своевременного устранения выявленных недостатков.</w:t>
      </w:r>
    </w:p>
    <w:p>
      <w:pPr>
        <w:ind w:firstLine="708"/>
        <w:jc w:val="both"/>
      </w:pPr>
      <w: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pPr>
        <w:ind w:firstLine="708"/>
        <w:jc w:val="both"/>
      </w:pPr>
      <w:r>
        <w:t>5.1.3. Запрашивать у Поставщика информацию о ходе исполнения обязательств по Контракту.</w:t>
      </w:r>
    </w:p>
    <w:p>
      <w:pPr>
        <w:ind w:firstLine="708"/>
        <w:jc w:val="both"/>
      </w:pPr>
      <w: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pPr>
        <w:ind w:firstLine="708"/>
        <w:jc w:val="both"/>
      </w:pPr>
      <w:r>
        <w:t>5.1.5. Отказаться от приемки Товара в случаях, предусмотренных Контрактом.</w:t>
      </w:r>
    </w:p>
    <w:p>
      <w:pPr>
        <w:ind w:firstLine="708"/>
        <w:jc w:val="both"/>
      </w:pPr>
      <w:r>
        <w:t>5.1.6. В одностороннем порядке отказаться от исполнения Контракта в соответствии с Законом о контрактной системе.</w:t>
      </w:r>
    </w:p>
    <w:p>
      <w:pPr>
        <w:ind w:firstLine="708"/>
        <w:jc w:val="both"/>
      </w:pPr>
      <w:r>
        <w:t>5.2. Заказчик обязан:</w:t>
      </w:r>
    </w:p>
    <w:p>
      <w:pPr>
        <w:ind w:firstLine="708"/>
        <w:jc w:val="both"/>
      </w:pPr>
      <w:r>
        <w:t>5.2.1. Своевременно принять поставленный Товар в соответствии с Контрактом, включая проведение экспертизы поставленного Товара.</w:t>
      </w:r>
    </w:p>
    <w:p>
      <w:pPr>
        <w:ind w:firstLine="708"/>
        <w:jc w:val="both"/>
      </w:pPr>
      <w:r>
        <w:lastRenderedPageBreak/>
        <w:t xml:space="preserve">5.2.2. Своевременно оплатить поставленный Товар надлежащего качества </w:t>
      </w:r>
      <w:r>
        <w:br/>
        <w:t>в соответствии с Контрактом.</w:t>
      </w:r>
    </w:p>
    <w:p>
      <w:pPr>
        <w:ind w:firstLine="708"/>
        <w:jc w:val="both"/>
      </w:pPr>
      <w:r>
        <w:t>5.3. Поставщик вправе:</w:t>
      </w:r>
    </w:p>
    <w:p>
      <w:pPr>
        <w:ind w:firstLine="708"/>
        <w:jc w:val="both"/>
      </w:pPr>
      <w:r>
        <w:t xml:space="preserve">5.3.1. Требовать своевременной приемки и оплаты за поставленный Товар </w:t>
      </w:r>
      <w:r>
        <w:br/>
        <w:t>в соответствии с условиями Контракта.</w:t>
      </w:r>
    </w:p>
    <w:p>
      <w:pPr>
        <w:ind w:firstLine="708"/>
        <w:jc w:val="both"/>
      </w:pPr>
      <w:r>
        <w:t xml:space="preserve">5.3.2. Запрашивать у Заказчика разъяснения и уточнения относительно Товара </w:t>
      </w:r>
      <w:r>
        <w:br/>
        <w:t>в рамках Контракта.</w:t>
      </w:r>
    </w:p>
    <w:p>
      <w:pPr>
        <w:ind w:firstLine="708"/>
        <w:jc w:val="both"/>
      </w:pPr>
      <w:r>
        <w:t xml:space="preserve">5.3.3. Получать от Заказчика содействие при поставке Товара в соответствии </w:t>
      </w:r>
      <w:r>
        <w:br/>
        <w:t>с условиями Контракта.</w:t>
      </w:r>
    </w:p>
    <w:p>
      <w:pPr>
        <w:ind w:firstLine="708"/>
        <w:jc w:val="both"/>
      </w:pPr>
      <w:r>
        <w:t>5.3.4. Досрочно исполнить обязательства по Контракту с согласия Заказчика.</w:t>
      </w:r>
    </w:p>
    <w:p>
      <w:pPr>
        <w:ind w:firstLine="708"/>
        <w:jc w:val="both"/>
      </w:pPr>
      <w:r>
        <w:t>5.4. Поставщик обязан:</w:t>
      </w:r>
    </w:p>
    <w:p>
      <w:pPr>
        <w:ind w:firstLine="708"/>
        <w:jc w:val="both"/>
      </w:pPr>
      <w:r>
        <w:t>5.4.1. Своевременно и надлежащим образом исполнять обязательства по поставке Товара в соответствии с условиями Контракта.</w:t>
      </w:r>
    </w:p>
    <w:p>
      <w:pPr>
        <w:ind w:firstLine="708"/>
        <w:jc w:val="both"/>
      </w:pPr>
      <w: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pPr>
        <w:ind w:firstLine="708"/>
        <w:jc w:val="both"/>
      </w:pPr>
      <w:r>
        <w:t xml:space="preserve">5.4.4. Приостановить поставку Товара в случае обнаружения не зависящих </w:t>
      </w:r>
      <w: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t>и сообщить об этом Заказчику в течение одного рабочего дня после приостановления поставки.</w:t>
      </w:r>
    </w:p>
    <w:p>
      <w:pPr>
        <w:ind w:firstLine="708"/>
        <w:jc w:val="both"/>
      </w:pPr>
      <w: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pPr>
        <w:ind w:firstLine="708"/>
        <w:jc w:val="both"/>
      </w:pPr>
      <w:r>
        <w:t>5.5. Поставщик гарантирует, что на момент заключения Контракта:</w:t>
      </w:r>
    </w:p>
    <w:p>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pPr>
        <w:ind w:firstLine="708"/>
        <w:jc w:val="both"/>
      </w:pPr>
      <w:r>
        <w:t>5.5.2. Не обременен обязательствами имущественного характера, способными помешать исполнению обязательств по Контракту.</w:t>
      </w:r>
    </w:p>
    <w:p>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pPr>
        <w:ind w:firstLine="708"/>
        <w:jc w:val="both"/>
      </w:pPr>
      <w:r>
        <w:lastRenderedPageBreak/>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pPr>
        <w:ind w:firstLine="708"/>
        <w:jc w:val="both"/>
      </w:pPr>
      <w:r>
        <w:t xml:space="preserve">5.5.7. </w:t>
      </w:r>
      <w:r>
        <w:rPr>
          <w:rFonts w:eastAsiaTheme="minorHAnsi"/>
          <w:lang w:eastAsia="en-US"/>
        </w:rPr>
        <w:t>Поставщик не является иностранным агентом.</w:t>
      </w:r>
    </w:p>
    <w:p>
      <w:pPr>
        <w:ind w:firstLine="708"/>
        <w:jc w:val="both"/>
      </w:pPr>
      <w:r>
        <w:t>5.5.8. У Поставщика отсутствуют ограничения для участия в закупках, установленных законодательством Российской Федерации.</w:t>
      </w:r>
    </w:p>
    <w:p>
      <w:pPr>
        <w:ind w:firstLine="708"/>
        <w:jc w:val="both"/>
      </w:pPr>
    </w:p>
    <w:p>
      <w:pPr>
        <w:jc w:val="center"/>
        <w:rPr>
          <w:b/>
        </w:rPr>
      </w:pPr>
      <w:r>
        <w:rPr>
          <w:b/>
        </w:rPr>
        <w:t>6. Гарантии</w:t>
      </w:r>
    </w:p>
    <w:p>
      <w:pPr>
        <w:ind w:firstLine="708"/>
        <w:jc w:val="both"/>
      </w:pPr>
      <w: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pPr>
        <w:ind w:firstLine="708"/>
        <w:jc w:val="both"/>
      </w:pPr>
      <w:r>
        <w:t>6.4. Все расходы, связанные с заменой Товара, ненадлежащего качества, осуществляются за счет Поставщика.</w:t>
      </w:r>
    </w:p>
    <w:p>
      <w:pPr>
        <w:jc w:val="center"/>
        <w:rPr>
          <w:b/>
        </w:rPr>
      </w:pPr>
    </w:p>
    <w:p>
      <w:pPr>
        <w:jc w:val="center"/>
        <w:rPr>
          <w:b/>
        </w:rPr>
      </w:pPr>
      <w:r>
        <w:rPr>
          <w:b/>
        </w:rPr>
        <w:t>7. Ответственность сторон</w:t>
      </w:r>
    </w:p>
    <w:p>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pPr>
        <w:ind w:firstLine="708"/>
        <w:jc w:val="both"/>
      </w:pPr>
      <w: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pPr>
        <w:ind w:firstLine="708"/>
        <w:jc w:val="both"/>
      </w:pPr>
      <w: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pPr>
        <w:ind w:firstLine="708"/>
        <w:jc w:val="both"/>
      </w:pPr>
      <w: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pPr>
        <w:ind w:firstLine="708"/>
        <w:jc w:val="both"/>
      </w:pPr>
      <w:r>
        <w:lastRenderedPageBreak/>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pPr>
        <w:ind w:firstLine="708"/>
        <w:jc w:val="both"/>
      </w:pPr>
      <w: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Pr>
          <w:rFonts w:eastAsiaTheme="minorHAnsi"/>
          <w:lang w:eastAsia="en-US"/>
        </w:rPr>
        <w:t>(в том числе гарантийного обязательства)</w:t>
      </w:r>
      <w:r>
        <w:t>, предусмотренных Контрактом, размер штрафа устанавливается в виде фиксированной суммы в размере 10 % цены контракта.</w:t>
      </w:r>
    </w:p>
    <w:p>
      <w:pPr>
        <w:ind w:firstLine="708"/>
        <w:jc w:val="both"/>
      </w:pPr>
      <w: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pPr>
        <w:ind w:firstLine="708"/>
        <w:jc w:val="both"/>
      </w:pPr>
      <w: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br/>
        <w:t>не может превышать цену Контракта.</w:t>
      </w:r>
    </w:p>
    <w:p>
      <w:pPr>
        <w:ind w:firstLine="708"/>
        <w:jc w:val="both"/>
      </w:pPr>
      <w: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pPr>
        <w:ind w:firstLine="708"/>
        <w:jc w:val="both"/>
      </w:pPr>
      <w: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pPr>
        <w:ind w:firstLine="708"/>
        <w:jc w:val="both"/>
      </w:pPr>
      <w: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pPr>
        <w:ind w:firstLine="708"/>
        <w:jc w:val="both"/>
      </w:pPr>
    </w:p>
    <w:p>
      <w:pPr>
        <w:jc w:val="center"/>
        <w:rPr>
          <w:b/>
        </w:rPr>
      </w:pPr>
      <w:r>
        <w:rPr>
          <w:b/>
        </w:rPr>
        <w:t>8. Срок действия, порядок изменения и расторжения Контракта.</w:t>
      </w:r>
    </w:p>
    <w:p>
      <w:pPr>
        <w:ind w:firstLine="708"/>
        <w:jc w:val="both"/>
      </w:pPr>
      <w:r>
        <w:t>8.1. Контракт вступает в силу со дня его подписания Сторонами.</w:t>
      </w:r>
    </w:p>
    <w:p>
      <w:pPr>
        <w:ind w:firstLine="708"/>
        <w:jc w:val="both"/>
      </w:pPr>
      <w:r>
        <w:t xml:space="preserve">8.2. Контракт действует по 31.12.2026, но в любом случае до полного исполнения Сторонами обязательств по Контракту в полном объеме, в том числе и гарантийных обязательств. </w:t>
      </w:r>
    </w:p>
    <w:p>
      <w:pPr>
        <w:ind w:firstLine="708"/>
        <w:jc w:val="both"/>
      </w:pPr>
      <w:r>
        <w:t>8.3. Контракт может быть расторгнут:</w:t>
      </w:r>
    </w:p>
    <w:p>
      <w:pPr>
        <w:jc w:val="both"/>
      </w:pPr>
      <w:r>
        <w:t>- по соглашению сторон;</w:t>
      </w:r>
    </w:p>
    <w:p>
      <w:pPr>
        <w:jc w:val="both"/>
      </w:pPr>
      <w:r>
        <w:t>- по решению суда;</w:t>
      </w:r>
    </w:p>
    <w:p>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pPr>
        <w:ind w:firstLine="708"/>
        <w:jc w:val="both"/>
      </w:pPr>
      <w: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pPr>
        <w:ind w:firstLine="708"/>
        <w:jc w:val="both"/>
      </w:pPr>
      <w:r>
        <w:t>8.5. Односторонний отказ от исполнения Контракта должен происходить в порядке, предусмотренном Законом о контрактной системе.</w:t>
      </w:r>
    </w:p>
    <w:p>
      <w:pPr>
        <w:ind w:firstLine="708"/>
        <w:jc w:val="both"/>
      </w:pPr>
      <w: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pPr>
        <w:autoSpaceDE w:val="0"/>
        <w:autoSpaceDN w:val="0"/>
        <w:adjustRightInd w:val="0"/>
        <w:ind w:firstLine="709"/>
        <w:jc w:val="both"/>
        <w:rPr>
          <w:rFonts w:eastAsia="Calibri"/>
        </w:rPr>
      </w:pPr>
      <w:r>
        <w:rPr>
          <w:color w:val="000000"/>
        </w:rPr>
        <w:lastRenderedPageBreak/>
        <w:t>8.7. В случае принятия Заказчиком решения об одностороннем отказе от исполнения Контракта</w:t>
      </w:r>
      <w:r>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pPr>
        <w:autoSpaceDE w:val="0"/>
        <w:autoSpaceDN w:val="0"/>
        <w:adjustRightInd w:val="0"/>
        <w:ind w:firstLine="709"/>
        <w:jc w:val="both"/>
        <w:rPr>
          <w:rFonts w:eastAsia="Calibri"/>
        </w:rPr>
      </w:pPr>
      <w:r>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pPr>
        <w:autoSpaceDE w:val="0"/>
        <w:autoSpaceDN w:val="0"/>
        <w:adjustRightInd w:val="0"/>
        <w:ind w:firstLine="709"/>
        <w:jc w:val="both"/>
        <w:rPr>
          <w:rFonts w:eastAsia="Calibri"/>
        </w:rPr>
      </w:pPr>
      <w:r>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pPr>
        <w:autoSpaceDE w:val="0"/>
        <w:autoSpaceDN w:val="0"/>
        <w:adjustRightInd w:val="0"/>
        <w:ind w:firstLine="709"/>
        <w:jc w:val="both"/>
        <w:rPr>
          <w:rFonts w:eastAsia="Calibri"/>
        </w:rPr>
      </w:pPr>
      <w:r>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pPr>
        <w:autoSpaceDE w:val="0"/>
        <w:autoSpaceDN w:val="0"/>
        <w:adjustRightInd w:val="0"/>
        <w:ind w:firstLine="709"/>
        <w:jc w:val="both"/>
        <w:rPr>
          <w:rFonts w:eastAsia="Calibri"/>
        </w:rPr>
      </w:pPr>
      <w:r>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pPr>
        <w:autoSpaceDE w:val="0"/>
        <w:autoSpaceDN w:val="0"/>
        <w:adjustRightInd w:val="0"/>
        <w:ind w:firstLine="709"/>
        <w:jc w:val="both"/>
        <w:rPr>
          <w:rFonts w:eastAsia="Calibri"/>
        </w:rPr>
      </w:pPr>
      <w:r>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pPr>
        <w:autoSpaceDE w:val="0"/>
        <w:autoSpaceDN w:val="0"/>
        <w:adjustRightInd w:val="0"/>
        <w:ind w:firstLine="709"/>
        <w:jc w:val="both"/>
        <w:rPr>
          <w:rFonts w:eastAsia="Calibri"/>
        </w:rPr>
      </w:pPr>
      <w:r>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rFonts w:eastAsia="Calibri"/>
          <w:color w:val="000000"/>
        </w:rPr>
        <w:t>пунктом 1 части 10 статьи 104</w:t>
      </w:r>
      <w:r>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pPr>
        <w:autoSpaceDE w:val="0"/>
        <w:autoSpaceDN w:val="0"/>
        <w:adjustRightInd w:val="0"/>
        <w:ind w:firstLine="709"/>
        <w:jc w:val="both"/>
        <w:rPr>
          <w:rFonts w:eastAsia="Calibri"/>
        </w:rPr>
      </w:pPr>
      <w:r>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pPr>
        <w:autoSpaceDE w:val="0"/>
        <w:autoSpaceDN w:val="0"/>
        <w:adjustRightInd w:val="0"/>
        <w:ind w:firstLine="709"/>
        <w:jc w:val="both"/>
        <w:rPr>
          <w:rFonts w:eastAsia="Calibri"/>
        </w:rPr>
      </w:pPr>
      <w:r>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pPr>
        <w:autoSpaceDE w:val="0"/>
        <w:autoSpaceDN w:val="0"/>
        <w:adjustRightInd w:val="0"/>
        <w:ind w:firstLine="709"/>
        <w:jc w:val="both"/>
        <w:rPr>
          <w:rFonts w:eastAsia="Calibri"/>
        </w:rPr>
      </w:pPr>
      <w:r>
        <w:rPr>
          <w:rFonts w:eastAsia="Calibri"/>
        </w:rPr>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w:t>
      </w:r>
      <w:r>
        <w:rPr>
          <w:rFonts w:eastAsia="Calibri"/>
        </w:rPr>
        <w:lastRenderedPageBreak/>
        <w:t>(в случае передачи такого решения лицу, имеющему право действовать от имени Заказчика, лично под расписку);</w:t>
      </w:r>
    </w:p>
    <w:p>
      <w:pPr>
        <w:autoSpaceDE w:val="0"/>
        <w:autoSpaceDN w:val="0"/>
        <w:adjustRightInd w:val="0"/>
        <w:ind w:firstLine="709"/>
        <w:jc w:val="both"/>
        <w:rPr>
          <w:rFonts w:eastAsia="Calibri"/>
        </w:rPr>
      </w:pPr>
      <w:r>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pPr>
        <w:autoSpaceDE w:val="0"/>
        <w:autoSpaceDN w:val="0"/>
        <w:adjustRightInd w:val="0"/>
        <w:ind w:firstLine="709"/>
        <w:jc w:val="both"/>
        <w:rPr>
          <w:rFonts w:eastAsia="Calibri"/>
        </w:rPr>
      </w:pPr>
      <w:r>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pPr>
        <w:autoSpaceDE w:val="0"/>
        <w:autoSpaceDN w:val="0"/>
        <w:adjustRightInd w:val="0"/>
        <w:ind w:firstLine="709"/>
        <w:jc w:val="both"/>
        <w:rPr>
          <w:rFonts w:eastAsia="Calibri"/>
        </w:rPr>
      </w:pPr>
      <w:r>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pPr>
        <w:autoSpaceDE w:val="0"/>
        <w:autoSpaceDN w:val="0"/>
        <w:adjustRightInd w:val="0"/>
        <w:ind w:firstLine="709"/>
        <w:jc w:val="both"/>
        <w:rPr>
          <w:rFonts w:eastAsia="Calibri"/>
        </w:rPr>
      </w:pPr>
      <w:r>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pPr>
        <w:ind w:firstLine="708"/>
        <w:jc w:val="both"/>
      </w:pPr>
      <w: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pPr>
        <w:jc w:val="center"/>
        <w:rPr>
          <w:b/>
        </w:rPr>
      </w:pPr>
    </w:p>
    <w:p>
      <w:pPr>
        <w:jc w:val="center"/>
        <w:rPr>
          <w:b/>
        </w:rPr>
      </w:pPr>
      <w:r>
        <w:rPr>
          <w:b/>
        </w:rPr>
        <w:t>9. Порядок урегулирования споров</w:t>
      </w:r>
    </w:p>
    <w:p>
      <w:pPr>
        <w:ind w:firstLine="708"/>
        <w:jc w:val="both"/>
      </w:pPr>
      <w: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pPr>
        <w:ind w:firstLine="708"/>
        <w:jc w:val="both"/>
      </w:pPr>
      <w: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pPr>
        <w:ind w:firstLine="708"/>
        <w:jc w:val="both"/>
      </w:pPr>
      <w: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pPr>
        <w:jc w:val="center"/>
        <w:rPr>
          <w:b/>
        </w:rPr>
      </w:pPr>
    </w:p>
    <w:p>
      <w:pPr>
        <w:jc w:val="center"/>
        <w:rPr>
          <w:b/>
        </w:rPr>
      </w:pPr>
      <w:r>
        <w:rPr>
          <w:b/>
        </w:rPr>
        <w:t>10. Прочие условия</w:t>
      </w:r>
    </w:p>
    <w:p>
      <w:pPr>
        <w:widowControl w:val="0"/>
        <w:autoSpaceDE w:val="0"/>
        <w:autoSpaceDN w:val="0"/>
        <w:adjustRightInd w:val="0"/>
        <w:ind w:firstLine="709"/>
        <w:jc w:val="both"/>
      </w:pPr>
      <w: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pPr>
        <w:ind w:firstLine="708"/>
        <w:jc w:val="both"/>
      </w:pPr>
      <w:r>
        <w:t>10.2. Во всем, что не предусмотрено Контрактом, Стороны руководствуются законодательством Российской Федерации.</w:t>
      </w:r>
    </w:p>
    <w:p>
      <w:pPr>
        <w:ind w:firstLine="708"/>
        <w:jc w:val="both"/>
      </w:pPr>
    </w:p>
    <w:p>
      <w:pPr>
        <w:jc w:val="center"/>
        <w:rPr>
          <w:b/>
        </w:rPr>
      </w:pPr>
      <w:r>
        <w:rPr>
          <w:b/>
        </w:rPr>
        <w:t>11. Приложения</w:t>
      </w:r>
    </w:p>
    <w:p>
      <w:pPr>
        <w:ind w:firstLine="708"/>
        <w:jc w:val="both"/>
      </w:pPr>
      <w:r>
        <w:t>11.1 Неотъемлемой частью Контракта являются:</w:t>
      </w:r>
    </w:p>
    <w:p>
      <w:pPr>
        <w:ind w:left="708" w:firstLine="708"/>
      </w:pPr>
      <w:r>
        <w:t>Приложение № 1 «Спецификация»;</w:t>
      </w:r>
    </w:p>
    <w:p>
      <w:pPr>
        <w:ind w:left="708" w:firstLine="708"/>
      </w:pPr>
      <w:r>
        <w:t>Приложение № 2 «Техническое задание»</w:t>
      </w:r>
    </w:p>
    <w:p>
      <w:pPr>
        <w:ind w:left="708" w:firstLine="708"/>
      </w:pPr>
    </w:p>
    <w:p>
      <w:pPr>
        <w:ind w:left="708" w:firstLine="708"/>
        <w:rPr>
          <w:b/>
        </w:rPr>
      </w:pPr>
      <w:r>
        <w:rPr>
          <w:b/>
        </w:rPr>
        <w:t>12. Реквизиты и подписи сторон</w:t>
      </w:r>
    </w:p>
    <w:p>
      <w:pPr>
        <w:jc w:val="center"/>
        <w:rPr>
          <w:b/>
        </w:rPr>
      </w:pPr>
    </w:p>
    <w:tbl>
      <w:tblPr>
        <w:tblW w:w="9622" w:type="dxa"/>
        <w:tblInd w:w="-470" w:type="dxa"/>
        <w:tblLayout w:type="fixed"/>
        <w:tblCellMar>
          <w:left w:w="70" w:type="dxa"/>
          <w:right w:w="70" w:type="dxa"/>
        </w:tblCellMar>
        <w:tblLook w:val="0000" w:firstRow="0" w:lastRow="0" w:firstColumn="0" w:lastColumn="0" w:noHBand="0" w:noVBand="0"/>
      </w:tblPr>
      <w:tblGrid>
        <w:gridCol w:w="4750"/>
        <w:gridCol w:w="4872"/>
      </w:tblGrid>
      <w:tr>
        <w:trPr>
          <w:trHeight w:val="283"/>
        </w:trPr>
        <w:tc>
          <w:tcPr>
            <w:tcW w:w="4750" w:type="dxa"/>
          </w:tcPr>
          <w:p>
            <w:pPr>
              <w:widowControl w:val="0"/>
              <w:ind w:firstLine="425"/>
              <w:rPr>
                <w:rFonts w:eastAsia="Courier New"/>
                <w:b/>
                <w:color w:val="000000"/>
                <w:sz w:val="20"/>
                <w:szCs w:val="20"/>
                <w:u w:val="single"/>
                <w:lang w:bidi="ru-RU"/>
              </w:rPr>
            </w:pPr>
            <w:r>
              <w:rPr>
                <w:rFonts w:eastAsia="Courier New"/>
                <w:b/>
                <w:color w:val="000000"/>
                <w:sz w:val="20"/>
                <w:szCs w:val="20"/>
                <w:u w:val="single"/>
                <w:lang w:bidi="ru-RU"/>
              </w:rPr>
              <w:t>ЗАКАЗЧИК</w:t>
            </w:r>
          </w:p>
          <w:p>
            <w:pPr>
              <w:rPr>
                <w:b/>
                <w:color w:val="000000"/>
                <w:sz w:val="20"/>
                <w:szCs w:val="20"/>
              </w:rPr>
            </w:pPr>
            <w:r>
              <w:rPr>
                <w:b/>
                <w:color w:val="000000"/>
                <w:sz w:val="20"/>
                <w:szCs w:val="20"/>
              </w:rPr>
              <w:t>ГБДОУ детский сад № 80</w:t>
            </w:r>
          </w:p>
          <w:p>
            <w:pPr>
              <w:rPr>
                <w:b/>
                <w:color w:val="000000"/>
                <w:sz w:val="20"/>
                <w:szCs w:val="20"/>
              </w:rPr>
            </w:pPr>
            <w:r>
              <w:rPr>
                <w:b/>
                <w:color w:val="000000"/>
                <w:sz w:val="20"/>
                <w:szCs w:val="20"/>
              </w:rPr>
              <w:t xml:space="preserve">Московского района Санкт-Петербурга </w:t>
            </w:r>
          </w:p>
          <w:p>
            <w:pPr>
              <w:rPr>
                <w:sz w:val="20"/>
              </w:rPr>
            </w:pPr>
            <w:r>
              <w:rPr>
                <w:sz w:val="20"/>
              </w:rPr>
              <w:lastRenderedPageBreak/>
              <w:t>Юридический Адрес:196158 Санкт-Петербург, Пулковское шоссе, дом 34 корп.2, лит.А</w:t>
            </w:r>
          </w:p>
          <w:p>
            <w:pPr>
              <w:rPr>
                <w:sz w:val="20"/>
              </w:rPr>
            </w:pPr>
            <w:r>
              <w:rPr>
                <w:sz w:val="20"/>
              </w:rPr>
              <w:t>Адрес: Санкт-Петербург, Дунайский проспект 7 корпус 5, литер А, ул. Федора Котанова, дом 3, корпус 3, стр.1</w:t>
            </w:r>
            <w:r>
              <w:rPr>
                <w:sz w:val="20"/>
              </w:rPr>
              <w:br/>
              <w:t>Телефон/факс: 373-51-80, 616-47-26</w:t>
            </w:r>
          </w:p>
          <w:p>
            <w:pPr>
              <w:rPr>
                <w:sz w:val="20"/>
              </w:rPr>
            </w:pPr>
            <w:r>
              <w:rPr>
                <w:sz w:val="20"/>
              </w:rPr>
              <w:t>Расч./счет</w:t>
            </w:r>
            <w:r>
              <w:rPr>
                <w:sz w:val="20"/>
              </w:rPr>
              <w:tab/>
              <w:t>40102810945370000005</w:t>
            </w:r>
          </w:p>
          <w:p>
            <w:pPr>
              <w:rPr>
                <w:sz w:val="20"/>
                <w:szCs w:val="20"/>
              </w:rPr>
            </w:pPr>
            <w:r>
              <w:rPr>
                <w:sz w:val="20"/>
                <w:szCs w:val="20"/>
              </w:rPr>
              <w:t xml:space="preserve">ОКЦ № 1 СЗГУ Банка России//УФК по г. Санкт-Петербургу, г Санкт-Петербургу. </w:t>
            </w:r>
          </w:p>
          <w:p>
            <w:pPr>
              <w:rPr>
                <w:sz w:val="20"/>
              </w:rPr>
            </w:pPr>
            <w:r>
              <w:rPr>
                <w:sz w:val="20"/>
              </w:rPr>
              <w:t xml:space="preserve">казн.счет 03224643400000007200                                                                                                   </w:t>
            </w:r>
          </w:p>
          <w:p>
            <w:pPr>
              <w:rPr>
                <w:sz w:val="20"/>
              </w:rPr>
            </w:pPr>
            <w:r>
              <w:rPr>
                <w:sz w:val="20"/>
              </w:rPr>
              <w:t>Лицевой счет</w:t>
            </w:r>
            <w:r>
              <w:rPr>
                <w:sz w:val="20"/>
              </w:rPr>
              <w:tab/>
              <w:t>0591164</w:t>
            </w:r>
          </w:p>
          <w:p>
            <w:pPr>
              <w:rPr>
                <w:sz w:val="20"/>
              </w:rPr>
            </w:pPr>
            <w:r>
              <w:rPr>
                <w:sz w:val="20"/>
              </w:rPr>
              <w:t>ОКПО  79819996</w:t>
            </w:r>
          </w:p>
          <w:p>
            <w:pPr>
              <w:rPr>
                <w:sz w:val="20"/>
              </w:rPr>
            </w:pPr>
            <w:r>
              <w:rPr>
                <w:sz w:val="20"/>
              </w:rPr>
              <w:t>ОГРН</w:t>
            </w:r>
            <w:r>
              <w:rPr>
                <w:sz w:val="20"/>
              </w:rPr>
              <w:tab/>
              <w:t>1067847718718</w:t>
            </w:r>
          </w:p>
          <w:p>
            <w:pPr>
              <w:rPr>
                <w:sz w:val="20"/>
              </w:rPr>
            </w:pPr>
            <w:r>
              <w:rPr>
                <w:sz w:val="20"/>
              </w:rPr>
              <w:t>ИНН</w:t>
            </w:r>
            <w:r>
              <w:rPr>
                <w:sz w:val="20"/>
              </w:rPr>
              <w:tab/>
              <w:t>7810056364</w:t>
            </w:r>
          </w:p>
          <w:p>
            <w:pPr>
              <w:rPr>
                <w:sz w:val="20"/>
              </w:rPr>
            </w:pPr>
            <w:r>
              <w:rPr>
                <w:sz w:val="20"/>
              </w:rPr>
              <w:t>КПП</w:t>
            </w:r>
            <w:r>
              <w:rPr>
                <w:sz w:val="20"/>
              </w:rPr>
              <w:tab/>
              <w:t>781001001</w:t>
            </w:r>
          </w:p>
          <w:p>
            <w:pPr>
              <w:rPr>
                <w:sz w:val="20"/>
              </w:rPr>
            </w:pPr>
            <w:r>
              <w:rPr>
                <w:sz w:val="20"/>
              </w:rPr>
              <w:t>БИК</w:t>
            </w:r>
            <w:r>
              <w:rPr>
                <w:sz w:val="20"/>
              </w:rPr>
              <w:tab/>
              <w:t>014030106</w:t>
            </w:r>
          </w:p>
          <w:p>
            <w:pPr>
              <w:rPr>
                <w:sz w:val="20"/>
                <w:szCs w:val="20"/>
              </w:rPr>
            </w:pPr>
          </w:p>
          <w:p>
            <w:pPr>
              <w:rPr>
                <w:sz w:val="20"/>
                <w:szCs w:val="20"/>
              </w:rPr>
            </w:pPr>
            <w:r>
              <w:rPr>
                <w:sz w:val="20"/>
                <w:szCs w:val="20"/>
              </w:rPr>
              <w:t>Заведующий</w:t>
            </w:r>
          </w:p>
          <w:p>
            <w:pPr>
              <w:rPr>
                <w:sz w:val="20"/>
                <w:szCs w:val="20"/>
              </w:rPr>
            </w:pPr>
          </w:p>
          <w:p>
            <w:pPr>
              <w:rPr>
                <w:sz w:val="20"/>
                <w:szCs w:val="20"/>
              </w:rPr>
            </w:pPr>
            <w:r>
              <w:rPr>
                <w:sz w:val="20"/>
                <w:szCs w:val="20"/>
              </w:rPr>
              <w:t xml:space="preserve"> ____________/ </w:t>
            </w:r>
            <w:r>
              <w:rPr>
                <w:color w:val="000000"/>
                <w:sz w:val="20"/>
                <w:szCs w:val="20"/>
              </w:rPr>
              <w:t>Федорова Н. А.</w:t>
            </w:r>
            <w:r>
              <w:rPr>
                <w:sz w:val="20"/>
                <w:szCs w:val="20"/>
              </w:rPr>
              <w:t xml:space="preserve">/ </w:t>
            </w:r>
          </w:p>
          <w:p>
            <w:pPr>
              <w:widowControl w:val="0"/>
              <w:ind w:firstLine="425"/>
              <w:rPr>
                <w:rFonts w:eastAsia="Courier New"/>
                <w:color w:val="000000"/>
                <w:sz w:val="20"/>
                <w:szCs w:val="20"/>
                <w:lang w:bidi="ru-RU"/>
              </w:rPr>
            </w:pPr>
            <w:r>
              <w:rPr>
                <w:sz w:val="20"/>
                <w:szCs w:val="20"/>
              </w:rPr>
              <w:t>ПОДПИСАНО ЭП</w:t>
            </w:r>
          </w:p>
        </w:tc>
        <w:tc>
          <w:tcPr>
            <w:tcW w:w="4872" w:type="dxa"/>
          </w:tcPr>
          <w:p>
            <w:pPr>
              <w:autoSpaceDE w:val="0"/>
              <w:autoSpaceDN w:val="0"/>
              <w:adjustRightInd w:val="0"/>
              <w:jc w:val="both"/>
              <w:rPr>
                <w:b/>
                <w:sz w:val="20"/>
                <w:szCs w:val="20"/>
                <w:u w:val="single"/>
              </w:rPr>
            </w:pPr>
            <w:r>
              <w:rPr>
                <w:b/>
                <w:caps/>
                <w:sz w:val="20"/>
                <w:szCs w:val="20"/>
                <w:u w:val="single"/>
              </w:rPr>
              <w:lastRenderedPageBreak/>
              <w:t xml:space="preserve">ПОСТАВЩИК: </w:t>
            </w:r>
          </w:p>
          <w:p>
            <w:pPr>
              <w:rPr>
                <w:sz w:val="20"/>
                <w:szCs w:val="20"/>
              </w:rPr>
            </w:pPr>
          </w:p>
          <w:p>
            <w:pPr>
              <w:rPr>
                <w:sz w:val="20"/>
                <w:szCs w:val="20"/>
              </w:rPr>
            </w:pPr>
          </w:p>
          <w:p>
            <w:pPr>
              <w:rPr>
                <w:sz w:val="20"/>
                <w:szCs w:val="20"/>
              </w:rPr>
            </w:pPr>
          </w:p>
          <w:p>
            <w:pPr>
              <w:rPr>
                <w:sz w:val="20"/>
                <w:szCs w:val="20"/>
              </w:rPr>
            </w:pPr>
          </w:p>
          <w:p>
            <w:pPr>
              <w:rPr>
                <w:sz w:val="20"/>
                <w:szCs w:val="20"/>
              </w:rPr>
            </w:pPr>
          </w:p>
          <w:p>
            <w:pPr>
              <w:rPr>
                <w:sz w:val="20"/>
                <w:szCs w:val="20"/>
              </w:rPr>
            </w:pPr>
          </w:p>
          <w:p>
            <w:pPr>
              <w:rPr>
                <w:sz w:val="20"/>
                <w:szCs w:val="20"/>
              </w:rPr>
            </w:pPr>
          </w:p>
          <w:p>
            <w:pPr>
              <w:rPr>
                <w:sz w:val="20"/>
                <w:szCs w:val="20"/>
              </w:rPr>
            </w:pPr>
          </w:p>
          <w:p>
            <w:pPr>
              <w:rPr>
                <w:sz w:val="20"/>
                <w:szCs w:val="20"/>
              </w:rPr>
            </w:pPr>
          </w:p>
          <w:p>
            <w:pPr>
              <w:rPr>
                <w:sz w:val="20"/>
                <w:szCs w:val="20"/>
              </w:rPr>
            </w:pPr>
          </w:p>
          <w:p>
            <w:pPr>
              <w:rPr>
                <w:sz w:val="20"/>
                <w:szCs w:val="20"/>
              </w:rPr>
            </w:pPr>
          </w:p>
          <w:p>
            <w:pPr>
              <w:rPr>
                <w:sz w:val="20"/>
                <w:szCs w:val="20"/>
              </w:rPr>
            </w:pPr>
          </w:p>
          <w:p>
            <w:pPr>
              <w:rPr>
                <w:sz w:val="20"/>
                <w:szCs w:val="20"/>
              </w:rPr>
            </w:pPr>
          </w:p>
          <w:p>
            <w:pPr>
              <w:rPr>
                <w:sz w:val="20"/>
                <w:szCs w:val="20"/>
              </w:rPr>
            </w:pPr>
          </w:p>
          <w:p>
            <w:pPr>
              <w:rPr>
                <w:sz w:val="20"/>
                <w:szCs w:val="20"/>
              </w:rPr>
            </w:pPr>
          </w:p>
          <w:p>
            <w:pPr>
              <w:rPr>
                <w:sz w:val="20"/>
                <w:szCs w:val="20"/>
              </w:rPr>
            </w:pPr>
          </w:p>
          <w:p>
            <w:pPr>
              <w:rPr>
                <w:sz w:val="20"/>
                <w:szCs w:val="20"/>
              </w:rPr>
            </w:pPr>
            <w:r>
              <w:rPr>
                <w:sz w:val="20"/>
                <w:szCs w:val="20"/>
              </w:rPr>
              <w:t>________________/ ______./</w:t>
            </w:r>
          </w:p>
          <w:p>
            <w:pPr>
              <w:rPr>
                <w:sz w:val="20"/>
                <w:szCs w:val="20"/>
              </w:rPr>
            </w:pPr>
            <w:r>
              <w:rPr>
                <w:rFonts w:eastAsia="Courier New"/>
                <w:sz w:val="20"/>
                <w:szCs w:val="20"/>
              </w:rPr>
              <w:t xml:space="preserve">   (ПОДПИСАНО ЭП)</w:t>
            </w:r>
          </w:p>
          <w:p>
            <w:pPr>
              <w:rPr>
                <w:sz w:val="20"/>
                <w:szCs w:val="20"/>
              </w:rPr>
            </w:pPr>
          </w:p>
          <w:p>
            <w:pPr>
              <w:rPr>
                <w:sz w:val="20"/>
                <w:szCs w:val="20"/>
              </w:rPr>
            </w:pPr>
          </w:p>
          <w:p>
            <w:pPr>
              <w:rPr>
                <w:sz w:val="20"/>
                <w:szCs w:val="20"/>
              </w:rPr>
            </w:pPr>
          </w:p>
          <w:p>
            <w:pPr>
              <w:rPr>
                <w:b/>
                <w:sz w:val="20"/>
                <w:szCs w:val="20"/>
                <w:u w:val="single"/>
              </w:rPr>
            </w:pPr>
            <w:r>
              <w:rPr>
                <w:rFonts w:eastAsia="Courier New"/>
                <w:color w:val="000000"/>
                <w:sz w:val="20"/>
                <w:szCs w:val="20"/>
                <w:lang w:bidi="ru-RU"/>
              </w:rPr>
              <w:t xml:space="preserve">   </w:t>
            </w:r>
          </w:p>
          <w:p>
            <w:pPr>
              <w:rPr>
                <w:bCs/>
                <w:sz w:val="20"/>
                <w:szCs w:val="20"/>
              </w:rPr>
            </w:pPr>
          </w:p>
        </w:tc>
      </w:tr>
    </w:tbl>
    <w:p>
      <w:pPr>
        <w:spacing w:after="160" w:line="259" w:lineRule="auto"/>
        <w:sectPr>
          <w:pgSz w:w="11906" w:h="16838"/>
          <w:pgMar w:top="1134" w:right="851" w:bottom="1134" w:left="1701" w:header="709" w:footer="709" w:gutter="0"/>
          <w:cols w:space="708"/>
          <w:docGrid w:linePitch="360"/>
        </w:sectPr>
      </w:pPr>
    </w:p>
    <w:p>
      <w:pPr>
        <w:ind w:left="6237"/>
        <w:jc w:val="right"/>
      </w:pPr>
      <w:r>
        <w:lastRenderedPageBreak/>
        <w:t>Приложение № 1 к Контракту</w:t>
      </w:r>
    </w:p>
    <w:p>
      <w:pPr>
        <w:pStyle w:val="a4"/>
        <w:ind w:left="-426" w:firstLine="142"/>
        <w:jc w:val="right"/>
        <w:rPr>
          <w:rFonts w:ascii="Times New Roman" w:hAnsi="Times New Roman" w:cs="Times New Roman"/>
          <w:sz w:val="24"/>
          <w:szCs w:val="24"/>
        </w:rPr>
      </w:pPr>
      <w:r>
        <w:rPr>
          <w:rFonts w:ascii="Times New Roman" w:hAnsi="Times New Roman" w:cs="Times New Roman"/>
          <w:sz w:val="24"/>
          <w:szCs w:val="24"/>
        </w:rPr>
        <w:t xml:space="preserve">от «   »  июня 2026г. № </w:t>
      </w:r>
    </w:p>
    <w:p>
      <w:pPr>
        <w:jc w:val="right"/>
      </w:pPr>
    </w:p>
    <w:p>
      <w:pPr>
        <w:jc w:val="both"/>
      </w:pPr>
    </w:p>
    <w:p>
      <w:pPr>
        <w:jc w:val="center"/>
        <w:rPr>
          <w:b/>
        </w:rPr>
      </w:pPr>
      <w:r>
        <w:rPr>
          <w:b/>
        </w:rPr>
        <w:t>СПЕЦИФИКАЦИЯ</w:t>
      </w:r>
    </w:p>
    <w:tbl>
      <w:tblPr>
        <w:tblStyle w:val="a3"/>
        <w:tblW w:w="15026" w:type="dxa"/>
        <w:tblInd w:w="-5" w:type="dxa"/>
        <w:tblLayout w:type="fixed"/>
        <w:tblLook w:val="04A0" w:firstRow="1" w:lastRow="0" w:firstColumn="1" w:lastColumn="0" w:noHBand="0" w:noVBand="1"/>
      </w:tblPr>
      <w:tblGrid>
        <w:gridCol w:w="562"/>
        <w:gridCol w:w="1706"/>
        <w:gridCol w:w="993"/>
        <w:gridCol w:w="850"/>
        <w:gridCol w:w="1276"/>
        <w:gridCol w:w="1134"/>
        <w:gridCol w:w="850"/>
        <w:gridCol w:w="6379"/>
        <w:gridCol w:w="1276"/>
      </w:tblGrid>
      <w:tr>
        <w:tc>
          <w:tcPr>
            <w:tcW w:w="562" w:type="dxa"/>
          </w:tcPr>
          <w:p>
            <w:pPr>
              <w:jc w:val="center"/>
              <w:rPr>
                <w:b/>
                <w:sz w:val="20"/>
                <w:szCs w:val="20"/>
              </w:rPr>
            </w:pPr>
            <w:r>
              <w:rPr>
                <w:b/>
                <w:sz w:val="20"/>
                <w:szCs w:val="20"/>
              </w:rPr>
              <w:t>№</w:t>
            </w:r>
          </w:p>
          <w:p>
            <w:pPr>
              <w:jc w:val="center"/>
              <w:rPr>
                <w:b/>
                <w:sz w:val="20"/>
                <w:szCs w:val="20"/>
              </w:rPr>
            </w:pPr>
            <w:r>
              <w:rPr>
                <w:b/>
                <w:sz w:val="20"/>
                <w:szCs w:val="20"/>
              </w:rPr>
              <w:t>п/п</w:t>
            </w:r>
          </w:p>
        </w:tc>
        <w:tc>
          <w:tcPr>
            <w:tcW w:w="1706" w:type="dxa"/>
          </w:tcPr>
          <w:p>
            <w:pPr>
              <w:jc w:val="center"/>
              <w:rPr>
                <w:b/>
                <w:sz w:val="20"/>
                <w:szCs w:val="20"/>
              </w:rPr>
            </w:pPr>
            <w:r>
              <w:rPr>
                <w:b/>
                <w:sz w:val="20"/>
                <w:szCs w:val="20"/>
              </w:rPr>
              <w:t xml:space="preserve">Наименование </w:t>
            </w:r>
          </w:p>
        </w:tc>
        <w:tc>
          <w:tcPr>
            <w:tcW w:w="993" w:type="dxa"/>
          </w:tcPr>
          <w:p>
            <w:pPr>
              <w:jc w:val="center"/>
              <w:rPr>
                <w:b/>
                <w:sz w:val="20"/>
                <w:szCs w:val="20"/>
              </w:rPr>
            </w:pPr>
            <w:r>
              <w:rPr>
                <w:b/>
                <w:sz w:val="20"/>
                <w:szCs w:val="20"/>
              </w:rPr>
              <w:t>Ед.изм.</w:t>
            </w:r>
          </w:p>
        </w:tc>
        <w:tc>
          <w:tcPr>
            <w:tcW w:w="850" w:type="dxa"/>
          </w:tcPr>
          <w:p>
            <w:pPr>
              <w:jc w:val="center"/>
              <w:rPr>
                <w:b/>
                <w:sz w:val="20"/>
                <w:szCs w:val="20"/>
              </w:rPr>
            </w:pPr>
            <w:r>
              <w:rPr>
                <w:b/>
                <w:sz w:val="20"/>
                <w:szCs w:val="20"/>
              </w:rPr>
              <w:t>Кол-во</w:t>
            </w:r>
          </w:p>
        </w:tc>
        <w:tc>
          <w:tcPr>
            <w:tcW w:w="1276" w:type="dxa"/>
          </w:tcPr>
          <w:p>
            <w:pPr>
              <w:jc w:val="center"/>
              <w:rPr>
                <w:b/>
                <w:sz w:val="20"/>
                <w:szCs w:val="20"/>
              </w:rPr>
            </w:pPr>
            <w:r>
              <w:rPr>
                <w:b/>
                <w:sz w:val="20"/>
                <w:szCs w:val="20"/>
              </w:rPr>
              <w:t>Цена за единицу,</w:t>
            </w:r>
          </w:p>
          <w:p>
            <w:pPr>
              <w:jc w:val="center"/>
              <w:rPr>
                <w:b/>
                <w:sz w:val="20"/>
                <w:szCs w:val="20"/>
              </w:rPr>
            </w:pPr>
            <w:r>
              <w:rPr>
                <w:b/>
                <w:sz w:val="20"/>
                <w:szCs w:val="20"/>
              </w:rPr>
              <w:t>руб. вкл. НДС</w:t>
            </w:r>
          </w:p>
        </w:tc>
        <w:tc>
          <w:tcPr>
            <w:tcW w:w="1134" w:type="dxa"/>
          </w:tcPr>
          <w:p>
            <w:pPr>
              <w:jc w:val="center"/>
              <w:rPr>
                <w:b/>
                <w:sz w:val="20"/>
                <w:szCs w:val="20"/>
              </w:rPr>
            </w:pPr>
            <w:r>
              <w:rPr>
                <w:b/>
                <w:sz w:val="20"/>
                <w:szCs w:val="20"/>
              </w:rPr>
              <w:t>Страна производитель</w:t>
            </w:r>
          </w:p>
        </w:tc>
        <w:tc>
          <w:tcPr>
            <w:tcW w:w="850" w:type="dxa"/>
          </w:tcPr>
          <w:p>
            <w:pPr>
              <w:jc w:val="center"/>
              <w:rPr>
                <w:b/>
                <w:sz w:val="20"/>
                <w:szCs w:val="20"/>
              </w:rPr>
            </w:pPr>
            <w:r>
              <w:rPr>
                <w:b/>
                <w:sz w:val="20"/>
                <w:szCs w:val="20"/>
              </w:rPr>
              <w:t>Гарантия</w:t>
            </w:r>
          </w:p>
        </w:tc>
        <w:tc>
          <w:tcPr>
            <w:tcW w:w="6379" w:type="dxa"/>
          </w:tcPr>
          <w:p>
            <w:pPr>
              <w:jc w:val="center"/>
              <w:rPr>
                <w:b/>
                <w:sz w:val="20"/>
                <w:szCs w:val="20"/>
              </w:rPr>
            </w:pPr>
            <w:r>
              <w:rPr>
                <w:b/>
                <w:sz w:val="20"/>
                <w:szCs w:val="20"/>
              </w:rPr>
              <w:t>Характеристики товара</w:t>
            </w:r>
          </w:p>
        </w:tc>
        <w:tc>
          <w:tcPr>
            <w:tcW w:w="1276" w:type="dxa"/>
          </w:tcPr>
          <w:p>
            <w:pPr>
              <w:jc w:val="center"/>
              <w:rPr>
                <w:b/>
                <w:sz w:val="20"/>
                <w:szCs w:val="20"/>
              </w:rPr>
            </w:pPr>
            <w:r>
              <w:rPr>
                <w:b/>
                <w:sz w:val="20"/>
                <w:szCs w:val="20"/>
              </w:rPr>
              <w:t>Стоимость,</w:t>
            </w:r>
          </w:p>
          <w:p>
            <w:pPr>
              <w:jc w:val="center"/>
              <w:rPr>
                <w:b/>
                <w:sz w:val="20"/>
                <w:szCs w:val="20"/>
              </w:rPr>
            </w:pPr>
            <w:r>
              <w:rPr>
                <w:b/>
                <w:sz w:val="20"/>
                <w:szCs w:val="20"/>
              </w:rPr>
              <w:t>руб. вкл. НДС</w:t>
            </w:r>
          </w:p>
        </w:tc>
      </w:tr>
      <w:tr>
        <w:trPr>
          <w:trHeight w:val="753"/>
        </w:trPr>
        <w:tc>
          <w:tcPr>
            <w:tcW w:w="562" w:type="dxa"/>
          </w:tcPr>
          <w:p>
            <w:pPr>
              <w:rPr>
                <w:sz w:val="22"/>
                <w:szCs w:val="22"/>
              </w:rPr>
            </w:pPr>
            <w:r>
              <w:rPr>
                <w:sz w:val="22"/>
                <w:szCs w:val="22"/>
              </w:rPr>
              <w:t>1</w:t>
            </w:r>
          </w:p>
        </w:tc>
        <w:tc>
          <w:tcPr>
            <w:tcW w:w="1706" w:type="dxa"/>
            <w:vAlign w:val="bottom"/>
          </w:tcPr>
          <w:p>
            <w:pPr>
              <w:rPr>
                <w:color w:val="000000"/>
                <w:sz w:val="22"/>
                <w:szCs w:val="22"/>
              </w:rPr>
            </w:pPr>
            <w:r>
              <w:rPr>
                <w:color w:val="000000"/>
                <w:sz w:val="22"/>
                <w:szCs w:val="22"/>
              </w:rPr>
              <w:t>Радиоточка (громкоговоритель абонентский)</w:t>
            </w:r>
          </w:p>
        </w:tc>
        <w:tc>
          <w:tcPr>
            <w:tcW w:w="993" w:type="dxa"/>
            <w:vAlign w:val="center"/>
          </w:tcPr>
          <w:p>
            <w:pPr>
              <w:jc w:val="center"/>
              <w:rPr>
                <w:color w:val="000000"/>
                <w:sz w:val="22"/>
                <w:szCs w:val="22"/>
              </w:rPr>
            </w:pPr>
            <w:r>
              <w:rPr>
                <w:color w:val="000000"/>
                <w:sz w:val="22"/>
                <w:szCs w:val="22"/>
              </w:rPr>
              <w:t>шт</w:t>
            </w:r>
          </w:p>
        </w:tc>
        <w:tc>
          <w:tcPr>
            <w:tcW w:w="850" w:type="dxa"/>
            <w:vAlign w:val="center"/>
          </w:tcPr>
          <w:p>
            <w:pPr>
              <w:jc w:val="center"/>
              <w:rPr>
                <w:color w:val="000000"/>
              </w:rPr>
            </w:pPr>
            <w:r>
              <w:rPr>
                <w:color w:val="000000"/>
              </w:rPr>
              <w:t>12</w:t>
            </w:r>
          </w:p>
        </w:tc>
        <w:tc>
          <w:tcPr>
            <w:tcW w:w="1276" w:type="dxa"/>
          </w:tcPr>
          <w:p>
            <w:pPr>
              <w:jc w:val="center"/>
              <w:rPr>
                <w:sz w:val="22"/>
                <w:szCs w:val="22"/>
              </w:rPr>
            </w:pPr>
          </w:p>
        </w:tc>
        <w:tc>
          <w:tcPr>
            <w:tcW w:w="1134" w:type="dxa"/>
          </w:tcPr>
          <w:p>
            <w:pPr>
              <w:jc w:val="center"/>
              <w:rPr>
                <w:sz w:val="22"/>
                <w:szCs w:val="22"/>
              </w:rPr>
            </w:pPr>
          </w:p>
        </w:tc>
        <w:tc>
          <w:tcPr>
            <w:tcW w:w="850" w:type="dxa"/>
          </w:tcPr>
          <w:p>
            <w:pPr>
              <w:jc w:val="center"/>
              <w:rPr>
                <w:sz w:val="22"/>
                <w:szCs w:val="22"/>
              </w:rPr>
            </w:pPr>
          </w:p>
        </w:tc>
        <w:tc>
          <w:tcPr>
            <w:tcW w:w="6379" w:type="dxa"/>
          </w:tcPr>
          <w:p>
            <w:pPr>
              <w:rPr>
                <w:sz w:val="20"/>
                <w:szCs w:val="20"/>
              </w:rPr>
            </w:pPr>
            <w:r>
              <w:rPr>
                <w:sz w:val="20"/>
                <w:szCs w:val="20"/>
              </w:rPr>
              <w:t>Тип: Радиоприемник</w:t>
            </w:r>
          </w:p>
          <w:p>
            <w:pPr>
              <w:rPr>
                <w:sz w:val="20"/>
                <w:szCs w:val="20"/>
              </w:rPr>
            </w:pPr>
            <w:r>
              <w:rPr>
                <w:sz w:val="20"/>
                <w:szCs w:val="20"/>
              </w:rPr>
              <w:t>Вид: Стационарный</w:t>
            </w:r>
          </w:p>
          <w:p>
            <w:pPr>
              <w:rPr>
                <w:sz w:val="20"/>
                <w:szCs w:val="20"/>
              </w:rPr>
            </w:pPr>
            <w:r>
              <w:rPr>
                <w:sz w:val="20"/>
                <w:szCs w:val="20"/>
              </w:rPr>
              <w:t>Питание: От сети</w:t>
            </w:r>
          </w:p>
          <w:p>
            <w:pPr>
              <w:rPr>
                <w:sz w:val="20"/>
                <w:szCs w:val="20"/>
              </w:rPr>
            </w:pPr>
            <w:r>
              <w:rPr>
                <w:sz w:val="20"/>
                <w:szCs w:val="20"/>
              </w:rPr>
              <w:t>Вилка: Встроенная, плоска</w:t>
            </w:r>
          </w:p>
          <w:p>
            <w:pPr>
              <w:rPr>
                <w:sz w:val="20"/>
                <w:szCs w:val="20"/>
              </w:rPr>
            </w:pPr>
            <w:r>
              <w:rPr>
                <w:sz w:val="20"/>
                <w:szCs w:val="20"/>
              </w:rPr>
              <w:t>Выходная мощность, Вт: 0,2</w:t>
            </w:r>
          </w:p>
          <w:p>
            <w:pPr>
              <w:rPr>
                <w:sz w:val="20"/>
                <w:szCs w:val="20"/>
              </w:rPr>
            </w:pPr>
            <w:r>
              <w:rPr>
                <w:sz w:val="20"/>
                <w:szCs w:val="20"/>
              </w:rPr>
              <w:t>Напряжение радиосети, В: 30</w:t>
            </w:r>
          </w:p>
          <w:p>
            <w:pPr>
              <w:rPr>
                <w:sz w:val="20"/>
                <w:szCs w:val="20"/>
              </w:rPr>
            </w:pPr>
            <w:r>
              <w:rPr>
                <w:sz w:val="20"/>
                <w:szCs w:val="20"/>
              </w:rPr>
              <w:t>Количество программ: 1</w:t>
            </w:r>
          </w:p>
          <w:p>
            <w:pPr>
              <w:rPr>
                <w:sz w:val="20"/>
                <w:szCs w:val="20"/>
              </w:rPr>
            </w:pPr>
            <w:r>
              <w:rPr>
                <w:sz w:val="20"/>
                <w:szCs w:val="20"/>
              </w:rPr>
              <w:t xml:space="preserve">Диапазон воспроизводимых частот, Гц: 315...4000 </w:t>
            </w:r>
          </w:p>
          <w:p>
            <w:pPr>
              <w:rPr>
                <w:sz w:val="20"/>
                <w:szCs w:val="20"/>
              </w:rPr>
            </w:pPr>
            <w:r>
              <w:rPr>
                <w:sz w:val="20"/>
                <w:szCs w:val="20"/>
              </w:rPr>
              <w:t>Вилка для непосредственного подключения к радио сети без использования соединительного шнура.</w:t>
            </w:r>
          </w:p>
        </w:tc>
        <w:tc>
          <w:tcPr>
            <w:tcW w:w="1276" w:type="dxa"/>
          </w:tcPr>
          <w:p>
            <w:pPr>
              <w:jc w:val="center"/>
              <w:rPr>
                <w:sz w:val="20"/>
                <w:szCs w:val="20"/>
              </w:rPr>
            </w:pPr>
          </w:p>
          <w:p>
            <w:pPr>
              <w:jc w:val="center"/>
              <w:rPr>
                <w:sz w:val="20"/>
                <w:szCs w:val="20"/>
              </w:rPr>
            </w:pPr>
          </w:p>
          <w:p>
            <w:pPr>
              <w:jc w:val="center"/>
              <w:rPr>
                <w:sz w:val="20"/>
                <w:szCs w:val="20"/>
              </w:rPr>
            </w:pPr>
          </w:p>
        </w:tc>
      </w:tr>
      <w:tr>
        <w:trPr>
          <w:trHeight w:val="753"/>
        </w:trPr>
        <w:tc>
          <w:tcPr>
            <w:tcW w:w="562" w:type="dxa"/>
          </w:tcPr>
          <w:p>
            <w:pPr>
              <w:rPr>
                <w:sz w:val="22"/>
                <w:szCs w:val="22"/>
              </w:rPr>
            </w:pPr>
            <w:r>
              <w:rPr>
                <w:sz w:val="22"/>
                <w:szCs w:val="22"/>
              </w:rPr>
              <w:t>2</w:t>
            </w:r>
          </w:p>
        </w:tc>
        <w:tc>
          <w:tcPr>
            <w:tcW w:w="1706" w:type="dxa"/>
            <w:vAlign w:val="bottom"/>
          </w:tcPr>
          <w:p>
            <w:pPr>
              <w:rPr>
                <w:color w:val="000000"/>
                <w:sz w:val="22"/>
                <w:szCs w:val="22"/>
              </w:rPr>
            </w:pPr>
            <w:r>
              <w:rPr>
                <w:color w:val="000000"/>
                <w:sz w:val="22"/>
                <w:szCs w:val="22"/>
              </w:rPr>
              <w:t xml:space="preserve">Портативная информационная индукционная система </w:t>
            </w:r>
          </w:p>
          <w:p>
            <w:pPr>
              <w:rPr>
                <w:color w:val="000000"/>
                <w:sz w:val="22"/>
                <w:szCs w:val="22"/>
              </w:rPr>
            </w:pPr>
          </w:p>
          <w:p>
            <w:pPr>
              <w:rPr>
                <w:color w:val="000000"/>
                <w:sz w:val="22"/>
                <w:szCs w:val="22"/>
              </w:rPr>
            </w:pPr>
          </w:p>
          <w:p>
            <w:pPr>
              <w:rPr>
                <w:color w:val="000000"/>
                <w:sz w:val="22"/>
                <w:szCs w:val="22"/>
              </w:rPr>
            </w:pPr>
          </w:p>
          <w:p>
            <w:pPr>
              <w:rPr>
                <w:color w:val="000000"/>
                <w:sz w:val="22"/>
                <w:szCs w:val="22"/>
              </w:rPr>
            </w:pPr>
          </w:p>
          <w:p>
            <w:pPr>
              <w:rPr>
                <w:color w:val="000000"/>
                <w:sz w:val="22"/>
                <w:szCs w:val="22"/>
              </w:rPr>
            </w:pPr>
          </w:p>
          <w:p>
            <w:pPr>
              <w:rPr>
                <w:color w:val="000000"/>
                <w:sz w:val="22"/>
                <w:szCs w:val="22"/>
              </w:rPr>
            </w:pPr>
          </w:p>
          <w:p>
            <w:pPr>
              <w:rPr>
                <w:color w:val="000000"/>
                <w:sz w:val="22"/>
                <w:szCs w:val="22"/>
              </w:rPr>
            </w:pPr>
          </w:p>
          <w:p>
            <w:pPr>
              <w:rPr>
                <w:color w:val="000000"/>
                <w:sz w:val="22"/>
                <w:szCs w:val="22"/>
              </w:rPr>
            </w:pPr>
          </w:p>
          <w:p>
            <w:pPr>
              <w:rPr>
                <w:color w:val="000000"/>
                <w:sz w:val="22"/>
                <w:szCs w:val="22"/>
              </w:rPr>
            </w:pPr>
          </w:p>
          <w:p>
            <w:pPr>
              <w:rPr>
                <w:color w:val="000000"/>
                <w:sz w:val="22"/>
                <w:szCs w:val="22"/>
              </w:rPr>
            </w:pPr>
          </w:p>
          <w:p>
            <w:pPr>
              <w:rPr>
                <w:color w:val="000000"/>
                <w:sz w:val="22"/>
                <w:szCs w:val="22"/>
              </w:rPr>
            </w:pPr>
          </w:p>
          <w:p>
            <w:pPr>
              <w:rPr>
                <w:color w:val="000000"/>
                <w:sz w:val="22"/>
                <w:szCs w:val="22"/>
              </w:rPr>
            </w:pPr>
          </w:p>
        </w:tc>
        <w:tc>
          <w:tcPr>
            <w:tcW w:w="993" w:type="dxa"/>
            <w:vAlign w:val="center"/>
          </w:tcPr>
          <w:p>
            <w:pPr>
              <w:jc w:val="center"/>
              <w:rPr>
                <w:color w:val="000000"/>
                <w:sz w:val="22"/>
                <w:szCs w:val="22"/>
              </w:rPr>
            </w:pPr>
            <w:r>
              <w:rPr>
                <w:color w:val="000000"/>
                <w:sz w:val="22"/>
                <w:szCs w:val="22"/>
              </w:rPr>
              <w:t>шт</w:t>
            </w:r>
          </w:p>
        </w:tc>
        <w:tc>
          <w:tcPr>
            <w:tcW w:w="850" w:type="dxa"/>
            <w:vAlign w:val="center"/>
          </w:tcPr>
          <w:p>
            <w:pPr>
              <w:jc w:val="center"/>
              <w:rPr>
                <w:color w:val="000000"/>
              </w:rPr>
            </w:pPr>
            <w:r>
              <w:rPr>
                <w:color w:val="000000"/>
              </w:rPr>
              <w:t>1</w:t>
            </w:r>
          </w:p>
        </w:tc>
        <w:tc>
          <w:tcPr>
            <w:tcW w:w="1276" w:type="dxa"/>
          </w:tcPr>
          <w:p>
            <w:pPr>
              <w:jc w:val="center"/>
              <w:rPr>
                <w:sz w:val="22"/>
                <w:szCs w:val="22"/>
              </w:rPr>
            </w:pPr>
          </w:p>
        </w:tc>
        <w:tc>
          <w:tcPr>
            <w:tcW w:w="1134" w:type="dxa"/>
          </w:tcPr>
          <w:p>
            <w:pPr>
              <w:jc w:val="center"/>
              <w:rPr>
                <w:sz w:val="22"/>
                <w:szCs w:val="22"/>
              </w:rPr>
            </w:pPr>
          </w:p>
        </w:tc>
        <w:tc>
          <w:tcPr>
            <w:tcW w:w="850" w:type="dxa"/>
          </w:tcPr>
          <w:p>
            <w:pPr>
              <w:jc w:val="center"/>
              <w:rPr>
                <w:sz w:val="22"/>
                <w:szCs w:val="22"/>
              </w:rPr>
            </w:pPr>
          </w:p>
        </w:tc>
        <w:tc>
          <w:tcPr>
            <w:tcW w:w="6379" w:type="dxa"/>
          </w:tcPr>
          <w:p>
            <w:pPr>
              <w:rPr>
                <w:b/>
                <w:sz w:val="20"/>
                <w:szCs w:val="20"/>
              </w:rPr>
            </w:pPr>
            <w:r>
              <w:rPr>
                <w:b/>
                <w:sz w:val="20"/>
                <w:szCs w:val="20"/>
              </w:rPr>
              <w:t>Тип: Портативный</w:t>
            </w:r>
          </w:p>
          <w:p>
            <w:pPr>
              <w:rPr>
                <w:sz w:val="20"/>
                <w:szCs w:val="20"/>
              </w:rPr>
            </w:pPr>
            <w:r>
              <w:rPr>
                <w:sz w:val="20"/>
                <w:szCs w:val="20"/>
              </w:rPr>
              <w:t>Назначение: Портативное устройство, предназначенное для передачи аудиоинформации лицам с нарушениями слуха, использующим слуховые аппараты в режиме «Т» или кохлеарные импланты.</w:t>
            </w:r>
            <w:bookmarkStart w:id="0" w:name="_GoBack"/>
            <w:bookmarkEnd w:id="0"/>
          </w:p>
          <w:p>
            <w:pPr>
              <w:rPr>
                <w:sz w:val="20"/>
                <w:szCs w:val="20"/>
              </w:rPr>
            </w:pPr>
            <w:r>
              <w:rPr>
                <w:sz w:val="20"/>
                <w:szCs w:val="20"/>
              </w:rPr>
              <w:t>Радиус действия: до 1,5 м</w:t>
            </w:r>
          </w:p>
          <w:p>
            <w:pPr>
              <w:rPr>
                <w:sz w:val="20"/>
                <w:szCs w:val="20"/>
              </w:rPr>
            </w:pPr>
            <w:r>
              <w:rPr>
                <w:sz w:val="20"/>
                <w:szCs w:val="20"/>
              </w:rPr>
              <w:t>Питание: встроенный аккумулятор</w:t>
            </w:r>
          </w:p>
          <w:p>
            <w:pPr>
              <w:rPr>
                <w:sz w:val="20"/>
                <w:szCs w:val="20"/>
              </w:rPr>
            </w:pPr>
            <w:r>
              <w:rPr>
                <w:sz w:val="20"/>
                <w:szCs w:val="20"/>
              </w:rPr>
              <w:t>Напряжение питания: 220 В, 50 Гц</w:t>
            </w:r>
          </w:p>
          <w:p>
            <w:pPr>
              <w:rPr>
                <w:sz w:val="20"/>
                <w:szCs w:val="20"/>
              </w:rPr>
            </w:pPr>
            <w:r>
              <w:rPr>
                <w:sz w:val="20"/>
                <w:szCs w:val="20"/>
              </w:rPr>
              <w:t>Потребляемая мощность: не более 20 Вт</w:t>
            </w:r>
          </w:p>
          <w:p>
            <w:pPr>
              <w:rPr>
                <w:sz w:val="20"/>
                <w:szCs w:val="20"/>
              </w:rPr>
            </w:pPr>
            <w:r>
              <w:rPr>
                <w:sz w:val="20"/>
                <w:szCs w:val="20"/>
              </w:rPr>
              <w:t>Частотный диапазон (±6 дБ): 100 – 8000 Гц</w:t>
            </w:r>
          </w:p>
          <w:p>
            <w:pPr>
              <w:rPr>
                <w:sz w:val="20"/>
                <w:szCs w:val="20"/>
              </w:rPr>
            </w:pPr>
            <w:r>
              <w:rPr>
                <w:sz w:val="20"/>
                <w:szCs w:val="20"/>
              </w:rPr>
              <w:t>Максимальная напряжённость магнитного поля (на расстоянии 0,5 м по оси панели, при частоте 1 кГц): не менее 20 мГс</w:t>
            </w:r>
          </w:p>
          <w:p>
            <w:pPr>
              <w:rPr>
                <w:sz w:val="20"/>
                <w:szCs w:val="20"/>
              </w:rPr>
            </w:pPr>
            <w:r>
              <w:rPr>
                <w:sz w:val="20"/>
                <w:szCs w:val="20"/>
              </w:rPr>
              <w:t>Уровень входного сигнала (линейный вход): 0,2–2,0 В RMS</w:t>
            </w:r>
          </w:p>
          <w:p>
            <w:pPr>
              <w:rPr>
                <w:sz w:val="20"/>
                <w:szCs w:val="20"/>
              </w:rPr>
            </w:pPr>
            <w:r>
              <w:rPr>
                <w:sz w:val="20"/>
                <w:szCs w:val="20"/>
              </w:rPr>
              <w:t>Тип носителя информации: USB, SD/MMC</w:t>
            </w:r>
          </w:p>
          <w:p>
            <w:pPr>
              <w:rPr>
                <w:sz w:val="20"/>
                <w:szCs w:val="20"/>
              </w:rPr>
            </w:pPr>
            <w:r>
              <w:rPr>
                <w:sz w:val="20"/>
                <w:szCs w:val="20"/>
              </w:rPr>
              <w:t>Форматы воспроизводимых файлов: MP3, WMA</w:t>
            </w:r>
          </w:p>
          <w:p>
            <w:pPr>
              <w:rPr>
                <w:sz w:val="20"/>
                <w:szCs w:val="20"/>
              </w:rPr>
            </w:pPr>
            <w:r>
              <w:rPr>
                <w:sz w:val="20"/>
                <w:szCs w:val="20"/>
              </w:rPr>
              <w:t>Поддержка передачи аудио по Bluetooth</w:t>
            </w:r>
          </w:p>
          <w:p>
            <w:pPr>
              <w:rPr>
                <w:sz w:val="20"/>
                <w:szCs w:val="20"/>
              </w:rPr>
            </w:pPr>
            <w:r>
              <w:rPr>
                <w:sz w:val="20"/>
                <w:szCs w:val="20"/>
              </w:rPr>
              <w:t>Время зарядки аккумулятора: не более 4 часов</w:t>
            </w:r>
          </w:p>
          <w:p>
            <w:pPr>
              <w:rPr>
                <w:sz w:val="20"/>
                <w:szCs w:val="20"/>
              </w:rPr>
            </w:pPr>
            <w:r>
              <w:rPr>
                <w:sz w:val="20"/>
                <w:szCs w:val="20"/>
              </w:rPr>
              <w:t>Время автономной работы: не менее 2 часов</w:t>
            </w:r>
          </w:p>
          <w:p>
            <w:pPr>
              <w:rPr>
                <w:rFonts w:asciiTheme="minorHAnsi" w:hAnsiTheme="minorHAnsi"/>
                <w:sz w:val="20"/>
                <w:szCs w:val="20"/>
              </w:rPr>
            </w:pPr>
          </w:p>
        </w:tc>
        <w:tc>
          <w:tcPr>
            <w:tcW w:w="1276" w:type="dxa"/>
          </w:tcPr>
          <w:p>
            <w:pPr>
              <w:jc w:val="center"/>
              <w:rPr>
                <w:sz w:val="20"/>
                <w:szCs w:val="20"/>
              </w:rPr>
            </w:pPr>
          </w:p>
        </w:tc>
      </w:tr>
      <w:tr>
        <w:tc>
          <w:tcPr>
            <w:tcW w:w="13750" w:type="dxa"/>
            <w:gridSpan w:val="8"/>
          </w:tcPr>
          <w:p>
            <w:pPr>
              <w:rPr>
                <w:color w:val="000000" w:themeColor="text1"/>
                <w:sz w:val="16"/>
                <w:szCs w:val="16"/>
                <w:shd w:val="clear" w:color="auto" w:fill="FFFFFF"/>
              </w:rPr>
            </w:pPr>
            <w:r>
              <w:rPr>
                <w:color w:val="000000" w:themeColor="text1"/>
                <w:sz w:val="16"/>
                <w:szCs w:val="16"/>
                <w:shd w:val="clear" w:color="auto" w:fill="FFFFFF"/>
              </w:rPr>
              <w:lastRenderedPageBreak/>
              <w:t>ИТОГО:</w:t>
            </w:r>
          </w:p>
        </w:tc>
        <w:tc>
          <w:tcPr>
            <w:tcW w:w="1276" w:type="dxa"/>
          </w:tcPr>
          <w:p>
            <w:pPr>
              <w:jc w:val="center"/>
              <w:rPr>
                <w:b/>
                <w:sz w:val="22"/>
                <w:szCs w:val="22"/>
              </w:rPr>
            </w:pPr>
          </w:p>
        </w:tc>
      </w:tr>
    </w:tbl>
    <w:p>
      <w:pPr>
        <w:jc w:val="center"/>
        <w:rPr>
          <w:b/>
          <w:sz w:val="22"/>
          <w:szCs w:val="22"/>
        </w:rPr>
      </w:pPr>
    </w:p>
    <w:p>
      <w:pPr>
        <w:jc w:val="both"/>
        <w:rPr>
          <w:sz w:val="22"/>
          <w:szCs w:val="22"/>
        </w:rPr>
      </w:pPr>
      <w:r>
        <w:rPr>
          <w:b/>
          <w:sz w:val="22"/>
          <w:szCs w:val="22"/>
        </w:rPr>
        <w:t>Итого (цена Контракта)</w:t>
      </w:r>
      <w:r>
        <w:rPr>
          <w:sz w:val="22"/>
          <w:szCs w:val="22"/>
        </w:rPr>
        <w:t xml:space="preserve">: </w:t>
      </w:r>
    </w:p>
    <w:tbl>
      <w:tblPr>
        <w:tblW w:w="0" w:type="auto"/>
        <w:tblInd w:w="108" w:type="dxa"/>
        <w:tblLook w:val="04A0" w:firstRow="1" w:lastRow="0" w:firstColumn="1" w:lastColumn="0" w:noHBand="0" w:noVBand="1"/>
      </w:tblPr>
      <w:tblGrid>
        <w:gridCol w:w="5103"/>
        <w:gridCol w:w="4534"/>
      </w:tblGrid>
      <w:tr>
        <w:trPr>
          <w:trHeight w:val="258"/>
        </w:trPr>
        <w:tc>
          <w:tcPr>
            <w:tcW w:w="5103" w:type="dxa"/>
            <w:tcBorders>
              <w:top w:val="single" w:sz="4" w:space="0" w:color="auto"/>
              <w:left w:val="single" w:sz="4" w:space="0" w:color="auto"/>
              <w:bottom w:val="single" w:sz="4" w:space="0" w:color="auto"/>
              <w:right w:val="single" w:sz="4" w:space="0" w:color="auto"/>
            </w:tcBorders>
            <w:shd w:val="clear" w:color="auto" w:fill="auto"/>
          </w:tcPr>
          <w:p>
            <w:pPr>
              <w:pStyle w:val="a9"/>
              <w:rPr>
                <w:rFonts w:ascii="Times New Roman" w:hAnsi="Times New Roman"/>
                <w:b/>
                <w:color w:val="000000"/>
              </w:rPr>
            </w:pPr>
            <w:r>
              <w:rPr>
                <w:rFonts w:ascii="Times New Roman" w:hAnsi="Times New Roman"/>
                <w:b/>
                <w:color w:val="000000"/>
              </w:rPr>
              <w:t>Заказчик</w:t>
            </w:r>
          </w:p>
          <w:p>
            <w:pPr>
              <w:rPr>
                <w:b/>
                <w:color w:val="000000"/>
              </w:rPr>
            </w:pPr>
            <w:r>
              <w:rPr>
                <w:b/>
                <w:color w:val="000000"/>
              </w:rPr>
              <w:t>ГБДОУ детский сад № 80</w:t>
            </w:r>
          </w:p>
          <w:p>
            <w:pPr>
              <w:rPr>
                <w:b/>
                <w:color w:val="000000"/>
              </w:rPr>
            </w:pPr>
            <w:r>
              <w:rPr>
                <w:b/>
                <w:color w:val="000000"/>
              </w:rPr>
              <w:t xml:space="preserve">Московского района Санкт-Петербурга </w:t>
            </w:r>
          </w:p>
          <w:p>
            <w:pPr>
              <w:pStyle w:val="a9"/>
              <w:rPr>
                <w:rFonts w:ascii="Times New Roman" w:hAnsi="Times New Roman"/>
                <w:b/>
                <w:color w:val="000000"/>
              </w:rPr>
            </w:pPr>
          </w:p>
          <w:p>
            <w:pPr>
              <w:pStyle w:val="a9"/>
              <w:rPr>
                <w:rFonts w:ascii="Times New Roman" w:hAnsi="Times New Roman"/>
                <w:b/>
                <w:color w:val="000000"/>
              </w:rPr>
            </w:pPr>
            <w:r>
              <w:rPr>
                <w:rFonts w:ascii="Times New Roman" w:hAnsi="Times New Roman"/>
                <w:color w:val="000000"/>
              </w:rPr>
              <w:t>_____________        /Федорова Н. А./</w:t>
            </w:r>
          </w:p>
          <w:p>
            <w:pPr>
              <w:pStyle w:val="af0"/>
              <w:widowControl w:val="0"/>
              <w:ind w:firstLine="480"/>
              <w:rPr>
                <w:color w:val="000000"/>
                <w:sz w:val="22"/>
                <w:szCs w:val="22"/>
              </w:rPr>
            </w:pPr>
            <w:r>
              <w:rPr>
                <w:color w:val="000000"/>
                <w:sz w:val="22"/>
                <w:szCs w:val="22"/>
              </w:rPr>
              <w:t>Подписано ЭП</w:t>
            </w:r>
          </w:p>
        </w:tc>
        <w:tc>
          <w:tcPr>
            <w:tcW w:w="4534" w:type="dxa"/>
            <w:tcBorders>
              <w:top w:val="single" w:sz="4" w:space="0" w:color="auto"/>
              <w:left w:val="single" w:sz="4" w:space="0" w:color="auto"/>
              <w:bottom w:val="single" w:sz="4" w:space="0" w:color="auto"/>
              <w:right w:val="single" w:sz="4" w:space="0" w:color="auto"/>
            </w:tcBorders>
            <w:shd w:val="clear" w:color="auto" w:fill="auto"/>
          </w:tcPr>
          <w:p>
            <w:pPr>
              <w:widowControl w:val="0"/>
              <w:rPr>
                <w:b/>
                <w:color w:val="000000"/>
              </w:rPr>
            </w:pPr>
            <w:r>
              <w:rPr>
                <w:b/>
                <w:color w:val="000000"/>
              </w:rPr>
              <w:t>Поставщик</w:t>
            </w:r>
          </w:p>
          <w:p>
            <w:pPr>
              <w:rPr>
                <w:b/>
                <w:sz w:val="20"/>
                <w:szCs w:val="20"/>
              </w:rPr>
            </w:pPr>
          </w:p>
          <w:p>
            <w:pPr>
              <w:rPr>
                <w:b/>
                <w:sz w:val="20"/>
                <w:szCs w:val="20"/>
              </w:rPr>
            </w:pPr>
          </w:p>
          <w:p>
            <w:pPr>
              <w:widowControl w:val="0"/>
              <w:rPr>
                <w:b/>
                <w:color w:val="000000"/>
              </w:rPr>
            </w:pPr>
            <w:r>
              <w:rPr>
                <w:b/>
                <w:color w:val="000000"/>
              </w:rPr>
              <w:t>_________________/</w:t>
            </w:r>
            <w:r>
              <w:rPr>
                <w:sz w:val="20"/>
                <w:szCs w:val="20"/>
              </w:rPr>
              <w:t xml:space="preserve"> ____/</w:t>
            </w:r>
          </w:p>
          <w:p>
            <w:pPr>
              <w:widowControl w:val="0"/>
              <w:ind w:firstLine="480"/>
              <w:rPr>
                <w:color w:val="000000"/>
              </w:rPr>
            </w:pPr>
            <w:r>
              <w:rPr>
                <w:color w:val="000000"/>
              </w:rPr>
              <w:t>Подписано ЭП</w:t>
            </w:r>
          </w:p>
        </w:tc>
      </w:tr>
    </w:tbl>
    <w:p>
      <w:pPr>
        <w:jc w:val="right"/>
        <w:sectPr>
          <w:pgSz w:w="16838" w:h="11906" w:orient="landscape"/>
          <w:pgMar w:top="1701" w:right="1134" w:bottom="851" w:left="1134" w:header="709" w:footer="709" w:gutter="0"/>
          <w:cols w:space="708"/>
          <w:docGrid w:linePitch="360"/>
        </w:sectPr>
      </w:pPr>
    </w:p>
    <w:p>
      <w:pPr>
        <w:jc w:val="right"/>
        <w:rPr>
          <w:sz w:val="22"/>
          <w:szCs w:val="22"/>
        </w:rPr>
      </w:pPr>
      <w:r>
        <w:rPr>
          <w:sz w:val="22"/>
          <w:szCs w:val="22"/>
        </w:rPr>
        <w:lastRenderedPageBreak/>
        <w:t>Приложение № 2 к Контракту</w:t>
      </w:r>
    </w:p>
    <w:p>
      <w:pPr>
        <w:pStyle w:val="a4"/>
        <w:ind w:left="-426" w:firstLine="142"/>
        <w:jc w:val="right"/>
        <w:rPr>
          <w:rFonts w:ascii="Times New Roman" w:hAnsi="Times New Roman" w:cs="Times New Roman"/>
        </w:rPr>
      </w:pPr>
      <w:r>
        <w:t xml:space="preserve"> </w:t>
      </w:r>
      <w:r>
        <w:rPr>
          <w:rFonts w:ascii="Times New Roman" w:hAnsi="Times New Roman" w:cs="Times New Roman"/>
        </w:rPr>
        <w:t>от «  » июня  2026г. №</w:t>
      </w:r>
      <w:r>
        <w:t xml:space="preserve"> </w:t>
      </w:r>
    </w:p>
    <w:p>
      <w:pPr>
        <w:jc w:val="right"/>
        <w:rPr>
          <w:sz w:val="22"/>
          <w:szCs w:val="22"/>
        </w:rPr>
      </w:pPr>
    </w:p>
    <w:p>
      <w:pPr>
        <w:jc w:val="center"/>
        <w:rPr>
          <w:b/>
          <w:sz w:val="22"/>
          <w:szCs w:val="22"/>
        </w:rPr>
      </w:pPr>
      <w:r>
        <w:rPr>
          <w:b/>
          <w:sz w:val="22"/>
          <w:szCs w:val="22"/>
        </w:rPr>
        <w:t>Техническое задание</w:t>
      </w:r>
    </w:p>
    <w:p>
      <w:pPr>
        <w:jc w:val="both"/>
        <w:rPr>
          <w:sz w:val="22"/>
          <w:szCs w:val="22"/>
        </w:rPr>
      </w:pPr>
      <w:r>
        <w:rPr>
          <w:sz w:val="22"/>
          <w:szCs w:val="22"/>
        </w:rPr>
        <w:t xml:space="preserve"> </w:t>
      </w:r>
    </w:p>
    <w:p>
      <w:pPr>
        <w:rPr>
          <w:sz w:val="22"/>
          <w:szCs w:val="22"/>
        </w:rPr>
      </w:pPr>
      <w:r>
        <w:rPr>
          <w:sz w:val="22"/>
          <w:szCs w:val="22"/>
        </w:rPr>
        <w:t xml:space="preserve">1. Требования к качеству Товара, комплектности, таре, упаковке, маркировке и иные требования: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 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w:t>
      </w:r>
    </w:p>
    <w:p>
      <w:pPr>
        <w:rPr>
          <w:sz w:val="22"/>
          <w:szCs w:val="22"/>
        </w:rPr>
      </w:pPr>
      <w:r>
        <w:rPr>
          <w:sz w:val="22"/>
          <w:szCs w:val="22"/>
        </w:rPr>
        <w:t>2. Адрес поставки: 196158, г. Санкт-Петербург, ул. Федора Котанова, д.3, корп. 3, стр. 1.</w:t>
      </w:r>
    </w:p>
    <w:p>
      <w:pPr>
        <w:rPr>
          <w:sz w:val="22"/>
          <w:szCs w:val="22"/>
        </w:rPr>
      </w:pPr>
      <w:r>
        <w:rPr>
          <w:sz w:val="22"/>
          <w:szCs w:val="22"/>
        </w:rPr>
        <w:t>3. Сопроводительные документы: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предоставить: оригиналы или в установленном порядке заверенные копии действующих сертификатов соответствия и декларации о соответствии требованиям нормативных документов на поставляемые товары, в случаях, установленных законодательством РФ.</w:t>
      </w:r>
    </w:p>
    <w:p>
      <w:pPr>
        <w:rPr>
          <w:sz w:val="22"/>
          <w:szCs w:val="22"/>
        </w:rPr>
      </w:pPr>
      <w:r>
        <w:rPr>
          <w:sz w:val="22"/>
          <w:szCs w:val="22"/>
        </w:rPr>
        <w:t>4. Срок поставки: в течение 20 рабочих дней с момента заключения контракта.</w:t>
      </w:r>
    </w:p>
    <w:p>
      <w:pPr>
        <w:rPr>
          <w:sz w:val="22"/>
          <w:szCs w:val="22"/>
        </w:rPr>
      </w:pPr>
      <w:r>
        <w:rPr>
          <w:sz w:val="22"/>
          <w:szCs w:val="22"/>
        </w:rPr>
        <w:t>5. Порядок приемки: Доставка товара осуществляется в рабочее время Заказчика по предварительному согласованию времени доставки с Заказчиком. Доставка товара осуществляется силами Поставщика, с последующей установкой товара. Приемка товара осуществляется уполномоченными представителями Заказчика. В течение 5 рабочих дней с момента передачи товара по акту и товарной накладной Заказчик осуществляет приемку поставленного товара на соответствие его количества, ассортимента и качества, требованиям, установленным в контракте и оформляет результаты такой приемки подписанием накладной.</w:t>
      </w:r>
    </w:p>
    <w:p>
      <w:pPr>
        <w:rPr>
          <w:sz w:val="22"/>
          <w:szCs w:val="22"/>
        </w:rPr>
      </w:pPr>
      <w:r>
        <w:rPr>
          <w:sz w:val="22"/>
          <w:szCs w:val="22"/>
        </w:rPr>
        <w:t>6. Документ о приемке: товарная накладная или универсальный передаточный документ</w:t>
      </w:r>
    </w:p>
    <w:p>
      <w:pPr>
        <w:rPr>
          <w:sz w:val="22"/>
          <w:szCs w:val="22"/>
        </w:rPr>
      </w:pPr>
      <w:r>
        <w:rPr>
          <w:sz w:val="22"/>
          <w:szCs w:val="22"/>
        </w:rPr>
        <w:t>7. Срок приемки: Срок приёмки товаров и оформления ее результатов – до 5 рабочих дней.</w:t>
      </w:r>
    </w:p>
    <w:p>
      <w:pPr>
        <w:rPr>
          <w:sz w:val="22"/>
          <w:szCs w:val="22"/>
        </w:rPr>
      </w:pPr>
      <w:r>
        <w:rPr>
          <w:sz w:val="22"/>
          <w:szCs w:val="22"/>
        </w:rPr>
        <w:t>8. Срок замены некачественного Товара, гарантийный срок на заменяемый товар: Начало течения гарантийного срока на товар, который должен составлять не менее 12 месяцев (или иной срок, установленный производителем товара) - с момента передачи товара Заказчику. 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 Устранение недостатков осуществляется Поставщиком за свой счет.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Срок исполнения гарантийных обязательств по устранению недостатков товара не может превышать 14 дней с момента получения уведомления от Заказчика о недостатках товара.</w:t>
      </w:r>
    </w:p>
    <w:p>
      <w:pPr>
        <w:jc w:val="both"/>
      </w:pPr>
    </w:p>
    <w:tbl>
      <w:tblPr>
        <w:tblW w:w="9428" w:type="dxa"/>
        <w:tblInd w:w="70" w:type="dxa"/>
        <w:tblLayout w:type="fixed"/>
        <w:tblCellMar>
          <w:left w:w="70" w:type="dxa"/>
          <w:right w:w="70" w:type="dxa"/>
        </w:tblCellMar>
        <w:tblLook w:val="0000" w:firstRow="0" w:lastRow="0" w:firstColumn="0" w:lastColumn="0" w:noHBand="0" w:noVBand="0"/>
      </w:tblPr>
      <w:tblGrid>
        <w:gridCol w:w="5052"/>
        <w:gridCol w:w="4376"/>
      </w:tblGrid>
      <w:tr>
        <w:trPr>
          <w:cantSplit/>
          <w:trHeight w:val="1710"/>
        </w:trPr>
        <w:tc>
          <w:tcPr>
            <w:tcW w:w="5052" w:type="dxa"/>
          </w:tcPr>
          <w:p>
            <w:pPr>
              <w:pStyle w:val="a9"/>
              <w:rPr>
                <w:rFonts w:ascii="Times New Roman" w:hAnsi="Times New Roman"/>
                <w:b/>
                <w:color w:val="000000"/>
              </w:rPr>
            </w:pPr>
            <w:r>
              <w:rPr>
                <w:rFonts w:ascii="Times New Roman" w:hAnsi="Times New Roman"/>
                <w:b/>
                <w:color w:val="000000"/>
              </w:rPr>
              <w:t>Заказчик</w:t>
            </w:r>
          </w:p>
          <w:p>
            <w:pPr>
              <w:rPr>
                <w:b/>
                <w:color w:val="000000"/>
              </w:rPr>
            </w:pPr>
            <w:r>
              <w:rPr>
                <w:b/>
                <w:color w:val="000000"/>
              </w:rPr>
              <w:t>ГБДОУ детский сад № 80</w:t>
            </w:r>
          </w:p>
          <w:p>
            <w:pPr>
              <w:rPr>
                <w:b/>
                <w:color w:val="000000"/>
              </w:rPr>
            </w:pPr>
            <w:r>
              <w:rPr>
                <w:b/>
                <w:color w:val="000000"/>
              </w:rPr>
              <w:t xml:space="preserve">Московского района Санкт-Петербурга </w:t>
            </w:r>
          </w:p>
          <w:p>
            <w:pPr>
              <w:pStyle w:val="a9"/>
              <w:rPr>
                <w:rFonts w:ascii="Times New Roman" w:hAnsi="Times New Roman"/>
                <w:b/>
                <w:color w:val="000000"/>
              </w:rPr>
            </w:pPr>
          </w:p>
          <w:p>
            <w:pPr>
              <w:pStyle w:val="a9"/>
              <w:rPr>
                <w:rFonts w:ascii="Times New Roman" w:hAnsi="Times New Roman"/>
                <w:b/>
                <w:color w:val="000000"/>
              </w:rPr>
            </w:pPr>
            <w:r>
              <w:rPr>
                <w:rFonts w:ascii="Times New Roman" w:hAnsi="Times New Roman"/>
                <w:color w:val="000000"/>
              </w:rPr>
              <w:t>_____________        /Федорова Н. А./</w:t>
            </w:r>
          </w:p>
          <w:p>
            <w:pPr>
              <w:pStyle w:val="af0"/>
              <w:widowControl w:val="0"/>
              <w:ind w:firstLine="480"/>
              <w:rPr>
                <w:color w:val="000000"/>
                <w:sz w:val="22"/>
                <w:szCs w:val="22"/>
              </w:rPr>
            </w:pPr>
            <w:r>
              <w:rPr>
                <w:color w:val="000000"/>
                <w:sz w:val="22"/>
                <w:szCs w:val="22"/>
              </w:rPr>
              <w:t>Подписано ЭП</w:t>
            </w:r>
          </w:p>
        </w:tc>
        <w:tc>
          <w:tcPr>
            <w:tcW w:w="4376" w:type="dxa"/>
          </w:tcPr>
          <w:p>
            <w:pPr>
              <w:widowControl w:val="0"/>
              <w:rPr>
                <w:b/>
                <w:color w:val="000000"/>
              </w:rPr>
            </w:pPr>
            <w:r>
              <w:rPr>
                <w:b/>
                <w:color w:val="000000"/>
              </w:rPr>
              <w:t>Поставщик</w:t>
            </w:r>
          </w:p>
          <w:p>
            <w:pPr>
              <w:rPr>
                <w:b/>
                <w:sz w:val="20"/>
                <w:szCs w:val="20"/>
              </w:rPr>
            </w:pPr>
          </w:p>
          <w:p>
            <w:pPr>
              <w:rPr>
                <w:b/>
                <w:sz w:val="20"/>
                <w:szCs w:val="20"/>
              </w:rPr>
            </w:pPr>
          </w:p>
          <w:p>
            <w:pPr>
              <w:widowControl w:val="0"/>
              <w:rPr>
                <w:b/>
                <w:color w:val="000000"/>
              </w:rPr>
            </w:pPr>
            <w:r>
              <w:rPr>
                <w:b/>
                <w:color w:val="000000"/>
              </w:rPr>
              <w:t>_________________/</w:t>
            </w:r>
            <w:r>
              <w:rPr>
                <w:sz w:val="20"/>
                <w:szCs w:val="20"/>
              </w:rPr>
              <w:t xml:space="preserve"> ____/</w:t>
            </w:r>
          </w:p>
          <w:p>
            <w:pPr>
              <w:widowControl w:val="0"/>
              <w:ind w:firstLine="480"/>
              <w:rPr>
                <w:color w:val="000000"/>
              </w:rPr>
            </w:pPr>
            <w:r>
              <w:rPr>
                <w:color w:val="000000"/>
              </w:rPr>
              <w:t>Подписано ЭП</w:t>
            </w:r>
          </w:p>
        </w:tc>
      </w:tr>
    </w:tbl>
    <w:p>
      <w:pPr>
        <w:jc w:val="both"/>
      </w:pPr>
    </w:p>
    <w:sectPr>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A02D2"/>
    <w:multiLevelType w:val="multilevel"/>
    <w:tmpl w:val="DA545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D65FFF"/>
    <w:multiLevelType w:val="multilevel"/>
    <w:tmpl w:val="1E226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C1708B"/>
    <w:multiLevelType w:val="multilevel"/>
    <w:tmpl w:val="B016C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631A0B"/>
    <w:multiLevelType w:val="multilevel"/>
    <w:tmpl w:val="A4A28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0FA2820"/>
    <w:multiLevelType w:val="multilevel"/>
    <w:tmpl w:val="30DA8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paragraph" w:styleId="2">
    <w:name w:val="heading 2"/>
    <w:basedOn w:val="a"/>
    <w:next w:val="a"/>
    <w:link w:val="20"/>
    <w:uiPriority w:val="9"/>
    <w:unhideWhenUsed/>
    <w:qFormat/>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pPr>
      <w:tabs>
        <w:tab w:val="center" w:pos="4677"/>
        <w:tab w:val="right" w:pos="9355"/>
      </w:tabs>
    </w:pPr>
  </w:style>
  <w:style w:type="character" w:customStyle="1" w:styleId="a6">
    <w:name w:val="Верхний колонтитул Знак"/>
    <w:basedOn w:val="a0"/>
    <w:link w:val="a5"/>
    <w:uiPriority w:val="99"/>
    <w:rPr>
      <w:rFonts w:ascii="Times New Roman" w:eastAsia="Times New Roman" w:hAnsi="Times New Roman" w:cs="Times New Roman"/>
      <w:sz w:val="24"/>
      <w:szCs w:val="24"/>
      <w:lang w:eastAsia="ru-RU"/>
    </w:rPr>
  </w:style>
  <w:style w:type="paragraph" w:styleId="a7">
    <w:name w:val="footer"/>
    <w:basedOn w:val="a"/>
    <w:link w:val="a8"/>
    <w:uiPriority w:val="99"/>
    <w:unhideWhenUsed/>
    <w:pPr>
      <w:tabs>
        <w:tab w:val="center" w:pos="4677"/>
        <w:tab w:val="right" w:pos="9355"/>
      </w:tabs>
    </w:pPr>
  </w:style>
  <w:style w:type="character" w:customStyle="1" w:styleId="a8">
    <w:name w:val="Нижний колонтитул Знак"/>
    <w:basedOn w:val="a0"/>
    <w:link w:val="a7"/>
    <w:uiPriority w:val="99"/>
    <w:rPr>
      <w:rFonts w:ascii="Times New Roman" w:eastAsia="Times New Roman" w:hAnsi="Times New Roman" w:cs="Times New Roman"/>
      <w:sz w:val="24"/>
      <w:szCs w:val="24"/>
      <w:lang w:eastAsia="ru-RU"/>
    </w:rPr>
  </w:style>
  <w:style w:type="paragraph" w:styleId="a9">
    <w:name w:val="No Spacing"/>
    <w:aliases w:val="для таблиц,Без интервала2,мой,МОЙ,Без интервала 111,МММ,МОЙ МОЙ,Без интервала1,Без интервала21,No Spacing111,Максим,Без интервал,Основной,Основа"/>
    <w:link w:val="aa"/>
    <w:qFormat/>
    <w:pPr>
      <w:spacing w:after="0" w:line="240" w:lineRule="auto"/>
    </w:pPr>
    <w:rPr>
      <w:rFonts w:ascii="Calibri" w:eastAsia="DengXian" w:hAnsi="Calibri" w:cs="Times New Roman"/>
    </w:rPr>
  </w:style>
  <w:style w:type="character" w:customStyle="1" w:styleId="aa">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Максим Знак,Без интервал Знак,Основной Знак,Основа Знак"/>
    <w:link w:val="a9"/>
    <w:qFormat/>
    <w:locked/>
    <w:rPr>
      <w:rFonts w:ascii="Calibri" w:eastAsia="DengXian" w:hAnsi="Calibri" w:cs="Times New Roman"/>
    </w:rPr>
  </w:style>
  <w:style w:type="paragraph" w:styleId="ab">
    <w:name w:val="Balloon Text"/>
    <w:basedOn w:val="a"/>
    <w:link w:val="ac"/>
    <w:uiPriority w:val="99"/>
    <w:semiHidden/>
    <w:unhideWhenUsed/>
    <w:rPr>
      <w:rFonts w:ascii="Segoe UI" w:hAnsi="Segoe UI" w:cs="Segoe UI"/>
      <w:sz w:val="18"/>
      <w:szCs w:val="18"/>
    </w:rPr>
  </w:style>
  <w:style w:type="character" w:customStyle="1" w:styleId="ac">
    <w:name w:val="Текст выноски Знак"/>
    <w:basedOn w:val="a0"/>
    <w:link w:val="ab"/>
    <w:uiPriority w:val="99"/>
    <w:semiHidden/>
    <w:rPr>
      <w:rFonts w:ascii="Segoe UI" w:eastAsia="Times New Roman" w:hAnsi="Segoe UI" w:cs="Segoe UI"/>
      <w:sz w:val="18"/>
      <w:szCs w:val="18"/>
      <w:lang w:eastAsia="ru-RU"/>
    </w:rPr>
  </w:style>
  <w:style w:type="character" w:customStyle="1" w:styleId="10">
    <w:name w:val="Заголовок 1 Знак"/>
    <w:basedOn w:val="a0"/>
    <w:link w:val="1"/>
    <w:uiPriority w:val="9"/>
    <w:rPr>
      <w:rFonts w:ascii="Times New Roman" w:eastAsia="Times New Roman" w:hAnsi="Times New Roman" w:cs="Times New Roman"/>
      <w:b/>
      <w:bCs/>
      <w:kern w:val="36"/>
      <w:sz w:val="48"/>
      <w:szCs w:val="48"/>
      <w:lang w:eastAsia="ru-RU"/>
    </w:rPr>
  </w:style>
  <w:style w:type="character" w:styleId="ad">
    <w:name w:val="Hyperlink"/>
    <w:basedOn w:val="a0"/>
    <w:uiPriority w:val="99"/>
    <w:unhideWhenUsed/>
    <w:rPr>
      <w:color w:val="0563C1" w:themeColor="hyperlink"/>
      <w:u w:val="single"/>
    </w:rPr>
  </w:style>
  <w:style w:type="character" w:customStyle="1" w:styleId="20">
    <w:name w:val="Заголовок 2 Знак"/>
    <w:basedOn w:val="a0"/>
    <w:link w:val="2"/>
    <w:uiPriority w:val="9"/>
    <w:rPr>
      <w:rFonts w:asciiTheme="majorHAnsi" w:eastAsiaTheme="majorEastAsia" w:hAnsiTheme="majorHAnsi" w:cstheme="majorBidi"/>
      <w:color w:val="2E74B5" w:themeColor="accent1" w:themeShade="BF"/>
      <w:sz w:val="26"/>
      <w:szCs w:val="26"/>
      <w:lang w:eastAsia="ru-RU"/>
    </w:rPr>
  </w:style>
  <w:style w:type="paragraph" w:styleId="ae">
    <w:name w:val="Body Text Indent"/>
    <w:basedOn w:val="a"/>
    <w:link w:val="af"/>
    <w:uiPriority w:val="99"/>
    <w:unhideWhenUsed/>
    <w:pPr>
      <w:spacing w:after="120"/>
      <w:ind w:left="283"/>
    </w:pPr>
  </w:style>
  <w:style w:type="character" w:customStyle="1" w:styleId="af">
    <w:name w:val="Основной текст с отступом Знак"/>
    <w:basedOn w:val="a0"/>
    <w:link w:val="ae"/>
    <w:uiPriority w:val="99"/>
    <w:rPr>
      <w:rFonts w:ascii="Times New Roman" w:eastAsia="Times New Roman" w:hAnsi="Times New Roman" w:cs="Times New Roman"/>
      <w:sz w:val="24"/>
      <w:szCs w:val="24"/>
      <w:lang w:eastAsia="ru-RU"/>
    </w:rPr>
  </w:style>
  <w:style w:type="paragraph" w:styleId="af0">
    <w:name w:val="Body Text"/>
    <w:aliases w:val="Список 1 Знак,Body Text Char Знак,Основной текст Знак1 Знак1,Основной текст Знак Знак Знак2,Список 1 Знак Знак Знак2,Основной текст Знак Знак Знак Знак1,Список 1 Знак Знак Знак Знак1,Body Text Char Знак Знак Знак Знак1,Список 1"/>
    <w:basedOn w:val="a"/>
    <w:link w:val="11"/>
    <w:pPr>
      <w:jc w:val="both"/>
    </w:pPr>
  </w:style>
  <w:style w:type="character" w:customStyle="1" w:styleId="af1">
    <w:name w:val="Основной текст Знак"/>
    <w:basedOn w:val="a0"/>
    <w:uiPriority w:val="99"/>
    <w:semiHidden/>
    <w:rPr>
      <w:rFonts w:ascii="Times New Roman" w:eastAsia="Times New Roman" w:hAnsi="Times New Roman" w:cs="Times New Roman"/>
      <w:sz w:val="24"/>
      <w:szCs w:val="24"/>
      <w:lang w:eastAsia="ru-RU"/>
    </w:rPr>
  </w:style>
  <w:style w:type="character" w:customStyle="1" w:styleId="11">
    <w:name w:val="Основной текст Знак1"/>
    <w:aliases w:val="Список 1 Знак Знак,Body Text Char Знак Знак,Основной текст Знак1 Знак1 Знак,Основной текст Знак Знак Знак2 Знак,Список 1 Знак Знак Знак2 Знак,Основной текст Знак Знак Знак Знак1 Знак,Список 1 Знак Знак Знак Знак1 Знак,Список 1 Знак1"/>
    <w:link w:val="af0"/>
    <w:locked/>
    <w:rPr>
      <w:rFonts w:ascii="Times New Roman" w:eastAsia="Times New Roman" w:hAnsi="Times New Roman" w:cs="Times New Roman"/>
      <w:sz w:val="24"/>
      <w:szCs w:val="24"/>
      <w:lang w:eastAsia="ru-RU"/>
    </w:rPr>
  </w:style>
  <w:style w:type="character" w:styleId="af2">
    <w:name w:val="Strong"/>
    <w:basedOn w:val="a0"/>
    <w:uiPriority w:val="22"/>
    <w:qFormat/>
    <w:rPr>
      <w:b/>
      <w:bCs/>
    </w:rPr>
  </w:style>
  <w:style w:type="character" w:customStyle="1" w:styleId="qwen-markdown-text">
    <w:name w:val="qwen-markdown-text"/>
    <w:basedOn w:val="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737">
      <w:bodyDiv w:val="1"/>
      <w:marLeft w:val="0"/>
      <w:marRight w:val="0"/>
      <w:marTop w:val="0"/>
      <w:marBottom w:val="0"/>
      <w:divBdr>
        <w:top w:val="none" w:sz="0" w:space="0" w:color="auto"/>
        <w:left w:val="none" w:sz="0" w:space="0" w:color="auto"/>
        <w:bottom w:val="none" w:sz="0" w:space="0" w:color="auto"/>
        <w:right w:val="none" w:sz="0" w:space="0" w:color="auto"/>
      </w:divBdr>
    </w:div>
    <w:div w:id="85925834">
      <w:bodyDiv w:val="1"/>
      <w:marLeft w:val="0"/>
      <w:marRight w:val="0"/>
      <w:marTop w:val="0"/>
      <w:marBottom w:val="0"/>
      <w:divBdr>
        <w:top w:val="none" w:sz="0" w:space="0" w:color="auto"/>
        <w:left w:val="none" w:sz="0" w:space="0" w:color="auto"/>
        <w:bottom w:val="none" w:sz="0" w:space="0" w:color="auto"/>
        <w:right w:val="none" w:sz="0" w:space="0" w:color="auto"/>
      </w:divBdr>
    </w:div>
    <w:div w:id="199519150">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845746598">
      <w:bodyDiv w:val="1"/>
      <w:marLeft w:val="0"/>
      <w:marRight w:val="0"/>
      <w:marTop w:val="0"/>
      <w:marBottom w:val="0"/>
      <w:divBdr>
        <w:top w:val="none" w:sz="0" w:space="0" w:color="auto"/>
        <w:left w:val="none" w:sz="0" w:space="0" w:color="auto"/>
        <w:bottom w:val="none" w:sz="0" w:space="0" w:color="auto"/>
        <w:right w:val="none" w:sz="0" w:space="0" w:color="auto"/>
      </w:divBdr>
    </w:div>
    <w:div w:id="887649268">
      <w:bodyDiv w:val="1"/>
      <w:marLeft w:val="0"/>
      <w:marRight w:val="0"/>
      <w:marTop w:val="0"/>
      <w:marBottom w:val="0"/>
      <w:divBdr>
        <w:top w:val="none" w:sz="0" w:space="0" w:color="auto"/>
        <w:left w:val="none" w:sz="0" w:space="0" w:color="auto"/>
        <w:bottom w:val="none" w:sz="0" w:space="0" w:color="auto"/>
        <w:right w:val="none" w:sz="0" w:space="0" w:color="auto"/>
      </w:divBdr>
    </w:div>
    <w:div w:id="1120607703">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128209588">
      <w:bodyDiv w:val="1"/>
      <w:marLeft w:val="0"/>
      <w:marRight w:val="0"/>
      <w:marTop w:val="0"/>
      <w:marBottom w:val="0"/>
      <w:divBdr>
        <w:top w:val="none" w:sz="0" w:space="0" w:color="auto"/>
        <w:left w:val="none" w:sz="0" w:space="0" w:color="auto"/>
        <w:bottom w:val="none" w:sz="0" w:space="0" w:color="auto"/>
        <w:right w:val="none" w:sz="0" w:space="0" w:color="auto"/>
      </w:divBdr>
    </w:div>
    <w:div w:id="1215388196">
      <w:bodyDiv w:val="1"/>
      <w:marLeft w:val="0"/>
      <w:marRight w:val="0"/>
      <w:marTop w:val="0"/>
      <w:marBottom w:val="0"/>
      <w:divBdr>
        <w:top w:val="none" w:sz="0" w:space="0" w:color="auto"/>
        <w:left w:val="none" w:sz="0" w:space="0" w:color="auto"/>
        <w:bottom w:val="none" w:sz="0" w:space="0" w:color="auto"/>
        <w:right w:val="none" w:sz="0" w:space="0" w:color="auto"/>
      </w:divBdr>
    </w:div>
    <w:div w:id="1327787910">
      <w:bodyDiv w:val="1"/>
      <w:marLeft w:val="0"/>
      <w:marRight w:val="0"/>
      <w:marTop w:val="0"/>
      <w:marBottom w:val="0"/>
      <w:divBdr>
        <w:top w:val="none" w:sz="0" w:space="0" w:color="auto"/>
        <w:left w:val="none" w:sz="0" w:space="0" w:color="auto"/>
        <w:bottom w:val="none" w:sz="0" w:space="0" w:color="auto"/>
        <w:right w:val="none" w:sz="0" w:space="0" w:color="auto"/>
      </w:divBdr>
    </w:div>
    <w:div w:id="132804902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51472029">
      <w:bodyDiv w:val="1"/>
      <w:marLeft w:val="0"/>
      <w:marRight w:val="0"/>
      <w:marTop w:val="0"/>
      <w:marBottom w:val="0"/>
      <w:divBdr>
        <w:top w:val="none" w:sz="0" w:space="0" w:color="auto"/>
        <w:left w:val="none" w:sz="0" w:space="0" w:color="auto"/>
        <w:bottom w:val="none" w:sz="0" w:space="0" w:color="auto"/>
        <w:right w:val="none" w:sz="0" w:space="0" w:color="auto"/>
      </w:divBdr>
    </w:div>
    <w:div w:id="1967924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51CA30-243C-499F-9FDF-BF455D6A2D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567</TotalTime>
  <Pages>11</Pages>
  <Words>4284</Words>
  <Characters>24422</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Пользователь Windows</cp:lastModifiedBy>
  <cp:revision>101</cp:revision>
  <cp:lastPrinted>2025-04-09T07:20:00Z</cp:lastPrinted>
  <dcterms:created xsi:type="dcterms:W3CDTF">2024-02-15T11:12:00Z</dcterms:created>
  <dcterms:modified xsi:type="dcterms:W3CDTF">2026-06-08T07:17:00Z</dcterms:modified>
</cp:coreProperties>
</file>