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Pr>
        <w:pStyle w:val="Style_1"/>
        <w:keepNext w:val="1"/>
        <w:keepLines w:val="1"/>
        <w:spacing w:after="0"/>
        <w:ind w:firstLine="284" w:left="-284" w:right="-1"/>
        <w:rPr>
          <w:sz w:val="28"/>
        </w:rPr>
      </w:pPr>
      <w:r>
        <w:rPr>
          <w:sz w:val="28"/>
        </w:rPr>
        <w:t>КОНТРАКТ № 25</w:t>
      </w:r>
    </w:p>
    <w:p w14:paraId="02000000">
      <w:pPr>
        <w:pStyle w:val="Style_1"/>
        <w:keepNext w:val="1"/>
        <w:keepLines w:val="1"/>
        <w:spacing w:after="0"/>
        <w:ind w:firstLine="284" w:left="-284" w:right="-1"/>
        <w:rPr>
          <w:sz w:val="28"/>
        </w:rPr>
      </w:pPr>
      <w:r>
        <w:rPr>
          <w:sz w:val="28"/>
        </w:rPr>
        <w:t xml:space="preserve">ИКЗ </w:t>
      </w:r>
      <w:r>
        <w:rPr>
          <w:sz w:val="28"/>
        </w:rPr>
        <w:t>262781312775078130100100020000000244.</w:t>
      </w:r>
    </w:p>
    <w:p w14:paraId="03000000">
      <w:pPr>
        <w:spacing w:after="0" w:line="240" w:lineRule="auto"/>
        <w:ind w:firstLine="284" w:left="-284" w:right="-1"/>
        <w:rPr>
          <w:rFonts w:ascii="Times New Roman" w:hAnsi="Times New Roman"/>
          <w:sz w:val="28"/>
        </w:rPr>
      </w:pPr>
    </w:p>
    <w:p w14:paraId="04000000">
      <w:pPr>
        <w:spacing w:after="0" w:line="240" w:lineRule="auto"/>
        <w:ind w:right="-1"/>
        <w:rPr>
          <w:rFonts w:ascii="Times New Roman" w:hAnsi="Times New Roman"/>
          <w:sz w:val="24"/>
        </w:rPr>
      </w:pPr>
      <w:r>
        <w:rPr>
          <w:rFonts w:ascii="Times New Roman" w:hAnsi="Times New Roman"/>
          <w:sz w:val="24"/>
        </w:rPr>
        <w:t>Санкт-Петербург</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w:t>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w:t>
      </w:r>
      <w:r>
        <w:rPr>
          <w:rFonts w:ascii="Times New Roman" w:hAnsi="Times New Roman"/>
          <w:sz w:val="24"/>
        </w:rPr>
        <w:t xml:space="preserve"> </w:t>
      </w:r>
      <w:r>
        <w:rPr>
          <w:rFonts w:ascii="Times New Roman" w:hAnsi="Times New Roman"/>
          <w:sz w:val="24"/>
        </w:rPr>
        <w:t>_______</w:t>
      </w:r>
      <w:r>
        <w:rPr>
          <w:rFonts w:ascii="Times New Roman" w:hAnsi="Times New Roman"/>
          <w:sz w:val="24"/>
        </w:rPr>
        <w:t>202</w:t>
      </w:r>
      <w:r>
        <w:rPr>
          <w:rFonts w:ascii="Times New Roman" w:hAnsi="Times New Roman"/>
          <w:sz w:val="24"/>
        </w:rPr>
        <w:t>6</w:t>
      </w:r>
      <w:r>
        <w:rPr>
          <w:rFonts w:ascii="Times New Roman" w:hAnsi="Times New Roman"/>
          <w:sz w:val="24"/>
        </w:rPr>
        <w:t xml:space="preserve"> </w:t>
      </w:r>
      <w:r>
        <w:rPr>
          <w:rFonts w:ascii="Times New Roman" w:hAnsi="Times New Roman"/>
          <w:sz w:val="24"/>
        </w:rPr>
        <w:t>г.</w:t>
      </w:r>
    </w:p>
    <w:p w14:paraId="05000000">
      <w:pPr>
        <w:spacing w:after="0" w:line="240" w:lineRule="auto"/>
        <w:ind w:right="-1"/>
        <w:jc w:val="both"/>
        <w:rPr>
          <w:rFonts w:ascii="Times New Roman" w:hAnsi="Times New Roman"/>
          <w:sz w:val="24"/>
        </w:rPr>
      </w:pPr>
    </w:p>
    <w:p w14:paraId="06000000">
      <w:pPr>
        <w:spacing w:after="0" w:line="240" w:lineRule="auto"/>
        <w:ind w:right="-1"/>
        <w:jc w:val="both"/>
        <w:rPr>
          <w:rFonts w:ascii="Times New Roman" w:hAnsi="Times New Roman"/>
          <w:sz w:val="24"/>
        </w:rPr>
      </w:pPr>
    </w:p>
    <w:p w14:paraId="07000000">
      <w:pPr>
        <w:spacing w:after="0" w:line="255" w:lineRule="atLeast"/>
        <w:ind/>
        <w:jc w:val="both"/>
        <w:rPr>
          <w:rFonts w:ascii="Arial" w:hAnsi="Arial"/>
          <w:color w:val="333333"/>
          <w:sz w:val="20"/>
        </w:rPr>
      </w:pPr>
      <w:r>
        <w:rPr>
          <w:rFonts w:ascii="Times New Roman" w:hAnsi="Times New Roman"/>
          <w:sz w:val="24"/>
        </w:rPr>
        <w:t xml:space="preserve">Государственное бюджетное дошкольное образовательное учреждение детский сад № 21 Петроградского района Санкт-Петербурга, именуемое в дальнейшем «Заказчик», в лице заведующего Епихиной Н.В., действующего на основании Устава, с одной стороны, и </w:t>
      </w:r>
      <w:r>
        <w:rPr>
          <w:rFonts w:ascii="Times New Roman" w:hAnsi="Times New Roman"/>
          <w:sz w:val="24"/>
        </w:rPr>
        <w:t>_____________________</w:t>
      </w:r>
      <w:r>
        <w:rPr>
          <w:rFonts w:ascii="Times New Roman" w:hAnsi="Times New Roman"/>
          <w:sz w:val="24"/>
        </w:rPr>
        <w:t>, именуемый</w:t>
      </w:r>
      <w:r>
        <w:rPr>
          <w:rFonts w:ascii="Times New Roman" w:hAnsi="Times New Roman"/>
          <w:sz w:val="24"/>
        </w:rPr>
        <w:t xml:space="preserve"> в дальнейшем «Поставщик</w:t>
      </w:r>
      <w:r>
        <w:rPr>
          <w:rFonts w:ascii="Times New Roman" w:hAnsi="Times New Roman"/>
          <w:sz w:val="24"/>
        </w:rPr>
        <w:t>»</w:t>
      </w:r>
      <w:r>
        <w:rPr>
          <w:rFonts w:ascii="Times New Roman" w:hAnsi="Times New Roman"/>
          <w:sz w:val="24"/>
        </w:rPr>
        <w:t>,</w:t>
      </w:r>
      <w:r>
        <w:rPr>
          <w:rFonts w:ascii="Times New Roman" w:hAnsi="Times New Roman"/>
          <w:sz w:val="24"/>
        </w:rPr>
        <w:t xml:space="preserve"> </w:t>
      </w:r>
      <w:r>
        <w:rPr>
          <w:rFonts w:ascii="Times New Roman" w:hAnsi="Times New Roman"/>
          <w:sz w:val="24"/>
        </w:rPr>
        <w:t xml:space="preserve">в лице </w:t>
      </w:r>
      <w:r>
        <w:rPr>
          <w:rFonts w:ascii="Times New Roman" w:hAnsi="Times New Roman"/>
          <w:sz w:val="24"/>
        </w:rPr>
        <w:t>__________________</w:t>
      </w:r>
      <w:r>
        <w:rPr>
          <w:rFonts w:ascii="Times New Roman" w:hAnsi="Times New Roman"/>
          <w:sz w:val="24"/>
        </w:rPr>
        <w:t>,</w:t>
      </w:r>
      <w:r>
        <w:rPr>
          <w:rFonts w:ascii="Times New Roman" w:hAnsi="Times New Roman"/>
          <w:sz w:val="24"/>
        </w:rPr>
        <w:t xml:space="preserve"> </w:t>
      </w:r>
      <w:r>
        <w:rPr>
          <w:rFonts w:ascii="Times New Roman" w:hAnsi="Times New Roman"/>
          <w:sz w:val="24"/>
        </w:rPr>
        <w:t>действующего</w:t>
      </w:r>
      <w:r>
        <w:rPr>
          <w:rFonts w:ascii="Times New Roman" w:hAnsi="Times New Roman"/>
          <w:sz w:val="24"/>
        </w:rPr>
        <w:t xml:space="preserve"> на основании</w:t>
      </w:r>
      <w:r>
        <w:rPr>
          <w:rFonts w:ascii="Times New Roman" w:hAnsi="Times New Roman"/>
          <w:sz w:val="24"/>
        </w:rPr>
        <w:t xml:space="preserve"> </w:t>
      </w:r>
      <w:r>
        <w:rPr>
          <w:rFonts w:ascii="Times New Roman" w:hAnsi="Times New Roman"/>
          <w:sz w:val="24"/>
        </w:rPr>
        <w:t>_____________________</w:t>
      </w:r>
      <w:r>
        <w:rPr>
          <w:rFonts w:ascii="Times New Roman" w:hAnsi="Times New Roman"/>
          <w:sz w:val="24"/>
        </w:rPr>
        <w:t xml:space="preserve">, </w:t>
      </w:r>
      <w:r>
        <w:rPr>
          <w:rFonts w:ascii="Times New Roman" w:hAnsi="Times New Roman"/>
          <w:sz w:val="24"/>
        </w:rPr>
        <w:t>с другой стороны, заключили настоящий Контракт о нижеследующем:</w:t>
      </w:r>
    </w:p>
    <w:p w14:paraId="08000000">
      <w:pPr>
        <w:spacing w:after="0" w:line="240" w:lineRule="auto"/>
        <w:ind w:right="-1"/>
        <w:jc w:val="both"/>
        <w:rPr>
          <w:rFonts w:ascii="Times New Roman" w:hAnsi="Times New Roman"/>
          <w:sz w:val="24"/>
        </w:rPr>
      </w:pPr>
    </w:p>
    <w:p w14:paraId="09000000">
      <w:pPr>
        <w:pStyle w:val="Style_2"/>
        <w:spacing w:after="0"/>
        <w:ind w:firstLine="0" w:left="0" w:right="-1"/>
        <w:jc w:val="center"/>
        <w:rPr>
          <w:rFonts w:ascii="Times New Roman" w:hAnsi="Times New Roman"/>
          <w:b w:val="1"/>
          <w:caps w:val="1"/>
          <w:sz w:val="24"/>
        </w:rPr>
      </w:pPr>
      <w:r>
        <w:rPr>
          <w:rFonts w:ascii="Times New Roman" w:hAnsi="Times New Roman"/>
          <w:b w:val="1"/>
          <w:caps w:val="1"/>
          <w:sz w:val="24"/>
        </w:rPr>
        <w:t>1.  Предмет Контракта</w:t>
      </w:r>
    </w:p>
    <w:p w14:paraId="0A000000">
      <w:pPr>
        <w:pStyle w:val="Style_2"/>
        <w:spacing w:after="0"/>
        <w:ind w:firstLine="0" w:left="0" w:right="-1"/>
        <w:jc w:val="center"/>
        <w:rPr>
          <w:rFonts w:ascii="Times New Roman" w:hAnsi="Times New Roman"/>
          <w:b w:val="1"/>
          <w:caps w:val="1"/>
          <w:sz w:val="24"/>
        </w:rPr>
      </w:pPr>
    </w:p>
    <w:p w14:paraId="0B000000">
      <w:pPr>
        <w:pStyle w:val="Style_2"/>
        <w:widowControl w:val="1"/>
        <w:numPr>
          <w:ilvl w:val="1"/>
          <w:numId w:val="1"/>
        </w:numPr>
        <w:tabs>
          <w:tab w:leader="none" w:pos="0" w:val="left"/>
          <w:tab w:leader="none" w:pos="720" w:val="clear"/>
        </w:tabs>
        <w:spacing w:after="0"/>
        <w:ind w:firstLine="0" w:left="0" w:right="-1"/>
        <w:jc w:val="both"/>
      </w:pPr>
      <w:r>
        <w:rPr>
          <w:rFonts w:ascii="Times New Roman" w:hAnsi="Times New Roman"/>
          <w:sz w:val="24"/>
        </w:rPr>
        <w:t xml:space="preserve">По настоящему Контракту Поставщик обязуется в установленный срок </w:t>
      </w:r>
      <w:r>
        <w:rPr>
          <w:rFonts w:ascii="Times New Roman" w:hAnsi="Times New Roman"/>
          <w:sz w:val="24"/>
        </w:rPr>
        <w:t xml:space="preserve">осуществить поставку </w:t>
      </w:r>
      <w:r>
        <w:rPr>
          <w:rFonts w:ascii="Times New Roman" w:hAnsi="Times New Roman"/>
          <w:sz w:val="24"/>
        </w:rPr>
        <w:t>металлического сейфа</w:t>
      </w:r>
      <w:r>
        <w:rPr>
          <w:rFonts w:ascii="Times New Roman" w:hAnsi="Times New Roman"/>
          <w:sz w:val="24"/>
        </w:rPr>
        <w:t xml:space="preserve"> </w:t>
      </w:r>
      <w:r>
        <w:rPr>
          <w:rFonts w:ascii="Times New Roman" w:hAnsi="Times New Roman"/>
          <w:sz w:val="24"/>
        </w:rPr>
        <w:t>(далее Товара)</w:t>
      </w:r>
      <w:r>
        <w:rPr>
          <w:rFonts w:ascii="Times New Roman" w:hAnsi="Times New Roman"/>
          <w:sz w:val="24"/>
        </w:rPr>
        <w:t xml:space="preserve"> для Государственного бюджетного дошкольного образовательного учреждения детский сад № 21 Петроградского района Санкт-Петербурга согласно Приложению № 1 (Спецификация товара), а Заказчик обязуется принять Товар и обеспечить финансирование поставки в соответствии с п.п. 3.1., 3.4., 3.5 настоящего Контракта.</w:t>
      </w:r>
    </w:p>
    <w:p w14:paraId="0C000000">
      <w:pPr>
        <w:pStyle w:val="Style_2"/>
        <w:numPr>
          <w:ilvl w:val="1"/>
          <w:numId w:val="1"/>
        </w:numPr>
        <w:spacing w:after="0"/>
        <w:ind w:right="-1"/>
        <w:jc w:val="both"/>
      </w:pPr>
      <w:r>
        <w:rPr>
          <w:rFonts w:ascii="Times New Roman" w:hAnsi="Times New Roman"/>
          <w:sz w:val="24"/>
        </w:rPr>
        <w:t xml:space="preserve">ИКЗ закупки: </w:t>
      </w:r>
      <w:r>
        <w:rPr>
          <w:rFonts w:ascii="Times New Roman" w:hAnsi="Times New Roman"/>
          <w:sz w:val="24"/>
        </w:rPr>
        <w:t>262781312775078130100100020000000244.</w:t>
      </w:r>
    </w:p>
    <w:p w14:paraId="0D000000">
      <w:pPr>
        <w:pStyle w:val="Style_2"/>
        <w:spacing w:after="0"/>
        <w:ind w:right="-1"/>
        <w:jc w:val="both"/>
        <w:rPr>
          <w:rFonts w:ascii="Times New Roman" w:hAnsi="Times New Roman"/>
          <w:sz w:val="24"/>
        </w:rPr>
      </w:pPr>
    </w:p>
    <w:p w14:paraId="0E000000">
      <w:pPr>
        <w:pStyle w:val="Style_2"/>
        <w:widowControl w:val="1"/>
        <w:spacing w:after="0"/>
        <w:ind w:firstLine="0" w:left="720" w:right="-1"/>
        <w:jc w:val="both"/>
        <w:rPr>
          <w:rFonts w:ascii="Times New Roman" w:hAnsi="Times New Roman"/>
          <w:sz w:val="24"/>
        </w:rPr>
      </w:pPr>
    </w:p>
    <w:p w14:paraId="0F000000">
      <w:pPr>
        <w:pStyle w:val="Style_2"/>
        <w:widowControl w:val="1"/>
        <w:numPr>
          <w:ilvl w:val="0"/>
          <w:numId w:val="2"/>
        </w:numPr>
        <w:spacing w:after="0"/>
        <w:ind w:firstLine="0" w:left="0" w:right="-1"/>
        <w:jc w:val="center"/>
        <w:rPr>
          <w:rFonts w:ascii="Times New Roman" w:hAnsi="Times New Roman"/>
          <w:b w:val="1"/>
          <w:caps w:val="1"/>
          <w:sz w:val="24"/>
        </w:rPr>
      </w:pPr>
      <w:r>
        <w:rPr>
          <w:rFonts w:ascii="Times New Roman" w:hAnsi="Times New Roman"/>
          <w:b w:val="1"/>
          <w:caps w:val="1"/>
          <w:sz w:val="24"/>
        </w:rPr>
        <w:t>Срок и условия выполнения поставки</w:t>
      </w:r>
    </w:p>
    <w:p w14:paraId="10000000">
      <w:pPr>
        <w:pStyle w:val="Style_2"/>
        <w:widowControl w:val="1"/>
        <w:spacing w:after="0"/>
        <w:ind w:firstLine="0" w:left="0" w:right="-1"/>
        <w:rPr>
          <w:rFonts w:ascii="Times New Roman" w:hAnsi="Times New Roman"/>
          <w:b w:val="1"/>
          <w:caps w:val="1"/>
          <w:sz w:val="24"/>
        </w:rPr>
      </w:pPr>
    </w:p>
    <w:p w14:paraId="11000000">
      <w:pPr>
        <w:pStyle w:val="Style_2"/>
        <w:widowControl w:val="1"/>
        <w:numPr>
          <w:ilvl w:val="1"/>
          <w:numId w:val="2"/>
        </w:numPr>
        <w:tabs>
          <w:tab w:leader="none" w:pos="426" w:val="left"/>
        </w:tabs>
        <w:spacing w:after="0"/>
        <w:ind w:firstLine="0" w:left="0" w:right="-1"/>
        <w:jc w:val="both"/>
        <w:rPr>
          <w:rFonts w:ascii="Times New Roman" w:hAnsi="Times New Roman"/>
          <w:sz w:val="24"/>
        </w:rPr>
      </w:pPr>
      <w:r>
        <w:rPr>
          <w:rFonts w:ascii="Times New Roman" w:hAnsi="Times New Roman"/>
          <w:sz w:val="24"/>
        </w:rPr>
        <w:t xml:space="preserve">Начало поставки Товара по настоящему Контракту: </w:t>
      </w:r>
      <w:r>
        <w:rPr>
          <w:rFonts w:ascii="Times New Roman" w:hAnsi="Times New Roman"/>
          <w:sz w:val="24"/>
        </w:rPr>
        <w:t>с момента подписания контракта</w:t>
      </w:r>
      <w:r>
        <w:rPr>
          <w:rFonts w:ascii="Times New Roman" w:hAnsi="Times New Roman"/>
          <w:sz w:val="24"/>
        </w:rPr>
        <w:t>.</w:t>
      </w:r>
    </w:p>
    <w:p w14:paraId="12000000">
      <w:pPr>
        <w:pStyle w:val="Style_3"/>
        <w:numPr>
          <w:ilvl w:val="1"/>
          <w:numId w:val="2"/>
        </w:numPr>
        <w:tabs>
          <w:tab w:leader="none" w:pos="0" w:val="left"/>
          <w:tab w:leader="none" w:pos="720" w:val="clear"/>
        </w:tabs>
        <w:spacing w:after="0"/>
        <w:ind w:firstLine="0" w:left="0"/>
        <w:rPr>
          <w:rFonts w:ascii="Times New Roman" w:hAnsi="Times New Roman"/>
          <w:sz w:val="24"/>
        </w:rPr>
      </w:pPr>
      <w:r>
        <w:rPr>
          <w:rFonts w:ascii="Times New Roman" w:hAnsi="Times New Roman"/>
          <w:sz w:val="24"/>
        </w:rPr>
        <w:t>Окончание выполнения поставки по на</w:t>
      </w:r>
      <w:r>
        <w:rPr>
          <w:rFonts w:ascii="Times New Roman" w:hAnsi="Times New Roman"/>
          <w:sz w:val="24"/>
        </w:rPr>
        <w:t xml:space="preserve">стоящему Контракту: </w:t>
      </w:r>
      <w:r>
        <w:rPr>
          <w:rFonts w:ascii="Times New Roman" w:hAnsi="Times New Roman"/>
          <w:sz w:val="24"/>
        </w:rPr>
        <w:t>в течении 20 рабочих дней.</w:t>
      </w:r>
    </w:p>
    <w:p w14:paraId="13000000">
      <w:pPr>
        <w:pStyle w:val="Style_2"/>
        <w:widowControl w:val="1"/>
        <w:numPr>
          <w:ilvl w:val="1"/>
          <w:numId w:val="2"/>
        </w:numPr>
        <w:tabs>
          <w:tab w:leader="none" w:pos="426" w:val="left"/>
          <w:tab w:leader="none" w:pos="720" w:val="clear"/>
        </w:tabs>
        <w:spacing w:after="0"/>
        <w:ind w:firstLine="0" w:left="0" w:right="-1"/>
        <w:jc w:val="both"/>
        <w:rPr>
          <w:rFonts w:ascii="Times New Roman" w:hAnsi="Times New Roman"/>
          <w:sz w:val="24"/>
        </w:rPr>
      </w:pPr>
      <w:r>
        <w:rPr>
          <w:rFonts w:ascii="Times New Roman" w:hAnsi="Times New Roman"/>
          <w:sz w:val="24"/>
        </w:rPr>
        <w:t>Доставка Товара производится по адрес</w:t>
      </w:r>
      <w:r>
        <w:rPr>
          <w:rFonts w:ascii="Times New Roman" w:hAnsi="Times New Roman"/>
          <w:sz w:val="24"/>
        </w:rPr>
        <w:t>у</w:t>
      </w:r>
      <w:r>
        <w:rPr>
          <w:rFonts w:ascii="Times New Roman" w:hAnsi="Times New Roman"/>
          <w:sz w:val="24"/>
        </w:rPr>
        <w:t xml:space="preserve"> Заказчика: </w:t>
      </w:r>
    </w:p>
    <w:p w14:paraId="14000000">
      <w:pPr>
        <w:pStyle w:val="Style_2"/>
        <w:widowControl w:val="1"/>
        <w:spacing w:after="0"/>
        <w:ind w:firstLine="0" w:left="0" w:right="-1"/>
        <w:jc w:val="both"/>
        <w:rPr>
          <w:rFonts w:ascii="Times New Roman" w:hAnsi="Times New Roman"/>
          <w:sz w:val="24"/>
        </w:rPr>
      </w:pPr>
      <w:r>
        <w:rPr>
          <w:rFonts w:ascii="Times New Roman" w:hAnsi="Times New Roman"/>
          <w:sz w:val="24"/>
        </w:rPr>
        <w:t xml:space="preserve">197110, Санкт-Петербург, ул. </w:t>
      </w:r>
      <w:r>
        <w:rPr>
          <w:rFonts w:ascii="Times New Roman" w:hAnsi="Times New Roman"/>
          <w:sz w:val="24"/>
        </w:rPr>
        <w:t>Большая Зеленина</w:t>
      </w:r>
      <w:r>
        <w:rPr>
          <w:rFonts w:ascii="Times New Roman" w:hAnsi="Times New Roman"/>
          <w:sz w:val="24"/>
        </w:rPr>
        <w:t>, д.13</w:t>
      </w:r>
      <w:r>
        <w:rPr>
          <w:rFonts w:ascii="Times New Roman" w:hAnsi="Times New Roman"/>
          <w:sz w:val="24"/>
        </w:rPr>
        <w:t>, лит.</w:t>
      </w:r>
      <w:r>
        <w:rPr>
          <w:rFonts w:ascii="Times New Roman" w:hAnsi="Times New Roman"/>
          <w:sz w:val="24"/>
        </w:rPr>
        <w:t xml:space="preserve"> </w:t>
      </w:r>
      <w:r>
        <w:rPr>
          <w:rFonts w:ascii="Times New Roman" w:hAnsi="Times New Roman"/>
          <w:sz w:val="24"/>
        </w:rPr>
        <w:t>А.</w:t>
      </w:r>
    </w:p>
    <w:p w14:paraId="15000000">
      <w:pPr>
        <w:pStyle w:val="Style_2"/>
        <w:widowControl w:val="1"/>
        <w:spacing w:after="0"/>
        <w:ind w:firstLine="0" w:left="0" w:right="-1"/>
        <w:jc w:val="both"/>
        <w:rPr>
          <w:rFonts w:ascii="Times New Roman" w:hAnsi="Times New Roman"/>
          <w:sz w:val="24"/>
        </w:rPr>
      </w:pPr>
      <w:r>
        <w:rPr>
          <w:rFonts w:ascii="Times New Roman" w:hAnsi="Times New Roman"/>
          <w:sz w:val="24"/>
        </w:rPr>
        <w:t>Доставка Товара, его разгрузка</w:t>
      </w:r>
      <w:r>
        <w:rPr>
          <w:rFonts w:ascii="Times New Roman" w:hAnsi="Times New Roman"/>
          <w:sz w:val="24"/>
        </w:rPr>
        <w:t xml:space="preserve"> и занос</w:t>
      </w:r>
      <w:r>
        <w:rPr>
          <w:rFonts w:ascii="Times New Roman" w:hAnsi="Times New Roman"/>
          <w:sz w:val="24"/>
        </w:rPr>
        <w:t xml:space="preserve"> осуществляется силами</w:t>
      </w:r>
      <w:r>
        <w:rPr>
          <w:rFonts w:ascii="Times New Roman" w:hAnsi="Times New Roman"/>
          <w:sz w:val="24"/>
        </w:rPr>
        <w:t xml:space="preserve"> и за счет Поставщика.</w:t>
      </w:r>
    </w:p>
    <w:p w14:paraId="16000000">
      <w:pPr>
        <w:pStyle w:val="Style_2"/>
        <w:spacing w:after="0"/>
        <w:ind w:firstLine="0" w:left="0" w:right="-1"/>
        <w:rPr>
          <w:rFonts w:ascii="Times New Roman" w:hAnsi="Times New Roman"/>
          <w:sz w:val="24"/>
        </w:rPr>
      </w:pPr>
    </w:p>
    <w:p w14:paraId="17000000">
      <w:pPr>
        <w:pStyle w:val="Style_2"/>
        <w:spacing w:after="0"/>
        <w:ind w:firstLine="0" w:left="0" w:right="-1"/>
        <w:jc w:val="center"/>
        <w:rPr>
          <w:rFonts w:ascii="Times New Roman" w:hAnsi="Times New Roman"/>
          <w:b w:val="1"/>
          <w:caps w:val="1"/>
          <w:sz w:val="24"/>
        </w:rPr>
      </w:pPr>
      <w:r>
        <w:rPr>
          <w:rFonts w:ascii="Times New Roman" w:hAnsi="Times New Roman"/>
          <w:b w:val="1"/>
          <w:sz w:val="24"/>
        </w:rPr>
        <w:t xml:space="preserve">3.  ОБЩАЯ СТОИМОСТЬ </w:t>
      </w:r>
      <w:r>
        <w:rPr>
          <w:rFonts w:ascii="Times New Roman" w:hAnsi="Times New Roman"/>
          <w:b w:val="1"/>
          <w:caps w:val="1"/>
          <w:sz w:val="24"/>
        </w:rPr>
        <w:t>и порядок расчетов</w:t>
      </w:r>
    </w:p>
    <w:p w14:paraId="18000000">
      <w:pPr>
        <w:pStyle w:val="Style_2"/>
        <w:spacing w:after="0"/>
        <w:ind w:firstLine="0" w:left="0" w:right="-1"/>
        <w:jc w:val="center"/>
        <w:rPr>
          <w:rFonts w:ascii="Times New Roman" w:hAnsi="Times New Roman"/>
          <w:b w:val="1"/>
          <w:caps w:val="1"/>
          <w:sz w:val="24"/>
        </w:rPr>
      </w:pPr>
    </w:p>
    <w:p w14:paraId="19000000">
      <w:pPr>
        <w:numPr>
          <w:ilvl w:val="1"/>
          <w:numId w:val="3"/>
        </w:numPr>
        <w:spacing w:after="0" w:line="240" w:lineRule="auto"/>
        <w:ind w:firstLine="0" w:left="0"/>
        <w:jc w:val="both"/>
        <w:rPr>
          <w:rFonts w:ascii="Times New Roman" w:hAnsi="Times New Roman"/>
          <w:sz w:val="24"/>
        </w:rPr>
      </w:pPr>
      <w:r>
        <w:rPr>
          <w:rFonts w:ascii="Times New Roman" w:hAnsi="Times New Roman"/>
          <w:sz w:val="24"/>
        </w:rPr>
        <w:t>Общая</w:t>
      </w:r>
      <w:r>
        <w:rPr>
          <w:rFonts w:ascii="Times New Roman" w:hAnsi="Times New Roman"/>
          <w:sz w:val="24"/>
        </w:rPr>
        <w:t xml:space="preserve"> </w:t>
      </w:r>
      <w:r>
        <w:rPr>
          <w:rFonts w:ascii="Times New Roman" w:hAnsi="Times New Roman"/>
          <w:sz w:val="24"/>
        </w:rPr>
        <w:t>стоимость настоящего Контракта составляет:</w:t>
      </w:r>
      <w:r>
        <w:rPr>
          <w:rFonts w:ascii="Times New Roman" w:hAnsi="Times New Roman"/>
          <w:sz w:val="24"/>
        </w:rPr>
        <w:t xml:space="preserve"> </w:t>
      </w:r>
      <w:r>
        <w:rPr>
          <w:rFonts w:ascii="Times New Roman" w:hAnsi="Times New Roman"/>
          <w:sz w:val="24"/>
        </w:rPr>
        <w:t>_________________________</w:t>
      </w:r>
      <w:r>
        <w:rPr>
          <w:rFonts w:ascii="Times New Roman" w:hAnsi="Times New Roman"/>
          <w:sz w:val="24"/>
        </w:rPr>
        <w:t xml:space="preserve">, в том числе </w:t>
      </w:r>
      <w:r>
        <w:rPr>
          <w:rFonts w:ascii="Times New Roman" w:hAnsi="Times New Roman"/>
          <w:sz w:val="24"/>
        </w:rPr>
        <w:t>НДС /НДС не облагается</w:t>
      </w:r>
      <w:r>
        <w:rPr>
          <w:rFonts w:ascii="Times New Roman" w:hAnsi="Times New Roman"/>
          <w:sz w:val="24"/>
        </w:rPr>
        <w:t>,</w:t>
      </w:r>
      <w:r>
        <w:rPr>
          <w:rFonts w:ascii="Times New Roman" w:hAnsi="Times New Roman"/>
          <w:sz w:val="24"/>
        </w:rPr>
        <w:t xml:space="preserve"> </w:t>
      </w:r>
      <w:r>
        <w:rPr>
          <w:rFonts w:ascii="Times New Roman" w:hAnsi="Times New Roman"/>
          <w:sz w:val="24"/>
        </w:rPr>
        <w:t>в</w:t>
      </w:r>
      <w:r>
        <w:rPr>
          <w:rFonts w:ascii="Times New Roman" w:hAnsi="Times New Roman"/>
          <w:sz w:val="24"/>
        </w:rPr>
        <w:t xml:space="preserve"> соответствии с Приложением № 1 (Спецификация товара).</w:t>
      </w:r>
    </w:p>
    <w:p w14:paraId="1A000000">
      <w:pPr>
        <w:pStyle w:val="Style_2"/>
        <w:widowControl w:val="1"/>
        <w:spacing w:after="0"/>
        <w:ind w:firstLine="0" w:left="0" w:right="-1"/>
        <w:jc w:val="both"/>
        <w:rPr>
          <w:rFonts w:ascii="Times New Roman" w:hAnsi="Times New Roman"/>
          <w:sz w:val="24"/>
        </w:rPr>
      </w:pPr>
      <w:r>
        <w:rPr>
          <w:rFonts w:ascii="Times New Roman" w:hAnsi="Times New Roman"/>
          <w:sz w:val="24"/>
        </w:rPr>
        <w:t>Обоснованием цены Контракта является метод сопоставимых рыночных</w:t>
      </w:r>
      <w:r>
        <w:rPr>
          <w:rFonts w:ascii="Times New Roman" w:hAnsi="Times New Roman"/>
          <w:sz w:val="24"/>
        </w:rPr>
        <w:t xml:space="preserve"> цен.</w:t>
      </w:r>
    </w:p>
    <w:p w14:paraId="1B000000">
      <w:pPr>
        <w:pStyle w:val="Style_2"/>
        <w:widowControl w:val="1"/>
        <w:numPr>
          <w:ilvl w:val="1"/>
          <w:numId w:val="3"/>
        </w:numPr>
        <w:spacing w:after="0"/>
        <w:ind w:firstLine="0" w:left="0" w:right="-1"/>
        <w:jc w:val="both"/>
        <w:rPr>
          <w:rFonts w:ascii="Times New Roman" w:hAnsi="Times New Roman"/>
          <w:sz w:val="24"/>
        </w:rPr>
      </w:pPr>
      <w:r>
        <w:rPr>
          <w:rFonts w:ascii="Times New Roman" w:hAnsi="Times New Roman"/>
          <w:sz w:val="24"/>
        </w:rPr>
        <w:t>Поставка выполняется Поставщиком без авансирования со стороны Заказчика.</w:t>
      </w:r>
    </w:p>
    <w:p w14:paraId="1C000000">
      <w:pPr>
        <w:pStyle w:val="Style_2"/>
        <w:widowControl w:val="1"/>
        <w:numPr>
          <w:ilvl w:val="1"/>
          <w:numId w:val="3"/>
        </w:numPr>
        <w:spacing w:after="0"/>
        <w:ind w:firstLine="0" w:left="0" w:right="-1"/>
        <w:jc w:val="both"/>
        <w:rPr>
          <w:rFonts w:ascii="Times New Roman" w:hAnsi="Times New Roman"/>
          <w:sz w:val="24"/>
        </w:rPr>
      </w:pPr>
      <w:r>
        <w:rPr>
          <w:rFonts w:ascii="Times New Roman" w:hAnsi="Times New Roman"/>
          <w:sz w:val="24"/>
        </w:rPr>
        <w:t>Форма оплаты: безналичный расчет. Оплата поставленного Товара производится на основании счета,</w:t>
      </w:r>
      <w:r>
        <w:rPr>
          <w:rFonts w:ascii="Times New Roman" w:hAnsi="Times New Roman"/>
          <w:sz w:val="24"/>
        </w:rPr>
        <w:t xml:space="preserve"> товарной накладной </w:t>
      </w:r>
      <w:r>
        <w:rPr>
          <w:rFonts w:ascii="Times New Roman" w:hAnsi="Times New Roman"/>
          <w:sz w:val="24"/>
        </w:rPr>
        <w:t>и иных документов, подтверждающих расходы Поставщика, подписанных Сторонами, в течение 7 (Семи)</w:t>
      </w:r>
      <w:r>
        <w:rPr>
          <w:rFonts w:ascii="Times New Roman" w:hAnsi="Times New Roman"/>
          <w:sz w:val="24"/>
        </w:rPr>
        <w:t xml:space="preserve"> рабочих дней с момента подписания указанных выше документов.</w:t>
      </w:r>
    </w:p>
    <w:p w14:paraId="1D000000">
      <w:pPr>
        <w:pStyle w:val="Style_3"/>
        <w:widowControl w:val="0"/>
        <w:numPr>
          <w:ilvl w:val="1"/>
          <w:numId w:val="3"/>
        </w:numPr>
        <w:spacing w:after="0" w:line="240" w:lineRule="auto"/>
        <w:ind w:firstLine="0" w:left="0" w:right="-1"/>
        <w:jc w:val="both"/>
        <w:rPr>
          <w:rFonts w:ascii="Times New Roman" w:hAnsi="Times New Roman"/>
          <w:sz w:val="24"/>
        </w:rPr>
      </w:pPr>
      <w:r>
        <w:rPr>
          <w:rFonts w:ascii="Times New Roman" w:hAnsi="Times New Roman"/>
          <w:sz w:val="24"/>
        </w:rPr>
        <w:t xml:space="preserve">Оплата поставленного Товара производится за счет соответствующих   статей   </w:t>
      </w:r>
      <w:r>
        <w:rPr>
          <w:rFonts w:ascii="Times New Roman" w:hAnsi="Times New Roman"/>
          <w:sz w:val="24"/>
        </w:rPr>
        <w:t>расходов, предусмотренных</w:t>
      </w:r>
      <w:r>
        <w:rPr>
          <w:rFonts w:ascii="Times New Roman" w:hAnsi="Times New Roman"/>
          <w:sz w:val="24"/>
        </w:rPr>
        <w:t xml:space="preserve">   Законом   Санкт-Петербурга   “О</w:t>
      </w:r>
      <w:r>
        <w:rPr>
          <w:rFonts w:ascii="Times New Roman" w:hAnsi="Times New Roman"/>
          <w:sz w:val="24"/>
        </w:rPr>
        <w:t xml:space="preserve"> бюджете Санкт-Петербурга на 202</w:t>
      </w:r>
      <w:r>
        <w:rPr>
          <w:rFonts w:ascii="Times New Roman" w:hAnsi="Times New Roman"/>
          <w:sz w:val="24"/>
        </w:rPr>
        <w:t>6</w:t>
      </w:r>
      <w:r>
        <w:rPr>
          <w:rFonts w:ascii="Times New Roman" w:hAnsi="Times New Roman"/>
          <w:sz w:val="24"/>
        </w:rPr>
        <w:t xml:space="preserve"> год и на плановый период 202</w:t>
      </w:r>
      <w:r>
        <w:rPr>
          <w:rFonts w:ascii="Times New Roman" w:hAnsi="Times New Roman"/>
          <w:sz w:val="24"/>
        </w:rPr>
        <w:t>7</w:t>
      </w:r>
      <w:r>
        <w:rPr>
          <w:rFonts w:ascii="Times New Roman" w:hAnsi="Times New Roman"/>
          <w:sz w:val="24"/>
        </w:rPr>
        <w:t xml:space="preserve"> и 202</w:t>
      </w:r>
      <w:r>
        <w:rPr>
          <w:rFonts w:ascii="Times New Roman" w:hAnsi="Times New Roman"/>
          <w:sz w:val="24"/>
        </w:rPr>
        <w:t>8</w:t>
      </w:r>
      <w:r>
        <w:rPr>
          <w:rFonts w:ascii="Times New Roman" w:hAnsi="Times New Roman"/>
          <w:sz w:val="24"/>
        </w:rPr>
        <w:t xml:space="preserve"> годов”, в соответствии с “Инструкцией о порядке финансирования расходов бюджета Санкт-Петербурга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 № 45-р от 26.04.2001 года.</w:t>
      </w:r>
    </w:p>
    <w:p w14:paraId="1E000000">
      <w:pPr>
        <w:pStyle w:val="Style_2"/>
        <w:widowControl w:val="1"/>
        <w:numPr>
          <w:ilvl w:val="1"/>
          <w:numId w:val="3"/>
        </w:numPr>
        <w:spacing w:after="0"/>
        <w:ind w:firstLine="0" w:left="0" w:right="-1"/>
        <w:jc w:val="both"/>
        <w:rPr>
          <w:rFonts w:ascii="Times New Roman" w:hAnsi="Times New Roman"/>
          <w:sz w:val="24"/>
        </w:rPr>
      </w:pPr>
      <w:r>
        <w:rPr>
          <w:rFonts w:ascii="Times New Roman" w:hAnsi="Times New Roman"/>
          <w:color w:val="000000"/>
          <w:sz w:val="24"/>
        </w:rPr>
        <w:t>Заказчик в соответствии с положением ст.410 ГК РФ имеет возможность прекратить обязательство зачетом встречного однородного требования, срок которого наступил. При невыполнении или ненадлежащем выполнении обязательств по Контракту, Поставщик несет ответственность в случаях и объемах, предусмотренных п.6 Контракта. Для взыскания неустойки составляется акт о ненадлежащем исполнении обязательств Поставщиком по Контракту, который подписывается представителем Заказчика, и Поставщика и требование об уплате неустойки. В акте указывается сумма объема претензий (сумма неустойки). При отказе (уклонении) Поставщика от подписания указанного акта, в нем делается отметка об этом и подписывается акт (перечень дефектов, нарушение сроков и т.д.). При этом оплата Контрактов осуществляется путем выплат Поставщику Контракта суммы, уменьшенной на сумму неустойки (пеней, штрафов)</w:t>
      </w:r>
      <w:r>
        <w:rPr>
          <w:rFonts w:ascii="Times New Roman" w:hAnsi="Times New Roman"/>
          <w:sz w:val="24"/>
        </w:rPr>
        <w:t>.</w:t>
      </w:r>
    </w:p>
    <w:p w14:paraId="1F000000">
      <w:pPr>
        <w:pStyle w:val="Style_4"/>
        <w:numPr>
          <w:ilvl w:val="1"/>
          <w:numId w:val="3"/>
        </w:numPr>
        <w:ind w:firstLine="0" w:left="0" w:right="-1"/>
        <w:jc w:val="both"/>
        <w:rPr>
          <w:rFonts w:ascii="Times New Roman" w:hAnsi="Times New Roman"/>
          <w:sz w:val="24"/>
        </w:rPr>
      </w:pPr>
      <w:r>
        <w:rPr>
          <w:rFonts w:ascii="Times New Roman" w:hAnsi="Times New Roman"/>
          <w:sz w:val="24"/>
        </w:rPr>
        <w:t>В случае неисполнения или ненадлежащего исполнения по Контракту своих обязательств, на  основании ст.313 Гражданского Кодекса Российской Федерации, исполнение обязательств Исполнителя по Контракту по перечислению неустойки (штрафа, пени) в доход бюджета Санкт-Петербурга возлагается на Заказчика.</w:t>
      </w:r>
    </w:p>
    <w:p w14:paraId="20000000">
      <w:pPr>
        <w:rPr>
          <w:rFonts w:ascii="Times New Roman" w:hAnsi="Times New Roman"/>
          <w:sz w:val="24"/>
        </w:rPr>
      </w:pPr>
      <w:r>
        <w:rPr>
          <w:rFonts w:ascii="Times New Roman" w:hAnsi="Times New Roman"/>
          <w:sz w:val="24"/>
        </w:rPr>
        <w:t xml:space="preserve">3.7. При отсутствии расхождений и претензий по результатам оказанных услуг, Заказчик принимает услуги и в целях уведомления направляет Исполнителю документ о приемке (Акт приемки по форме по ОКУД 0510452). </w:t>
      </w:r>
      <w:r>
        <w:rPr>
          <w:rFonts w:ascii="Times New Roman" w:hAnsi="Times New Roman"/>
          <w:sz w:val="24"/>
        </w:rPr>
        <w:t xml:space="preserve"> Стороны вправе обмениваться первичными учетными документами, иными юридически значимыми документами в электронном виде с использованием квалифицированной электронной подписи (счет, счет-фактура, УПД, акты, документы о приемке и т.п.) посредством электронного документооборота (далее – ЭДО).</w:t>
      </w:r>
    </w:p>
    <w:p w14:paraId="21000000">
      <w:pPr>
        <w:pStyle w:val="Style_4"/>
        <w:ind w:firstLine="0" w:left="0" w:right="-1"/>
        <w:jc w:val="both"/>
        <w:rPr>
          <w:rFonts w:ascii="Times New Roman" w:hAnsi="Times New Roman"/>
          <w:sz w:val="24"/>
        </w:rPr>
      </w:pPr>
    </w:p>
    <w:p w14:paraId="22000000">
      <w:pPr>
        <w:pStyle w:val="Style_4"/>
        <w:ind w:right="-1"/>
        <w:jc w:val="both"/>
        <w:rPr>
          <w:rFonts w:ascii="Times New Roman" w:hAnsi="Times New Roman"/>
          <w:sz w:val="24"/>
        </w:rPr>
      </w:pPr>
    </w:p>
    <w:p w14:paraId="23000000">
      <w:pPr>
        <w:pStyle w:val="Style_4"/>
        <w:numPr>
          <w:ilvl w:val="0"/>
          <w:numId w:val="3"/>
        </w:numPr>
        <w:ind w:firstLine="0" w:left="0" w:right="-1"/>
        <w:jc w:val="center"/>
        <w:rPr>
          <w:rFonts w:ascii="Times New Roman" w:hAnsi="Times New Roman"/>
          <w:b w:val="1"/>
          <w:sz w:val="24"/>
        </w:rPr>
      </w:pPr>
      <w:r>
        <w:rPr>
          <w:rFonts w:ascii="Times New Roman" w:hAnsi="Times New Roman"/>
          <w:b w:val="1"/>
          <w:sz w:val="24"/>
        </w:rPr>
        <w:t>ПРАВА И ОБЯЗАННОСТИ СТОРОН</w:t>
      </w:r>
    </w:p>
    <w:p w14:paraId="24000000">
      <w:pPr>
        <w:pStyle w:val="Style_4"/>
        <w:ind w:right="-1"/>
        <w:rPr>
          <w:rFonts w:ascii="Times New Roman" w:hAnsi="Times New Roman"/>
          <w:b w:val="1"/>
          <w:sz w:val="24"/>
        </w:rPr>
      </w:pPr>
    </w:p>
    <w:p w14:paraId="25000000">
      <w:pPr>
        <w:pStyle w:val="Style_4"/>
        <w:ind w:right="-1"/>
        <w:jc w:val="both"/>
        <w:rPr>
          <w:rFonts w:ascii="Times New Roman" w:hAnsi="Times New Roman"/>
          <w:sz w:val="24"/>
        </w:rPr>
      </w:pPr>
      <w:r>
        <w:rPr>
          <w:rFonts w:ascii="Times New Roman" w:hAnsi="Times New Roman"/>
          <w:sz w:val="24"/>
        </w:rPr>
        <w:t>4.1. Заказчик вправе:</w:t>
      </w:r>
    </w:p>
    <w:p w14:paraId="26000000">
      <w:pPr>
        <w:pStyle w:val="Style_4"/>
        <w:ind w:right="-1"/>
        <w:jc w:val="both"/>
        <w:rPr>
          <w:rFonts w:ascii="Times New Roman" w:hAnsi="Times New Roman"/>
          <w:sz w:val="24"/>
        </w:rPr>
      </w:pPr>
      <w:r>
        <w:rPr>
          <w:rFonts w:ascii="Times New Roman" w:hAnsi="Times New Roman"/>
          <w:sz w:val="24"/>
        </w:rPr>
        <w:t>4.1.1 требовать надлежащего исполнения обязательств в соответствии с Контрактом;</w:t>
      </w:r>
    </w:p>
    <w:p w14:paraId="27000000">
      <w:pPr>
        <w:pStyle w:val="Style_4"/>
        <w:ind w:right="-1"/>
        <w:jc w:val="both"/>
        <w:rPr>
          <w:rFonts w:ascii="Times New Roman" w:hAnsi="Times New Roman"/>
          <w:sz w:val="24"/>
        </w:rPr>
      </w:pPr>
      <w:r>
        <w:rPr>
          <w:rFonts w:ascii="Times New Roman" w:hAnsi="Times New Roman"/>
          <w:sz w:val="24"/>
        </w:rPr>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8000000">
      <w:pPr>
        <w:pStyle w:val="Style_4"/>
        <w:ind w:right="-1"/>
        <w:jc w:val="both"/>
        <w:rPr>
          <w:rFonts w:ascii="Times New Roman" w:hAnsi="Times New Roman"/>
          <w:sz w:val="24"/>
        </w:rPr>
      </w:pPr>
      <w:r>
        <w:rPr>
          <w:rFonts w:ascii="Times New Roman" w:hAnsi="Times New Roman"/>
          <w:sz w:val="24"/>
        </w:rPr>
        <w:t>4.1.3. запрашивать информацию о ходе и состоянии исполнения обязательств по Контракту;</w:t>
      </w:r>
    </w:p>
    <w:p w14:paraId="29000000">
      <w:pPr>
        <w:pStyle w:val="Style_4"/>
        <w:ind w:right="-1"/>
        <w:jc w:val="both"/>
        <w:rPr>
          <w:rFonts w:ascii="Times New Roman" w:hAnsi="Times New Roman"/>
          <w:sz w:val="24"/>
        </w:rPr>
      </w:pPr>
      <w:r>
        <w:rPr>
          <w:rFonts w:ascii="Times New Roman" w:hAnsi="Times New Roman"/>
          <w:sz w:val="24"/>
        </w:rPr>
        <w:t>4.1.4. осуществлять контроль за порядком и сроками поставки товаров не вмешиваясь в оперативно-хозяйственную деятельность поставщика;</w:t>
      </w:r>
    </w:p>
    <w:p w14:paraId="2A000000">
      <w:pPr>
        <w:pStyle w:val="Style_4"/>
        <w:ind w:right="-1"/>
        <w:jc w:val="both"/>
        <w:rPr>
          <w:rFonts w:ascii="Times New Roman" w:hAnsi="Times New Roman"/>
          <w:sz w:val="24"/>
        </w:rPr>
      </w:pPr>
      <w:r>
        <w:rPr>
          <w:rFonts w:ascii="Times New Roman" w:hAnsi="Times New Roman"/>
          <w:sz w:val="24"/>
        </w:rPr>
        <w:t>4.1.5. отказаться от принятия и оплаты товаров не соответствующих требованиям Контракта;</w:t>
      </w:r>
    </w:p>
    <w:p w14:paraId="2B000000">
      <w:pPr>
        <w:pStyle w:val="Style_4"/>
        <w:ind w:right="-1"/>
        <w:jc w:val="both"/>
        <w:rPr>
          <w:rFonts w:ascii="Times New Roman" w:hAnsi="Times New Roman"/>
          <w:sz w:val="24"/>
        </w:rPr>
      </w:pPr>
      <w:r>
        <w:rPr>
          <w:rFonts w:ascii="Times New Roman" w:hAnsi="Times New Roman"/>
          <w:sz w:val="24"/>
        </w:rPr>
        <w:t>4.1.6. потребовать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неустойки.</w:t>
      </w:r>
    </w:p>
    <w:p w14:paraId="2C000000">
      <w:pPr>
        <w:pStyle w:val="Style_4"/>
        <w:ind w:right="-1"/>
        <w:jc w:val="both"/>
        <w:rPr>
          <w:rFonts w:ascii="Times New Roman" w:hAnsi="Times New Roman"/>
          <w:sz w:val="24"/>
        </w:rPr>
      </w:pPr>
      <w:r>
        <w:rPr>
          <w:rFonts w:ascii="Times New Roman" w:hAnsi="Times New Roman"/>
          <w:sz w:val="24"/>
        </w:rPr>
        <w:t>4.2. Заказчик обязан:</w:t>
      </w:r>
    </w:p>
    <w:p w14:paraId="2D000000">
      <w:pPr>
        <w:pStyle w:val="Style_4"/>
        <w:ind w:right="-1"/>
        <w:jc w:val="both"/>
        <w:rPr>
          <w:rFonts w:ascii="Times New Roman" w:hAnsi="Times New Roman"/>
          <w:sz w:val="24"/>
        </w:rPr>
      </w:pPr>
      <w:r>
        <w:rPr>
          <w:rFonts w:ascii="Times New Roman" w:hAnsi="Times New Roman"/>
          <w:sz w:val="24"/>
        </w:rPr>
        <w:t>4.2.1. принять поставленные товары в порядке и сроки, предусмотренные Контрактом;</w:t>
      </w:r>
    </w:p>
    <w:p w14:paraId="2E000000">
      <w:pPr>
        <w:pStyle w:val="Style_4"/>
        <w:ind w:right="-1"/>
        <w:jc w:val="both"/>
        <w:rPr>
          <w:rFonts w:ascii="Times New Roman" w:hAnsi="Times New Roman"/>
          <w:sz w:val="24"/>
        </w:rPr>
      </w:pPr>
      <w:r>
        <w:rPr>
          <w:rFonts w:ascii="Times New Roman" w:hAnsi="Times New Roman"/>
          <w:sz w:val="24"/>
        </w:rPr>
        <w:t>4.2.2. оплатить поставленные товары в случае надлежащего исполнения обязательств по Контракту, в порядке и на условиях, предусмотренным Контрактом.</w:t>
      </w:r>
    </w:p>
    <w:p w14:paraId="2F000000">
      <w:pPr>
        <w:pStyle w:val="Style_4"/>
        <w:ind w:right="-1"/>
        <w:jc w:val="both"/>
        <w:rPr>
          <w:rFonts w:ascii="Times New Roman" w:hAnsi="Times New Roman"/>
          <w:sz w:val="24"/>
        </w:rPr>
      </w:pPr>
      <w:r>
        <w:rPr>
          <w:rFonts w:ascii="Times New Roman" w:hAnsi="Times New Roman"/>
          <w:sz w:val="24"/>
        </w:rPr>
        <w:t>4.3. Поставщик вправе:</w:t>
      </w:r>
    </w:p>
    <w:p w14:paraId="30000000">
      <w:pPr>
        <w:pStyle w:val="Style_4"/>
        <w:ind w:right="-1"/>
        <w:jc w:val="both"/>
        <w:rPr>
          <w:rFonts w:ascii="Times New Roman" w:hAnsi="Times New Roman"/>
          <w:sz w:val="24"/>
        </w:rPr>
      </w:pPr>
      <w:r>
        <w:rPr>
          <w:rFonts w:ascii="Times New Roman" w:hAnsi="Times New Roman"/>
          <w:sz w:val="24"/>
        </w:rPr>
        <w:t>4.3.1. требовать  подписания  документов об исполнении им обязательств по Контракту от заказчика;</w:t>
      </w:r>
    </w:p>
    <w:p w14:paraId="31000000">
      <w:pPr>
        <w:pStyle w:val="Style_4"/>
        <w:ind w:right="-1"/>
        <w:jc w:val="both"/>
        <w:rPr>
          <w:rFonts w:ascii="Times New Roman" w:hAnsi="Times New Roman"/>
          <w:sz w:val="24"/>
        </w:rPr>
      </w:pPr>
      <w:r>
        <w:rPr>
          <w:rFonts w:ascii="Times New Roman" w:hAnsi="Times New Roman"/>
          <w:sz w:val="24"/>
        </w:rPr>
        <w:t>4.3.2. требовать оплаты  по Контракту в случае надлежащего исполнения своих обязательств по Контракту.</w:t>
      </w:r>
    </w:p>
    <w:p w14:paraId="32000000">
      <w:pPr>
        <w:pStyle w:val="Style_4"/>
        <w:ind w:right="-1"/>
        <w:jc w:val="both"/>
        <w:rPr>
          <w:rFonts w:ascii="Times New Roman" w:hAnsi="Times New Roman"/>
          <w:sz w:val="24"/>
        </w:rPr>
      </w:pPr>
      <w:r>
        <w:rPr>
          <w:rFonts w:ascii="Times New Roman" w:hAnsi="Times New Roman"/>
          <w:sz w:val="24"/>
        </w:rPr>
        <w:t>4.4. Поставщик  обязан:</w:t>
      </w:r>
    </w:p>
    <w:p w14:paraId="33000000">
      <w:pPr>
        <w:pStyle w:val="Style_4"/>
        <w:ind w:right="-1"/>
        <w:jc w:val="both"/>
        <w:rPr>
          <w:rFonts w:ascii="Times New Roman" w:hAnsi="Times New Roman"/>
          <w:sz w:val="24"/>
        </w:rPr>
      </w:pPr>
      <w:r>
        <w:rPr>
          <w:rFonts w:ascii="Times New Roman" w:hAnsi="Times New Roman"/>
          <w:sz w:val="24"/>
        </w:rPr>
        <w:t xml:space="preserve">4.4.1. поставить товары, обеспечив надлежащее качество, в сроки, установленные Контрактом; </w:t>
      </w:r>
    </w:p>
    <w:p w14:paraId="34000000">
      <w:pPr>
        <w:pStyle w:val="Style_4"/>
        <w:ind w:right="-1"/>
        <w:jc w:val="both"/>
        <w:rPr>
          <w:rFonts w:ascii="Times New Roman" w:hAnsi="Times New Roman"/>
          <w:sz w:val="24"/>
        </w:rPr>
      </w:pPr>
      <w:r>
        <w:rPr>
          <w:rFonts w:ascii="Times New Roman" w:hAnsi="Times New Roman"/>
          <w:sz w:val="24"/>
        </w:rPr>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35000000">
      <w:pPr>
        <w:pStyle w:val="Style_4"/>
        <w:ind w:right="-1"/>
        <w:jc w:val="both"/>
        <w:rPr>
          <w:rFonts w:ascii="Times New Roman" w:hAnsi="Times New Roman"/>
          <w:sz w:val="24"/>
        </w:rPr>
      </w:pPr>
      <w:r>
        <w:rPr>
          <w:rFonts w:ascii="Times New Roman" w:hAnsi="Times New Roman"/>
          <w:sz w:val="24"/>
        </w:rPr>
        <w:t>4.4.3. передать надлежащим образом  оформленные отчетные и финансовые документы в порядке и срок, установленные Контрактом;</w:t>
      </w:r>
    </w:p>
    <w:p w14:paraId="36000000">
      <w:pPr>
        <w:pStyle w:val="Style_4"/>
        <w:ind w:right="-1"/>
        <w:jc w:val="both"/>
        <w:rPr>
          <w:rFonts w:ascii="Times New Roman" w:hAnsi="Times New Roman"/>
          <w:sz w:val="24"/>
        </w:rPr>
      </w:pPr>
      <w:r>
        <w:rPr>
          <w:rFonts w:ascii="Times New Roman" w:hAnsi="Times New Roman"/>
          <w:sz w:val="24"/>
        </w:rPr>
        <w:t>4.4.4. представить по запросу заказчика  в сроки, указанные в таком запросе, информацию о ходе исполнения обязательств по Контракту;</w:t>
      </w:r>
    </w:p>
    <w:p w14:paraId="37000000">
      <w:pPr>
        <w:pStyle w:val="Style_4"/>
        <w:ind w:right="-1"/>
        <w:jc w:val="both"/>
        <w:rPr>
          <w:rFonts w:ascii="Times New Roman" w:hAnsi="Times New Roman"/>
          <w:sz w:val="24"/>
        </w:rPr>
      </w:pPr>
      <w:r>
        <w:rPr>
          <w:rFonts w:ascii="Times New Roman" w:hAnsi="Times New Roman"/>
          <w:sz w:val="24"/>
        </w:rPr>
        <w:t xml:space="preserve">4.4.5.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14:paraId="38000000">
      <w:pPr>
        <w:pStyle w:val="Style_4"/>
        <w:ind w:right="-1"/>
        <w:jc w:val="both"/>
        <w:rPr>
          <w:rFonts w:ascii="Times New Roman" w:hAnsi="Times New Roman"/>
          <w:sz w:val="24"/>
        </w:rPr>
      </w:pPr>
      <w:r>
        <w:rPr>
          <w:rFonts w:ascii="Times New Roman" w:hAnsi="Times New Roman"/>
          <w:sz w:val="24"/>
        </w:rPr>
        <w:t>4.4.6. не раскрывать третьим лицам без письменного согласия заказчика количество, объем, характер поставки товаров, оказания услуг, выполнения работ и условия их оплаты;</w:t>
      </w:r>
    </w:p>
    <w:p w14:paraId="39000000">
      <w:pPr>
        <w:pStyle w:val="Style_4"/>
        <w:ind w:right="-1"/>
        <w:jc w:val="both"/>
        <w:rPr>
          <w:rFonts w:ascii="Times New Roman" w:hAnsi="Times New Roman"/>
          <w:sz w:val="24"/>
        </w:rPr>
      </w:pPr>
      <w:r>
        <w:rPr>
          <w:rFonts w:ascii="Times New Roman" w:hAnsi="Times New Roman"/>
          <w:sz w:val="24"/>
        </w:rPr>
        <w:t>4.4.7. соблюдать конфиденциальность в отношении всей информации, ставшей известной поставщику в связи с исполнением обязательств по Контракту;</w:t>
      </w:r>
    </w:p>
    <w:p w14:paraId="3A000000">
      <w:pPr>
        <w:pStyle w:val="Style_4"/>
        <w:ind w:right="-1"/>
        <w:jc w:val="both"/>
        <w:rPr>
          <w:rFonts w:ascii="Times New Roman" w:hAnsi="Times New Roman"/>
          <w:sz w:val="24"/>
        </w:rPr>
      </w:pPr>
      <w:r>
        <w:rPr>
          <w:rFonts w:ascii="Times New Roman" w:hAnsi="Times New Roman"/>
          <w:sz w:val="24"/>
        </w:rPr>
        <w:t>4.4.8. незамедлительно уведомлять заказчика обо всех созданных в процессе  исполнения Контракта объектах интеллектуальной собственности.</w:t>
      </w:r>
    </w:p>
    <w:p w14:paraId="3B000000">
      <w:pPr>
        <w:spacing w:after="0" w:line="240" w:lineRule="auto"/>
        <w:ind w:right="-1"/>
        <w:jc w:val="both"/>
        <w:rPr>
          <w:rFonts w:ascii="Times New Roman" w:hAnsi="Times New Roman"/>
          <w:sz w:val="24"/>
        </w:rPr>
      </w:pPr>
    </w:p>
    <w:p w14:paraId="3C000000">
      <w:pPr>
        <w:pStyle w:val="Style_3"/>
        <w:numPr>
          <w:ilvl w:val="0"/>
          <w:numId w:val="3"/>
        </w:numPr>
        <w:spacing w:after="0" w:line="240" w:lineRule="auto"/>
        <w:ind w:firstLine="0" w:left="0" w:right="-1"/>
        <w:jc w:val="center"/>
        <w:rPr>
          <w:rFonts w:ascii="Times New Roman" w:hAnsi="Times New Roman"/>
          <w:b w:val="1"/>
          <w:sz w:val="24"/>
        </w:rPr>
      </w:pPr>
      <w:r>
        <w:rPr>
          <w:rFonts w:ascii="Times New Roman" w:hAnsi="Times New Roman"/>
          <w:b w:val="1"/>
          <w:sz w:val="24"/>
        </w:rPr>
        <w:t>КАЧЕСТВО ТОВАРОВ, ПРИЕМКА ТОВАРОВ ПО КАЧЕСТВУ, КОЛИЧЕСТВУ И АССОРТИМЕНТУ</w:t>
      </w:r>
    </w:p>
    <w:p w14:paraId="3D000000">
      <w:pPr>
        <w:pStyle w:val="Style_3"/>
        <w:spacing w:after="0" w:line="240" w:lineRule="auto"/>
        <w:ind w:firstLine="0" w:left="0" w:right="-1"/>
        <w:rPr>
          <w:rFonts w:ascii="Times New Roman" w:hAnsi="Times New Roman"/>
          <w:b w:val="1"/>
          <w:sz w:val="24"/>
        </w:rPr>
      </w:pPr>
    </w:p>
    <w:p w14:paraId="3E000000">
      <w:pPr>
        <w:spacing w:after="0" w:line="240" w:lineRule="auto"/>
        <w:ind w:right="-1"/>
        <w:jc w:val="both"/>
        <w:rPr>
          <w:rFonts w:ascii="Times New Roman" w:hAnsi="Times New Roman"/>
          <w:sz w:val="24"/>
        </w:rPr>
      </w:pPr>
      <w:r>
        <w:rPr>
          <w:rFonts w:ascii="Times New Roman" w:hAnsi="Times New Roman"/>
          <w:sz w:val="24"/>
        </w:rPr>
        <w:t xml:space="preserve">5.1. </w:t>
      </w:r>
      <w:r>
        <w:rPr>
          <w:rFonts w:ascii="Times New Roman" w:hAnsi="Times New Roman"/>
          <w:sz w:val="24"/>
        </w:rPr>
        <w:t xml:space="preserve">Приемка товара Заказчиком производится в срок не позднее 5 рабочих дней, следующих за днем поставки Товара с предоставлением документов о приемке. </w:t>
      </w:r>
      <w:r>
        <w:rPr>
          <w:rFonts w:ascii="Times New Roman" w:hAnsi="Times New Roman"/>
          <w:sz w:val="24"/>
        </w:rPr>
        <w:t>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упаковке. По окончании сдачи-приемки товара Заказчик подписывает накладные.</w:t>
      </w:r>
    </w:p>
    <w:p w14:paraId="3F000000">
      <w:pPr>
        <w:tabs>
          <w:tab w:leader="none" w:pos="1080" w:val="left"/>
        </w:tabs>
        <w:spacing w:after="0" w:line="240" w:lineRule="auto"/>
        <w:ind w:right="-1"/>
        <w:jc w:val="both"/>
        <w:rPr>
          <w:rFonts w:ascii="Times New Roman" w:hAnsi="Times New Roman"/>
          <w:sz w:val="24"/>
        </w:rPr>
      </w:pPr>
      <w:r>
        <w:rPr>
          <w:rFonts w:ascii="Times New Roman" w:hAnsi="Times New Roman"/>
          <w:sz w:val="24"/>
        </w:rPr>
        <w:t>Внесение каких-либо изменений в текст накладных после их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40000000">
      <w:pPr>
        <w:spacing w:after="0" w:line="240" w:lineRule="auto"/>
        <w:ind w:right="-1"/>
        <w:jc w:val="both"/>
        <w:rPr>
          <w:rFonts w:ascii="Times New Roman" w:hAnsi="Times New Roman"/>
          <w:color w:val="000000"/>
          <w:sz w:val="24"/>
        </w:rPr>
      </w:pPr>
      <w:r>
        <w:rPr>
          <w:rFonts w:ascii="Times New Roman" w:hAnsi="Times New Roman"/>
          <w:sz w:val="24"/>
        </w:rPr>
        <w:t>5.2. Товар может происходить из любых стран, на поставку товаров из которых не наложены официальные экономические санкции Российской Федерации и ООН;</w:t>
      </w:r>
    </w:p>
    <w:p w14:paraId="41000000">
      <w:pPr>
        <w:spacing w:after="0" w:line="240" w:lineRule="auto"/>
        <w:ind w:right="-1"/>
        <w:jc w:val="both"/>
        <w:rPr>
          <w:rFonts w:ascii="Times New Roman" w:hAnsi="Times New Roman"/>
          <w:sz w:val="24"/>
        </w:rPr>
      </w:pPr>
      <w:r>
        <w:rPr>
          <w:rFonts w:ascii="Times New Roman" w:hAnsi="Times New Roman"/>
          <w:sz w:val="24"/>
        </w:rPr>
        <w:t>5.3.</w:t>
      </w:r>
      <w:r>
        <w:rPr>
          <w:rFonts w:ascii="Times New Roman" w:hAnsi="Times New Roman"/>
          <w:sz w:val="24"/>
        </w:rPr>
        <w:t xml:space="preserve"> </w:t>
      </w:r>
      <w:r>
        <w:rPr>
          <w:rFonts w:ascii="Times New Roman" w:hAnsi="Times New Roman"/>
          <w:sz w:val="24"/>
        </w:rPr>
        <w:t>Все отпускаемые товары должны соответствовать ГОСТам, ТУ, действующим на момент поставки, иметь сертификаты качества и паспорта (сертификаты) соответствия гигиеническим и стандартным нормам; должны быть разрешены к применению Министерством здравоохранения РФ на территории Российской Федерации. Поставляемый товар должен соответствовать техническим условиям при его использовании и хранении.</w:t>
      </w:r>
    </w:p>
    <w:p w14:paraId="42000000">
      <w:pPr>
        <w:spacing w:after="0" w:line="240" w:lineRule="auto"/>
        <w:ind w:right="-1"/>
        <w:jc w:val="both"/>
        <w:rPr>
          <w:rFonts w:ascii="Times New Roman" w:hAnsi="Times New Roman"/>
          <w:sz w:val="24"/>
        </w:rPr>
      </w:pPr>
      <w:r>
        <w:rPr>
          <w:rFonts w:ascii="Times New Roman" w:hAnsi="Times New Roman"/>
          <w:sz w:val="24"/>
        </w:rPr>
        <w:t>5.4.</w:t>
      </w:r>
      <w:r>
        <w:rPr>
          <w:rFonts w:ascii="Times New Roman" w:hAnsi="Times New Roman"/>
          <w:sz w:val="24"/>
        </w:rPr>
        <w:t xml:space="preserve"> </w:t>
      </w:r>
      <w:r>
        <w:rPr>
          <w:rFonts w:ascii="Times New Roman" w:hAnsi="Times New Roman"/>
          <w:sz w:val="24"/>
        </w:rPr>
        <w:t>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43000000">
      <w:pPr>
        <w:spacing w:after="0" w:line="240" w:lineRule="auto"/>
        <w:ind w:right="-1"/>
        <w:jc w:val="both"/>
        <w:rPr>
          <w:rFonts w:ascii="Times New Roman" w:hAnsi="Times New Roman"/>
          <w:sz w:val="24"/>
        </w:rPr>
      </w:pPr>
      <w:r>
        <w:rPr>
          <w:rFonts w:ascii="Times New Roman" w:hAnsi="Times New Roman"/>
          <w:sz w:val="24"/>
        </w:rPr>
        <w:t>5.5.</w:t>
      </w:r>
      <w:r>
        <w:rPr>
          <w:rFonts w:ascii="Times New Roman" w:hAnsi="Times New Roman"/>
          <w:sz w:val="24"/>
        </w:rPr>
        <w:t xml:space="preserve"> </w:t>
      </w:r>
      <w:r>
        <w:rPr>
          <w:rFonts w:ascii="Times New Roman" w:hAnsi="Times New Roman"/>
          <w:sz w:val="24"/>
        </w:rPr>
        <w:t xml:space="preserve">Гарантийный срок на поставляемый товар должен составлять: </w:t>
      </w:r>
      <w:r>
        <w:rPr>
          <w:rFonts w:ascii="Times New Roman" w:hAnsi="Times New Roman"/>
          <w:sz w:val="24"/>
        </w:rPr>
        <w:t>12</w:t>
      </w:r>
      <w:r>
        <w:rPr>
          <w:rFonts w:ascii="Times New Roman" w:hAnsi="Times New Roman"/>
          <w:sz w:val="24"/>
        </w:rPr>
        <w:t xml:space="preserve"> месяцев</w:t>
      </w:r>
      <w:r>
        <w:rPr>
          <w:rFonts w:ascii="Times New Roman" w:hAnsi="Times New Roman"/>
          <w:sz w:val="24"/>
        </w:rPr>
        <w:t xml:space="preserve"> с момента поставки товара. Срок гарантии качества на поставляемый товар должен составлять не менее гарантированного срока производителя</w:t>
      </w:r>
    </w:p>
    <w:p w14:paraId="44000000">
      <w:pPr>
        <w:spacing w:after="0" w:line="240" w:lineRule="auto"/>
        <w:ind w:right="-1"/>
        <w:jc w:val="both"/>
        <w:rPr>
          <w:rFonts w:ascii="Times New Roman" w:hAnsi="Times New Roman"/>
          <w:sz w:val="24"/>
        </w:rPr>
      </w:pPr>
      <w:r>
        <w:rPr>
          <w:rFonts w:ascii="Times New Roman" w:hAnsi="Times New Roman"/>
          <w:sz w:val="24"/>
        </w:rPr>
        <w:t>5.6. В течение гарантийного срока поставщик обязан самостоятельно за свой счет произвести устранение выявленных недостатков товара в срок, установленный в письменном требовании Заказчика. В случае невозможности устранения недостатков товара Поставщик производит его замену на товар с такими же техническими характеристиками в срок, установленный в письменном требовании Заказчика.</w:t>
      </w:r>
    </w:p>
    <w:p w14:paraId="45000000">
      <w:pPr>
        <w:spacing w:after="0" w:line="240" w:lineRule="auto"/>
        <w:ind w:right="-1"/>
        <w:jc w:val="both"/>
        <w:rPr>
          <w:rFonts w:ascii="Times New Roman" w:hAnsi="Times New Roman"/>
          <w:sz w:val="24"/>
        </w:rPr>
      </w:pPr>
      <w:r>
        <w:rPr>
          <w:rFonts w:ascii="Times New Roman" w:hAnsi="Times New Roman"/>
          <w:sz w:val="24"/>
        </w:rPr>
        <w:t xml:space="preserve">5.7 Поставщик обязан поставить Товар в фабричной упаковке, которая бы обеспечивала его сохранность, товарный вид, предохраняла от всякого рода повреждений при перевозке различными видами транспорта. </w:t>
      </w:r>
    </w:p>
    <w:p w14:paraId="46000000">
      <w:pPr>
        <w:spacing w:after="0" w:line="240" w:lineRule="auto"/>
        <w:ind w:right="-1"/>
        <w:rPr>
          <w:rFonts w:ascii="Times New Roman" w:hAnsi="Times New Roman"/>
          <w:color w:val="000000"/>
          <w:sz w:val="24"/>
        </w:rPr>
      </w:pPr>
      <w:r>
        <w:rPr>
          <w:rFonts w:ascii="Times New Roman" w:hAnsi="Times New Roman"/>
          <w:color w:val="000000"/>
          <w:sz w:val="24"/>
        </w:rPr>
        <w:t>5.8. Заказчик вправе, уведомив Поставщика, отказаться от принятия Товара ненадлежащего качества.</w:t>
      </w:r>
    </w:p>
    <w:p w14:paraId="47000000">
      <w:pPr>
        <w:spacing w:after="0" w:line="240" w:lineRule="auto"/>
        <w:ind w:right="-1"/>
        <w:rPr>
          <w:rFonts w:ascii="Times New Roman" w:hAnsi="Times New Roman"/>
          <w:color w:val="000000"/>
          <w:sz w:val="24"/>
        </w:rPr>
      </w:pPr>
      <w:r>
        <w:rPr>
          <w:rFonts w:ascii="Times New Roman" w:hAnsi="Times New Roman"/>
          <w:color w:val="000000"/>
          <w:sz w:val="24"/>
        </w:rPr>
        <w:t>5.9. Допоставка или замена Товара ввиду их ненадлежащего качества должна быть осуществлена Поставщиком в течение 5 календарных дней с момента уведомления его об этом со стороны Заказчика.</w:t>
      </w:r>
    </w:p>
    <w:p w14:paraId="48000000">
      <w:pPr>
        <w:spacing w:after="0" w:line="240" w:lineRule="auto"/>
        <w:ind w:right="-1"/>
        <w:rPr>
          <w:rFonts w:ascii="Times New Roman" w:hAnsi="Times New Roman"/>
          <w:color w:val="000000"/>
          <w:sz w:val="24"/>
        </w:rPr>
      </w:pPr>
    </w:p>
    <w:p w14:paraId="49000000">
      <w:pPr>
        <w:pStyle w:val="Style_2"/>
        <w:spacing w:after="0"/>
        <w:ind w:firstLine="0" w:left="0" w:right="-1"/>
        <w:jc w:val="center"/>
        <w:rPr>
          <w:rFonts w:ascii="Times New Roman" w:hAnsi="Times New Roman"/>
          <w:b w:val="1"/>
          <w:caps w:val="1"/>
          <w:sz w:val="24"/>
        </w:rPr>
      </w:pPr>
      <w:r>
        <w:rPr>
          <w:rFonts w:ascii="Times New Roman" w:hAnsi="Times New Roman"/>
          <w:b w:val="1"/>
          <w:caps w:val="1"/>
          <w:sz w:val="24"/>
        </w:rPr>
        <w:t>6.  Ответственность сторон</w:t>
      </w:r>
    </w:p>
    <w:p w14:paraId="4A000000">
      <w:pPr>
        <w:pStyle w:val="Style_2"/>
        <w:spacing w:after="0"/>
        <w:ind w:firstLine="0" w:left="0" w:right="-1"/>
        <w:jc w:val="center"/>
        <w:rPr>
          <w:rFonts w:ascii="Times New Roman" w:hAnsi="Times New Roman"/>
          <w:b w:val="1"/>
          <w:caps w:val="1"/>
          <w:sz w:val="24"/>
        </w:rPr>
      </w:pPr>
    </w:p>
    <w:p w14:paraId="4B000000">
      <w:pPr>
        <w:spacing w:after="0" w:line="240" w:lineRule="auto"/>
        <w:ind/>
        <w:jc w:val="both"/>
        <w:rPr>
          <w:rFonts w:ascii="Times New Roman" w:hAnsi="Times New Roman"/>
          <w:sz w:val="24"/>
        </w:rPr>
      </w:pPr>
      <w:r>
        <w:rPr>
          <w:rFonts w:ascii="Times New Roman" w:hAnsi="Times New Roman"/>
          <w:sz w:val="24"/>
        </w:rPr>
        <w:t xml:space="preserve">6.1. За каждый факт неисполнения или ненадлежащего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 6.2. Контракта):  </w:t>
      </w:r>
    </w:p>
    <w:p w14:paraId="4C000000">
      <w:pPr>
        <w:spacing w:after="0" w:line="240" w:lineRule="auto"/>
        <w:ind/>
        <w:jc w:val="both"/>
        <w:rPr>
          <w:rFonts w:ascii="Times New Roman" w:hAnsi="Times New Roman"/>
          <w:sz w:val="24"/>
        </w:rPr>
      </w:pPr>
      <w:bookmarkStart w:id="1" w:name="sub_100301"/>
      <w:bookmarkEnd w:id="1"/>
      <w:r>
        <w:rPr>
          <w:rFonts w:ascii="Times New Roman" w:hAnsi="Times New Roman"/>
          <w:sz w:val="24"/>
        </w:rPr>
        <w:t>а) 10 процентов цены контракта (этапа) в случае, если цена Контракта (этапа) не превышает 3 млн. рублей;</w:t>
      </w:r>
    </w:p>
    <w:p w14:paraId="4D000000">
      <w:pPr>
        <w:spacing w:after="0" w:line="240" w:lineRule="auto"/>
        <w:ind/>
        <w:jc w:val="both"/>
        <w:rPr>
          <w:rFonts w:ascii="Times New Roman" w:hAnsi="Times New Roman"/>
          <w:sz w:val="24"/>
        </w:rPr>
      </w:pPr>
      <w:bookmarkStart w:id="2" w:name="sub_100302"/>
      <w:bookmarkEnd w:id="2"/>
      <w:bookmarkStart w:id="3" w:name="sub_1003011"/>
      <w:bookmarkEnd w:id="3"/>
      <w:r>
        <w:rPr>
          <w:rFonts w:ascii="Times New Roman" w:hAnsi="Times New Roman"/>
          <w:sz w:val="24"/>
        </w:rPr>
        <w:t>б) 5 процентов цены контракта (этапа) в случае, если цена Контракта (этапа) составляет от 3 млн. рублей до 50 млн. рублей (включительно);</w:t>
      </w:r>
    </w:p>
    <w:p w14:paraId="4E000000">
      <w:pPr>
        <w:spacing w:after="0" w:line="240" w:lineRule="auto"/>
        <w:ind/>
        <w:jc w:val="both"/>
        <w:rPr>
          <w:rFonts w:ascii="Times New Roman" w:hAnsi="Times New Roman"/>
          <w:sz w:val="24"/>
        </w:rPr>
      </w:pPr>
      <w:bookmarkStart w:id="4" w:name="sub_100303"/>
      <w:bookmarkEnd w:id="4"/>
      <w:bookmarkStart w:id="5" w:name="sub_1003021"/>
      <w:bookmarkEnd w:id="5"/>
      <w:r>
        <w:rPr>
          <w:rFonts w:ascii="Times New Roman" w:hAnsi="Times New Roman"/>
          <w:sz w:val="24"/>
        </w:rPr>
        <w:t>в) 1 процент цены контракта (этапа) в случае, если цена Контракта (этапа) составляет от 50 млн. рублей до 100 млн. рублей (включительно);</w:t>
      </w:r>
    </w:p>
    <w:p w14:paraId="4F000000">
      <w:pPr>
        <w:spacing w:after="0" w:line="240" w:lineRule="auto"/>
        <w:ind/>
        <w:jc w:val="both"/>
        <w:rPr>
          <w:rFonts w:ascii="Times New Roman" w:hAnsi="Times New Roman"/>
          <w:sz w:val="24"/>
        </w:rPr>
      </w:pPr>
      <w:bookmarkStart w:id="6" w:name="sub_100304"/>
      <w:bookmarkEnd w:id="6"/>
      <w:bookmarkStart w:id="7" w:name="sub_1003031"/>
      <w:bookmarkEnd w:id="7"/>
      <w:r>
        <w:rPr>
          <w:rFonts w:ascii="Times New Roman" w:hAnsi="Times New Roman"/>
          <w:sz w:val="24"/>
        </w:rPr>
        <w:t>г) 0,5 процента цены контракта (этапа) в случае, если цена Контракта (этапа) составляет от 100 млн. рублей до 500 млн. рублей (включительно);</w:t>
      </w:r>
    </w:p>
    <w:p w14:paraId="50000000">
      <w:pPr>
        <w:spacing w:after="0" w:line="240" w:lineRule="auto"/>
        <w:ind/>
        <w:jc w:val="both"/>
        <w:rPr>
          <w:rFonts w:ascii="Times New Roman" w:hAnsi="Times New Roman"/>
          <w:sz w:val="24"/>
        </w:rPr>
      </w:pPr>
      <w:bookmarkStart w:id="8" w:name="sub_100305"/>
      <w:bookmarkEnd w:id="8"/>
      <w:bookmarkStart w:id="9" w:name="sub_1003041"/>
      <w:bookmarkEnd w:id="9"/>
      <w:r>
        <w:rPr>
          <w:rFonts w:ascii="Times New Roman" w:hAnsi="Times New Roman"/>
          <w:sz w:val="24"/>
        </w:rPr>
        <w:t>д) 0,4 процента цены контракта (этапа) в случае, если цена Контракта (этапа) составляет от 500 млн. рублей до 1 млрд. рублей (включительно);</w:t>
      </w:r>
    </w:p>
    <w:p w14:paraId="51000000">
      <w:pPr>
        <w:spacing w:after="0" w:line="240" w:lineRule="auto"/>
        <w:ind/>
        <w:jc w:val="both"/>
        <w:rPr>
          <w:rFonts w:ascii="Times New Roman" w:hAnsi="Times New Roman"/>
          <w:sz w:val="24"/>
        </w:rPr>
      </w:pPr>
      <w:bookmarkStart w:id="10" w:name="sub_100306"/>
      <w:bookmarkEnd w:id="10"/>
      <w:bookmarkStart w:id="11" w:name="sub_1003051"/>
      <w:bookmarkEnd w:id="11"/>
      <w:r>
        <w:rPr>
          <w:rFonts w:ascii="Times New Roman" w:hAnsi="Times New Roman"/>
          <w:sz w:val="24"/>
        </w:rPr>
        <w:t>е) 0,3 процента цены контракта (этапа) в случае, если цена Контракта (этапа) составляет от 1 млрд. рублей до 2 млрд. рублей (включительно);</w:t>
      </w:r>
    </w:p>
    <w:p w14:paraId="52000000">
      <w:pPr>
        <w:spacing w:after="0" w:line="240" w:lineRule="auto"/>
        <w:ind/>
        <w:jc w:val="both"/>
        <w:rPr>
          <w:rFonts w:ascii="Times New Roman" w:hAnsi="Times New Roman"/>
          <w:sz w:val="24"/>
        </w:rPr>
      </w:pPr>
      <w:bookmarkStart w:id="12" w:name="sub_100307"/>
      <w:bookmarkEnd w:id="12"/>
      <w:bookmarkStart w:id="13" w:name="sub_1003061"/>
      <w:bookmarkEnd w:id="13"/>
      <w:r>
        <w:rPr>
          <w:rFonts w:ascii="Times New Roman" w:hAnsi="Times New Roman"/>
          <w:sz w:val="24"/>
        </w:rPr>
        <w:t>ж) 0,25 процента цены контракта (этапа) в случае, если цена Контракта (этапа) составляет от 2 млрд. рублей до 5 млрд. рублей (включительно);</w:t>
      </w:r>
    </w:p>
    <w:p w14:paraId="53000000">
      <w:pPr>
        <w:spacing w:after="0" w:line="240" w:lineRule="auto"/>
        <w:ind/>
        <w:jc w:val="both"/>
        <w:rPr>
          <w:rFonts w:ascii="Times New Roman" w:hAnsi="Times New Roman"/>
          <w:sz w:val="24"/>
        </w:rPr>
      </w:pPr>
      <w:bookmarkStart w:id="14" w:name="sub_100308"/>
      <w:bookmarkEnd w:id="14"/>
      <w:bookmarkStart w:id="15" w:name="sub_1003071"/>
      <w:bookmarkEnd w:id="15"/>
      <w:r>
        <w:rPr>
          <w:rFonts w:ascii="Times New Roman" w:hAnsi="Times New Roman"/>
          <w:sz w:val="24"/>
        </w:rPr>
        <w:t>з) 0,2 процента цены контракта (этапа) в случае, если цена Контракта (этапа) составляет от 5 млрд. рублей до 10 млрд. рублей (включительно);</w:t>
      </w:r>
    </w:p>
    <w:p w14:paraId="54000000">
      <w:pPr>
        <w:spacing w:after="0" w:line="240" w:lineRule="auto"/>
        <w:ind/>
        <w:jc w:val="both"/>
        <w:rPr>
          <w:rFonts w:ascii="Times New Roman" w:hAnsi="Times New Roman"/>
          <w:sz w:val="24"/>
        </w:rPr>
      </w:pPr>
      <w:bookmarkStart w:id="16" w:name="sub_1003081"/>
      <w:bookmarkEnd w:id="16"/>
      <w:r>
        <w:rPr>
          <w:rFonts w:ascii="Times New Roman" w:hAnsi="Times New Roman"/>
          <w:sz w:val="24"/>
        </w:rPr>
        <w:t>и) 0,1 процента цены контракта (этапа) в случае, если цена Контракта (этапа) превышает 10 млрд. рублей.</w:t>
      </w:r>
    </w:p>
    <w:p w14:paraId="55000000">
      <w:pPr>
        <w:spacing w:after="0" w:line="240" w:lineRule="auto"/>
        <w:ind/>
        <w:jc w:val="both"/>
        <w:rPr>
          <w:rFonts w:ascii="Times New Roman" w:hAnsi="Times New Roman"/>
          <w:sz w:val="24"/>
        </w:rPr>
      </w:pPr>
      <w:r>
        <w:rPr>
          <w:rFonts w:ascii="Times New Roman" w:hAnsi="Times New Roman"/>
          <w:sz w:val="24"/>
        </w:rPr>
        <w:t>6.2. За каждый факт неисполнения или ненадлежащего исполнения Поставщиком (Подрядчик</w:t>
      </w:r>
      <w:r>
        <w:rPr>
          <w:rFonts w:ascii="Times New Roman" w:hAnsi="Times New Roman"/>
          <w:sz w:val="24"/>
        </w:rPr>
        <w:t>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14:paraId="56000000">
      <w:pPr>
        <w:spacing w:after="0" w:line="240" w:lineRule="auto"/>
        <w:ind/>
        <w:jc w:val="both"/>
        <w:rPr>
          <w:rFonts w:ascii="Times New Roman" w:hAnsi="Times New Roman"/>
          <w:sz w:val="24"/>
        </w:rPr>
      </w:pPr>
      <w:bookmarkStart w:id="17" w:name="sub_100601"/>
      <w:bookmarkEnd w:id="17"/>
      <w:r>
        <w:rPr>
          <w:rFonts w:ascii="Times New Roman" w:hAnsi="Times New Roman"/>
          <w:sz w:val="24"/>
        </w:rPr>
        <w:t>а) 1000 рублей, если цена Контракта не превышает 3 млн. рублей;</w:t>
      </w:r>
    </w:p>
    <w:p w14:paraId="57000000">
      <w:pPr>
        <w:spacing w:after="0" w:line="240" w:lineRule="auto"/>
        <w:ind/>
        <w:jc w:val="both"/>
        <w:rPr>
          <w:rFonts w:ascii="Times New Roman" w:hAnsi="Times New Roman"/>
          <w:sz w:val="24"/>
        </w:rPr>
      </w:pPr>
      <w:bookmarkStart w:id="18" w:name="sub_100602"/>
      <w:bookmarkEnd w:id="18"/>
      <w:bookmarkStart w:id="19" w:name="sub_1006011"/>
      <w:bookmarkEnd w:id="19"/>
      <w:r>
        <w:rPr>
          <w:rFonts w:ascii="Times New Roman" w:hAnsi="Times New Roman"/>
          <w:sz w:val="24"/>
        </w:rPr>
        <w:t>б) 5000 рублей, если цена Контракта составляет от 3 млн. рублей до 50 млн. рублей (включительно);</w:t>
      </w:r>
    </w:p>
    <w:p w14:paraId="58000000">
      <w:pPr>
        <w:spacing w:after="0" w:line="240" w:lineRule="auto"/>
        <w:ind/>
        <w:jc w:val="both"/>
        <w:rPr>
          <w:rFonts w:ascii="Times New Roman" w:hAnsi="Times New Roman"/>
          <w:sz w:val="24"/>
        </w:rPr>
      </w:pPr>
      <w:bookmarkStart w:id="20" w:name="sub_100603"/>
      <w:bookmarkEnd w:id="20"/>
      <w:bookmarkStart w:id="21" w:name="sub_1006021"/>
      <w:bookmarkEnd w:id="21"/>
      <w:r>
        <w:rPr>
          <w:rFonts w:ascii="Times New Roman" w:hAnsi="Times New Roman"/>
          <w:sz w:val="24"/>
        </w:rPr>
        <w:t>в) 10000 рублей, если цена Контракта составляет от 50 млн. рублей до 100 млн. рублей (включительно);</w:t>
      </w:r>
    </w:p>
    <w:p w14:paraId="59000000">
      <w:pPr>
        <w:spacing w:after="0" w:line="240" w:lineRule="auto"/>
        <w:ind/>
        <w:jc w:val="both"/>
        <w:rPr>
          <w:rFonts w:ascii="Times New Roman" w:hAnsi="Times New Roman"/>
          <w:sz w:val="24"/>
        </w:rPr>
      </w:pPr>
      <w:bookmarkStart w:id="22" w:name="sub_1006031"/>
      <w:bookmarkEnd w:id="22"/>
      <w:r>
        <w:rPr>
          <w:rFonts w:ascii="Times New Roman" w:hAnsi="Times New Roman"/>
          <w:sz w:val="24"/>
        </w:rPr>
        <w:t>г) 100000 рублей, если цена Контракта превышает 100 млн. рублей.</w:t>
      </w:r>
      <w:bookmarkStart w:id="23" w:name="sub_100309"/>
      <w:bookmarkEnd w:id="23"/>
      <w:bookmarkStart w:id="24" w:name="sub_100604"/>
      <w:bookmarkEnd w:id="24"/>
    </w:p>
    <w:p w14:paraId="5A000000">
      <w:pPr>
        <w:spacing w:after="0" w:line="240" w:lineRule="auto"/>
        <w:ind/>
        <w:contextualSpacing w:val="1"/>
        <w:jc w:val="both"/>
        <w:rPr>
          <w:rFonts w:ascii="Times New Roman" w:hAnsi="Times New Roman"/>
          <w:sz w:val="24"/>
        </w:rPr>
      </w:pPr>
      <w:r>
        <w:rPr>
          <w:rFonts w:ascii="Times New Roman" w:hAnsi="Times New Roman"/>
          <w:sz w:val="24"/>
        </w:rPr>
        <w:t>6.3. За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14:paraId="5B000000">
      <w:pPr>
        <w:spacing w:after="0" w:line="240" w:lineRule="auto"/>
        <w:ind/>
        <w:contextualSpacing w:val="1"/>
        <w:jc w:val="both"/>
        <w:rPr>
          <w:rFonts w:ascii="Times New Roman" w:hAnsi="Times New Roman"/>
          <w:sz w:val="24"/>
        </w:rPr>
      </w:pPr>
      <w:bookmarkStart w:id="25" w:name="sub_100901"/>
      <w:bookmarkEnd w:id="25"/>
      <w:r>
        <w:rPr>
          <w:rFonts w:ascii="Times New Roman" w:hAnsi="Times New Roman"/>
          <w:sz w:val="24"/>
        </w:rPr>
        <w:t>а) 1000 рублей, если цена Контракта не превышает 3 млн. рублей (включительно);</w:t>
      </w:r>
    </w:p>
    <w:p w14:paraId="5C000000">
      <w:pPr>
        <w:spacing w:after="0" w:line="240" w:lineRule="auto"/>
        <w:ind/>
        <w:contextualSpacing w:val="1"/>
        <w:jc w:val="both"/>
        <w:rPr>
          <w:rFonts w:ascii="Times New Roman" w:hAnsi="Times New Roman"/>
          <w:sz w:val="24"/>
        </w:rPr>
      </w:pPr>
      <w:bookmarkStart w:id="26" w:name="sub_100902"/>
      <w:bookmarkEnd w:id="26"/>
      <w:bookmarkStart w:id="27" w:name="sub_1009011"/>
      <w:bookmarkEnd w:id="27"/>
      <w:r>
        <w:rPr>
          <w:rFonts w:ascii="Times New Roman" w:hAnsi="Times New Roman"/>
          <w:sz w:val="24"/>
        </w:rPr>
        <w:t>б) 5000 рублей, если цена Контракта составляет от 3 млн. рублей до 50 млн. рублей (включительно);</w:t>
      </w:r>
    </w:p>
    <w:p w14:paraId="5D000000">
      <w:pPr>
        <w:spacing w:after="0" w:line="240" w:lineRule="auto"/>
        <w:ind/>
        <w:contextualSpacing w:val="1"/>
        <w:jc w:val="both"/>
        <w:rPr>
          <w:rFonts w:ascii="Times New Roman" w:hAnsi="Times New Roman"/>
          <w:sz w:val="24"/>
        </w:rPr>
      </w:pPr>
      <w:bookmarkStart w:id="28" w:name="sub_1009021"/>
      <w:bookmarkEnd w:id="28"/>
      <w:r>
        <w:rPr>
          <w:rFonts w:ascii="Times New Roman" w:hAnsi="Times New Roman"/>
          <w:sz w:val="24"/>
        </w:rPr>
        <w:t>в) 10000 рублей, если цена Контракта составляет от 50 млн. рублей до 100 млн. рублей (включительно);</w:t>
      </w:r>
      <w:bookmarkStart w:id="29" w:name="sub_100903"/>
      <w:bookmarkEnd w:id="29"/>
    </w:p>
    <w:p w14:paraId="5E000000">
      <w:pPr>
        <w:spacing w:after="0" w:line="240" w:lineRule="auto"/>
        <w:ind/>
        <w:contextualSpacing w:val="1"/>
        <w:jc w:val="both"/>
        <w:rPr>
          <w:rFonts w:ascii="Times New Roman" w:hAnsi="Times New Roman"/>
          <w:sz w:val="24"/>
        </w:rPr>
      </w:pPr>
      <w:r>
        <w:rPr>
          <w:rFonts w:ascii="Times New Roman" w:hAnsi="Times New Roman"/>
          <w:sz w:val="24"/>
        </w:rPr>
        <w:t>г) 100000 рублей, если цена Контракта превышает 100 млн. рублей.</w:t>
      </w:r>
    </w:p>
    <w:p w14:paraId="5F000000">
      <w:pPr>
        <w:spacing w:after="0" w:line="240" w:lineRule="auto"/>
        <w:ind/>
        <w:contextualSpacing w:val="1"/>
        <w:jc w:val="both"/>
      </w:pPr>
      <w:r>
        <w:rPr>
          <w:rFonts w:ascii="Times New Roman" w:hAnsi="Times New Roman"/>
          <w:sz w:val="24"/>
        </w:rPr>
        <w:t xml:space="preserve">6.4. В случае просрочки исполнения обязательств Заказчиком Поставщик (Подрядчик, Исполнитель) вправе потребовать уплаты неустойки в размере одной трехсотой действующей на дату уплаты пени </w:t>
      </w:r>
      <w:r>
        <w:rPr>
          <w:rStyle w:val="Style_5_ch"/>
        </w:rPr>
        <w:fldChar w:fldCharType="begin"/>
      </w:r>
      <w:r>
        <w:rPr>
          <w:rStyle w:val="Style_5_ch"/>
        </w:rPr>
        <w:instrText>HYPERLINK "garantf1://10080094.0"</w:instrText>
      </w:r>
      <w:r>
        <w:rPr>
          <w:rStyle w:val="Style_5_ch"/>
        </w:rPr>
        <w:fldChar w:fldCharType="separate"/>
      </w:r>
      <w:r>
        <w:rPr>
          <w:rStyle w:val="Style_5_ch"/>
        </w:rPr>
        <w:t>ставки рефинансирования</w:t>
      </w:r>
      <w:r>
        <w:rPr>
          <w:rStyle w:val="Style_5_ch"/>
        </w:rPr>
        <w:fldChar w:fldCharType="end"/>
      </w:r>
      <w:r>
        <w:rPr>
          <w:rFonts w:ascii="Times New Roman" w:hAnsi="Times New Roman"/>
          <w:sz w:val="24"/>
        </w:rPr>
        <w:t xml:space="preserve"> Центрального банка Российской Федерации от не уплаченной в срок суммы.</w:t>
      </w:r>
    </w:p>
    <w:p w14:paraId="60000000">
      <w:pPr>
        <w:spacing w:after="0" w:line="240" w:lineRule="auto"/>
        <w:ind/>
        <w:jc w:val="both"/>
        <w:rPr>
          <w:rFonts w:ascii="Times New Roman" w:hAnsi="Times New Roman"/>
          <w:sz w:val="24"/>
        </w:rPr>
      </w:pPr>
      <w:r>
        <w:rPr>
          <w:rFonts w:ascii="Times New Roman" w:hAnsi="Times New Roman"/>
          <w:sz w:val="2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61000000">
      <w:pPr>
        <w:spacing w:after="0" w:line="240" w:lineRule="auto"/>
        <w:ind/>
        <w:contextualSpacing w:val="1"/>
        <w:jc w:val="both"/>
        <w:rPr>
          <w:rFonts w:ascii="Times New Roman" w:hAnsi="Times New Roman"/>
          <w:sz w:val="24"/>
        </w:rPr>
      </w:pPr>
      <w:r>
        <w:rPr>
          <w:rFonts w:ascii="Times New Roman" w:hAnsi="Times New Roman"/>
          <w:sz w:val="24"/>
        </w:rPr>
        <w:t xml:space="preserve">6.5. </w:t>
      </w:r>
      <w:r>
        <w:rPr>
          <w:rFonts w:ascii="Times New Roman" w:hAnsi="Times New Roman"/>
          <w:sz w:val="24"/>
        </w:rPr>
        <w:t xml:space="preserve">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пени). </w:t>
      </w:r>
    </w:p>
    <w:p w14:paraId="62000000">
      <w:pPr>
        <w:spacing w:after="0" w:line="240" w:lineRule="auto"/>
        <w:ind/>
        <w:contextualSpacing w:val="1"/>
        <w:jc w:val="both"/>
        <w:rPr>
          <w:rFonts w:ascii="Times New Roman" w:hAnsi="Times New Roman"/>
          <w:sz w:val="24"/>
        </w:rPr>
      </w:pPr>
      <w:r>
        <w:rPr>
          <w:rFonts w:ascii="Times New Roman" w:hAnsi="Times New Roman"/>
          <w:sz w:val="24"/>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14:paraId="63000000">
      <w:pPr>
        <w:spacing w:after="0" w:line="240" w:lineRule="auto"/>
        <w:ind/>
        <w:contextualSpacing w:val="1"/>
        <w:jc w:val="both"/>
        <w:rPr>
          <w:rFonts w:ascii="Times New Roman" w:hAnsi="Times New Roman"/>
          <w:sz w:val="24"/>
        </w:rPr>
      </w:pPr>
      <w:r>
        <w:rPr>
          <w:rFonts w:ascii="Times New Roman" w:hAnsi="Times New Roman"/>
          <w:sz w:val="24"/>
        </w:rPr>
        <w:t xml:space="preserve">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64000000">
      <w:pPr>
        <w:spacing w:after="0" w:line="240" w:lineRule="auto"/>
        <w:ind/>
        <w:jc w:val="both"/>
        <w:rPr>
          <w:rFonts w:ascii="Times New Roman" w:hAnsi="Times New Roman"/>
          <w:sz w:val="24"/>
        </w:rPr>
      </w:pPr>
      <w:r>
        <w:rPr>
          <w:rFonts w:ascii="Times New Roman" w:hAnsi="Times New Roman"/>
          <w:sz w:val="24"/>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5000000">
      <w:pPr>
        <w:spacing w:after="0" w:line="240" w:lineRule="auto"/>
        <w:ind/>
        <w:jc w:val="both"/>
        <w:rPr>
          <w:rFonts w:ascii="Times New Roman" w:hAnsi="Times New Roman"/>
          <w:sz w:val="24"/>
        </w:rPr>
      </w:pPr>
      <w:r>
        <w:rPr>
          <w:rFonts w:ascii="Times New Roman" w:hAnsi="Times New Roman"/>
          <w:sz w:val="24"/>
        </w:rPr>
        <w:t>6.7.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66000000">
      <w:pPr>
        <w:spacing w:after="0" w:line="240" w:lineRule="auto"/>
        <w:ind/>
        <w:jc w:val="both"/>
        <w:rPr>
          <w:rFonts w:ascii="Times New Roman" w:hAnsi="Times New Roman"/>
          <w:sz w:val="24"/>
        </w:rPr>
      </w:pPr>
      <w:r>
        <w:rPr>
          <w:rFonts w:ascii="Times New Roman" w:hAnsi="Times New Roman"/>
          <w:sz w:val="24"/>
        </w:rPr>
        <w:t xml:space="preserve">6.8. </w:t>
      </w:r>
      <w:r>
        <w:rPr>
          <w:rFonts w:ascii="Times New Roman" w:hAnsi="Times New Roman"/>
          <w:sz w:val="24"/>
        </w:rPr>
        <w:t>В случае неисполнения или ненадлежащего исполнения Поставщиком (Подрядчиком, Исполнителем) обязательств, предусмотренных Контрактом, Заказчик вправе взыскать размер начисленных неустоек (штрафа, пени) за счет денежных средств, внесенных Поставщиком (Подрядчиком, Исполнителем) в качестве обеспечения исполнения Контракта. В случае если размер начисленных неустоек (штрафа, пени) превышает сумму денежных средств, внесенных Поставщиком (Подрядчиком, Исполнителем) в качестве обеспечения исполнения Контракта, Заказчик вправе удержать денежные средства, внесенные Поставщиком (Подрядчиком, Исполнителем) в качестве обеспечения исполнения Контракта в полном объеме, а также направить Поставщику (Подрядчику, Исполнителю) требование об уплате оставшегося размера неустоек (штрафов, пеней).</w:t>
      </w:r>
    </w:p>
    <w:p w14:paraId="67000000">
      <w:pPr>
        <w:spacing w:after="0" w:line="240" w:lineRule="auto"/>
        <w:ind w:right="-1"/>
        <w:jc w:val="center"/>
        <w:rPr>
          <w:rFonts w:ascii="Times New Roman" w:hAnsi="Times New Roman"/>
          <w:b w:val="1"/>
          <w:caps w:val="1"/>
          <w:sz w:val="24"/>
        </w:rPr>
      </w:pPr>
    </w:p>
    <w:p w14:paraId="68000000">
      <w:pPr>
        <w:spacing w:after="0" w:line="240" w:lineRule="auto"/>
        <w:ind w:right="-1"/>
        <w:jc w:val="center"/>
        <w:rPr>
          <w:rFonts w:ascii="Times New Roman" w:hAnsi="Times New Roman"/>
          <w:b w:val="1"/>
          <w:caps w:val="1"/>
          <w:sz w:val="24"/>
        </w:rPr>
      </w:pPr>
      <w:r>
        <w:rPr>
          <w:rFonts w:ascii="Times New Roman" w:hAnsi="Times New Roman"/>
          <w:b w:val="1"/>
          <w:caps w:val="1"/>
          <w:sz w:val="24"/>
        </w:rPr>
        <w:t>7. ПРОЧИЕ УСЛОВИЯ</w:t>
      </w:r>
    </w:p>
    <w:p w14:paraId="69000000">
      <w:pPr>
        <w:spacing w:after="0" w:line="240" w:lineRule="auto"/>
        <w:ind w:right="-1"/>
        <w:jc w:val="center"/>
        <w:rPr>
          <w:rFonts w:ascii="Times New Roman" w:hAnsi="Times New Roman"/>
          <w:b w:val="1"/>
          <w:caps w:val="1"/>
          <w:sz w:val="24"/>
        </w:rPr>
      </w:pPr>
    </w:p>
    <w:p w14:paraId="6A000000">
      <w:pPr>
        <w:pStyle w:val="Style_2"/>
        <w:widowControl w:val="1"/>
        <w:numPr>
          <w:ilvl w:val="1"/>
          <w:numId w:val="4"/>
        </w:numPr>
        <w:spacing w:after="0"/>
        <w:ind w:firstLine="0" w:left="0" w:right="-1"/>
        <w:jc w:val="both"/>
        <w:rPr>
          <w:rFonts w:ascii="Times New Roman" w:hAnsi="Times New Roman"/>
          <w:sz w:val="24"/>
        </w:rPr>
      </w:pPr>
      <w:r>
        <w:rPr>
          <w:rFonts w:ascii="Times New Roman" w:hAnsi="Times New Roman"/>
          <w:sz w:val="24"/>
        </w:rPr>
        <w:t>По вопросам, не предусмотренным настоящим Контрактом, Стороны руководствуются действующим законодательством Российской Федерации.</w:t>
      </w:r>
    </w:p>
    <w:p w14:paraId="6B000000">
      <w:pPr>
        <w:pStyle w:val="Style_2"/>
        <w:widowControl w:val="1"/>
        <w:numPr>
          <w:ilvl w:val="1"/>
          <w:numId w:val="4"/>
        </w:numPr>
        <w:spacing w:after="0"/>
        <w:ind w:firstLine="0" w:left="0" w:right="-1"/>
        <w:jc w:val="both"/>
        <w:rPr>
          <w:rFonts w:ascii="Times New Roman" w:hAnsi="Times New Roman"/>
          <w:sz w:val="24"/>
        </w:rPr>
      </w:pPr>
      <w:r>
        <w:rPr>
          <w:rFonts w:ascii="Times New Roman" w:hAnsi="Times New Roman"/>
          <w:sz w:val="24"/>
        </w:rPr>
        <w:t>Все споры и разногласия, которые могут возникать при исполнении настоящего Контракта, Стороны урегулируют путем переговоров.</w:t>
      </w:r>
    </w:p>
    <w:p w14:paraId="6C000000">
      <w:pPr>
        <w:pStyle w:val="Style_2"/>
        <w:widowControl w:val="1"/>
        <w:numPr>
          <w:ilvl w:val="1"/>
          <w:numId w:val="4"/>
        </w:numPr>
        <w:spacing w:after="0"/>
        <w:ind w:firstLine="0" w:left="0" w:right="-1"/>
        <w:jc w:val="both"/>
        <w:rPr>
          <w:rFonts w:ascii="Times New Roman" w:hAnsi="Times New Roman"/>
          <w:sz w:val="24"/>
        </w:rPr>
      </w:pPr>
      <w:r>
        <w:rPr>
          <w:rFonts w:ascii="Times New Roman" w:hAnsi="Times New Roman"/>
          <w:sz w:val="24"/>
        </w:rPr>
        <w:t>Все неурегулированные споры, касающиеся исполнения данного Контракта, подлежат рассмотрению в Арбитражном суде Санкт-Петербурга и Ленинградской области.</w:t>
      </w:r>
    </w:p>
    <w:p w14:paraId="6D000000">
      <w:pPr>
        <w:spacing w:after="0" w:line="240" w:lineRule="auto"/>
        <w:ind w:right="-1"/>
        <w:jc w:val="center"/>
        <w:rPr>
          <w:rFonts w:ascii="Times New Roman" w:hAnsi="Times New Roman"/>
          <w:b w:val="1"/>
          <w:sz w:val="24"/>
        </w:rPr>
      </w:pPr>
    </w:p>
    <w:p w14:paraId="6E000000">
      <w:pPr>
        <w:spacing w:after="0" w:line="240" w:lineRule="auto"/>
        <w:ind w:right="-1"/>
        <w:jc w:val="center"/>
        <w:rPr>
          <w:rFonts w:ascii="Times New Roman" w:hAnsi="Times New Roman"/>
          <w:b w:val="1"/>
          <w:sz w:val="24"/>
        </w:rPr>
      </w:pPr>
      <w:r>
        <w:rPr>
          <w:rFonts w:ascii="Times New Roman" w:hAnsi="Times New Roman"/>
          <w:b w:val="1"/>
          <w:sz w:val="24"/>
        </w:rPr>
        <w:t>8.  ФОРС-МАЖОРНЫЕ ОБСТОЯТЕЛЬСТВА</w:t>
      </w:r>
    </w:p>
    <w:p w14:paraId="6F000000">
      <w:pPr>
        <w:spacing w:after="0" w:line="240" w:lineRule="auto"/>
        <w:ind w:right="-1"/>
        <w:jc w:val="center"/>
        <w:rPr>
          <w:rFonts w:ascii="Times New Roman" w:hAnsi="Times New Roman"/>
          <w:b w:val="1"/>
          <w:sz w:val="24"/>
        </w:rPr>
      </w:pPr>
    </w:p>
    <w:p w14:paraId="70000000">
      <w:pPr>
        <w:pStyle w:val="Style_2"/>
        <w:widowControl w:val="1"/>
        <w:spacing w:after="0"/>
        <w:ind w:firstLine="0" w:left="0" w:right="-1"/>
        <w:jc w:val="both"/>
        <w:rPr>
          <w:rFonts w:ascii="Times New Roman" w:hAnsi="Times New Roman"/>
          <w:sz w:val="24"/>
        </w:rPr>
      </w:pPr>
      <w:r>
        <w:rPr>
          <w:rFonts w:ascii="Times New Roman" w:hAnsi="Times New Roman"/>
          <w:sz w:val="24"/>
        </w:rPr>
        <w:t xml:space="preserve">8.1. В случае наступления обстоятельств непреодолимой силы (форс-мажор), </w:t>
      </w:r>
      <w:r>
        <w:rPr>
          <w:rFonts w:ascii="Times New Roman" w:hAnsi="Times New Roman"/>
          <w:sz w:val="24"/>
        </w:rPr>
        <w:t>как то</w:t>
      </w:r>
      <w:r>
        <w:rPr>
          <w:rFonts w:ascii="Times New Roman" w:hAnsi="Times New Roman"/>
          <w:sz w:val="24"/>
        </w:rPr>
        <w:t xml:space="preserve">: стихийные бедствия, военные действия, блокады, забастовки, пожары, а также издания актов государственной власти и </w:t>
      </w:r>
      <w:r>
        <w:rPr>
          <w:rFonts w:ascii="Times New Roman" w:hAnsi="Times New Roman"/>
          <w:sz w:val="24"/>
        </w:rPr>
        <w:t>органов местного</w:t>
      </w:r>
      <w:r>
        <w:rPr>
          <w:rFonts w:ascii="Times New Roman" w:hAnsi="Times New Roman"/>
          <w:sz w:val="24"/>
        </w:rPr>
        <w:t xml:space="preserve"> самоуправления, повлекших за собой полное или частичное невыполнение обязательств по настоящему Контракту,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Контракта и документальным подтверждением.</w:t>
      </w:r>
    </w:p>
    <w:p w14:paraId="71000000">
      <w:pPr>
        <w:pStyle w:val="Style_6"/>
        <w:spacing w:after="0" w:line="240" w:lineRule="auto"/>
        <w:ind w:firstLine="0" w:left="0" w:right="-1"/>
        <w:jc w:val="center"/>
        <w:rPr>
          <w:rFonts w:ascii="Times New Roman" w:hAnsi="Times New Roman"/>
          <w:b w:val="1"/>
          <w:sz w:val="24"/>
        </w:rPr>
      </w:pPr>
    </w:p>
    <w:p w14:paraId="72000000">
      <w:pPr>
        <w:pStyle w:val="Style_2"/>
        <w:numPr>
          <w:ilvl w:val="0"/>
          <w:numId w:val="5"/>
        </w:numPr>
        <w:spacing w:after="0"/>
        <w:ind w:firstLine="0" w:left="0" w:right="-1"/>
        <w:jc w:val="center"/>
        <w:rPr>
          <w:rFonts w:ascii="Times New Roman" w:hAnsi="Times New Roman"/>
          <w:b w:val="1"/>
          <w:caps w:val="1"/>
          <w:sz w:val="24"/>
        </w:rPr>
      </w:pPr>
      <w:r>
        <w:rPr>
          <w:rFonts w:ascii="Times New Roman" w:hAnsi="Times New Roman"/>
          <w:b w:val="1"/>
          <w:caps w:val="1"/>
          <w:sz w:val="24"/>
        </w:rPr>
        <w:t>Срок ДЕЙСТВИя Контракта и ОСНОВАНИЯ ДЛЯ его прекращениЯ</w:t>
      </w:r>
    </w:p>
    <w:p w14:paraId="73000000">
      <w:pPr>
        <w:pStyle w:val="Style_2"/>
        <w:spacing w:after="0"/>
        <w:ind w:firstLine="0" w:left="0" w:right="-1"/>
        <w:rPr>
          <w:rFonts w:ascii="Times New Roman" w:hAnsi="Times New Roman"/>
          <w:b w:val="1"/>
          <w:caps w:val="1"/>
          <w:sz w:val="24"/>
        </w:rPr>
      </w:pPr>
    </w:p>
    <w:p w14:paraId="74000000">
      <w:pPr>
        <w:pStyle w:val="Style_2"/>
        <w:widowControl w:val="1"/>
        <w:numPr>
          <w:ilvl w:val="1"/>
          <w:numId w:val="5"/>
        </w:numPr>
        <w:spacing w:after="0"/>
        <w:ind w:firstLine="0" w:left="0" w:right="-1"/>
        <w:jc w:val="both"/>
        <w:rPr>
          <w:rFonts w:ascii="Times New Roman" w:hAnsi="Times New Roman"/>
          <w:sz w:val="24"/>
        </w:rPr>
      </w:pPr>
      <w:r>
        <w:rPr>
          <w:rFonts w:ascii="Times New Roman" w:hAnsi="Times New Roman"/>
          <w:sz w:val="24"/>
        </w:rPr>
        <w:t>Настоящий Контракт вступает в силу с момента его подписания Сторонами, и действуе</w:t>
      </w:r>
      <w:r>
        <w:rPr>
          <w:rFonts w:ascii="Times New Roman" w:hAnsi="Times New Roman"/>
          <w:sz w:val="24"/>
        </w:rPr>
        <w:t xml:space="preserve">т до </w:t>
      </w:r>
      <w:r>
        <w:rPr>
          <w:rFonts w:ascii="Times New Roman" w:hAnsi="Times New Roman"/>
          <w:sz w:val="24"/>
        </w:rPr>
        <w:t>31</w:t>
      </w:r>
      <w:r>
        <w:rPr>
          <w:rFonts w:ascii="Times New Roman" w:hAnsi="Times New Roman"/>
          <w:sz w:val="24"/>
        </w:rPr>
        <w:t xml:space="preserve"> декабря 202</w:t>
      </w:r>
      <w:r>
        <w:rPr>
          <w:rFonts w:ascii="Times New Roman" w:hAnsi="Times New Roman"/>
          <w:sz w:val="24"/>
        </w:rPr>
        <w:t>6</w:t>
      </w:r>
      <w:r>
        <w:rPr>
          <w:rFonts w:ascii="Times New Roman" w:hAnsi="Times New Roman"/>
          <w:sz w:val="24"/>
        </w:rPr>
        <w:t xml:space="preserve"> года, а в части взаиморасчётов – до полного исполнения обязательств</w:t>
      </w:r>
      <w:r>
        <w:rPr>
          <w:rFonts w:ascii="Times New Roman" w:hAnsi="Times New Roman"/>
          <w:sz w:val="24"/>
        </w:rPr>
        <w:t>.</w:t>
      </w:r>
      <w:r>
        <w:rPr>
          <w:rFonts w:ascii="Times New Roman" w:hAnsi="Times New Roman"/>
          <w:sz w:val="24"/>
        </w:rPr>
        <w:t xml:space="preserve">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75000000">
      <w:pPr>
        <w:pStyle w:val="Style_2"/>
        <w:widowControl w:val="1"/>
        <w:numPr>
          <w:ilvl w:val="1"/>
          <w:numId w:val="5"/>
        </w:numPr>
        <w:spacing w:after="0"/>
        <w:ind w:firstLine="0" w:left="0" w:right="-1"/>
        <w:jc w:val="both"/>
        <w:rPr>
          <w:rFonts w:ascii="Times New Roman" w:hAnsi="Times New Roman"/>
          <w:sz w:val="24"/>
        </w:rPr>
      </w:pPr>
      <w:r>
        <w:rPr>
          <w:rFonts w:ascii="Times New Roman" w:hAnsi="Times New Roman"/>
          <w:sz w:val="24"/>
        </w:rPr>
        <w:t>Заказчик вправе в одностороннем порядке отказаться от исполнения Контракта в соответствии с ч.2 ст.407 ГК РФ, ст.523 ГК РФ и потребовать возмещения причиненных убытков в случае следующих существенных нарушений Поставщиком условий настоящего Контракта:</w:t>
      </w:r>
    </w:p>
    <w:p w14:paraId="76000000">
      <w:pPr>
        <w:pStyle w:val="Style_2"/>
        <w:widowControl w:val="1"/>
        <w:numPr>
          <w:ilvl w:val="2"/>
          <w:numId w:val="5"/>
        </w:numPr>
        <w:tabs>
          <w:tab w:leader="none" w:pos="1134" w:val="left"/>
        </w:tabs>
        <w:spacing w:after="0"/>
        <w:ind w:firstLine="0" w:left="0" w:right="-1"/>
        <w:jc w:val="both"/>
        <w:rPr>
          <w:rFonts w:ascii="Times New Roman" w:hAnsi="Times New Roman"/>
          <w:sz w:val="24"/>
        </w:rPr>
      </w:pPr>
      <w:r>
        <w:rPr>
          <w:rFonts w:ascii="Times New Roman" w:hAnsi="Times New Roman"/>
          <w:spacing w:val="-1"/>
          <w:sz w:val="24"/>
        </w:rPr>
        <w:t>Поставщик поставил товар ненадлежащего качества с недостатками, которые не могут быть устранены в приемлемый для Заказчика срок.</w:t>
      </w:r>
    </w:p>
    <w:p w14:paraId="77000000">
      <w:pPr>
        <w:pStyle w:val="Style_2"/>
        <w:widowControl w:val="1"/>
        <w:numPr>
          <w:ilvl w:val="2"/>
          <w:numId w:val="5"/>
        </w:numPr>
        <w:tabs>
          <w:tab w:leader="none" w:pos="1134" w:val="left"/>
        </w:tabs>
        <w:spacing w:after="0"/>
        <w:ind w:firstLine="0" w:left="0" w:right="-1"/>
        <w:jc w:val="both"/>
        <w:rPr>
          <w:rFonts w:ascii="Times New Roman" w:hAnsi="Times New Roman"/>
          <w:sz w:val="24"/>
        </w:rPr>
      </w:pPr>
      <w:r>
        <w:rPr>
          <w:rFonts w:ascii="Times New Roman" w:hAnsi="Times New Roman"/>
          <w:sz w:val="24"/>
        </w:rPr>
        <w:t>Задержка в сроках поставки Товара, предусмотренных условиями настоящего Контракта, составляет более 5-ти календарных дней.</w:t>
      </w:r>
    </w:p>
    <w:p w14:paraId="78000000">
      <w:pPr>
        <w:pStyle w:val="Style_2"/>
        <w:widowControl w:val="1"/>
        <w:numPr>
          <w:ilvl w:val="2"/>
          <w:numId w:val="5"/>
        </w:numPr>
        <w:tabs>
          <w:tab w:leader="none" w:pos="1134" w:val="left"/>
        </w:tabs>
        <w:spacing w:after="0"/>
        <w:ind w:firstLine="0" w:left="0" w:right="-1"/>
        <w:jc w:val="both"/>
        <w:rPr>
          <w:rFonts w:ascii="Times New Roman" w:hAnsi="Times New Roman"/>
          <w:sz w:val="24"/>
        </w:rPr>
      </w:pPr>
      <w:r>
        <w:rPr>
          <w:rFonts w:ascii="Times New Roman" w:hAnsi="Times New Roman"/>
          <w:sz w:val="24"/>
        </w:rPr>
        <w:t xml:space="preserve">Отсутствие финансирования не по вине заказчика. </w:t>
      </w:r>
    </w:p>
    <w:p w14:paraId="79000000">
      <w:pPr>
        <w:pStyle w:val="Style_3"/>
        <w:numPr>
          <w:ilvl w:val="1"/>
          <w:numId w:val="5"/>
        </w:numPr>
        <w:spacing w:after="0" w:line="240" w:lineRule="auto"/>
        <w:ind w:firstLine="0" w:left="0" w:right="-1"/>
        <w:jc w:val="both"/>
        <w:rPr>
          <w:rFonts w:ascii="Times New Roman" w:hAnsi="Times New Roman"/>
          <w:sz w:val="24"/>
        </w:rPr>
      </w:pPr>
      <w:r>
        <w:rPr>
          <w:rFonts w:ascii="Times New Roman" w:hAnsi="Times New Roman"/>
          <w:sz w:val="24"/>
        </w:rPr>
        <w:t>Решение заказчика об одностороннем отказе от исполнения Контракта не позднее чем в течении трех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Настоящий Контракт считается расторгнутым через десять календарных дней с даты надлежащего уведомления Поставщика об одностороннем отказе от исполнения Контракта.</w:t>
      </w:r>
    </w:p>
    <w:p w14:paraId="7A000000">
      <w:pPr>
        <w:pStyle w:val="Style_3"/>
        <w:numPr>
          <w:ilvl w:val="1"/>
          <w:numId w:val="5"/>
        </w:numPr>
        <w:spacing w:after="0" w:line="240" w:lineRule="auto"/>
        <w:ind w:firstLine="0" w:left="0" w:right="-1"/>
        <w:jc w:val="both"/>
        <w:rPr>
          <w:rFonts w:ascii="Times New Roman" w:hAnsi="Times New Roman"/>
          <w:sz w:val="24"/>
        </w:rPr>
      </w:pPr>
      <w:r>
        <w:rPr>
          <w:rFonts w:ascii="Times New Roman" w:hAnsi="Times New Roman"/>
          <w:sz w:val="24"/>
        </w:rPr>
        <w:t>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7B000000">
      <w:pPr>
        <w:spacing w:after="0" w:line="240" w:lineRule="auto"/>
        <w:ind w:right="-1"/>
        <w:jc w:val="both"/>
      </w:pPr>
      <w:r>
        <w:rPr>
          <w:rFonts w:ascii="Times New Roman" w:hAnsi="Times New Roman"/>
          <w:sz w:val="24"/>
        </w:rPr>
        <w:t xml:space="preserve">9.5. Поставщик вправе принять решение об одностороннем отказе от исполнения Контракта по основаниям, предусмотренным </w:t>
      </w:r>
      <w:r>
        <w:rPr>
          <w:rStyle w:val="Style_7_ch"/>
        </w:rPr>
        <w:fldChar w:fldCharType="begin"/>
      </w:r>
      <w:r>
        <w:rPr>
          <w:rStyle w:val="Style_7_ch"/>
        </w:rPr>
        <w:instrText>HYPERLINK "garantf1://10064072.450"</w:instrText>
      </w:r>
      <w:r>
        <w:rPr>
          <w:rStyle w:val="Style_7_ch"/>
        </w:rPr>
        <w:fldChar w:fldCharType="separate"/>
      </w:r>
      <w:r>
        <w:rPr>
          <w:rStyle w:val="Style_7_ch"/>
        </w:rPr>
        <w:t>Гражданским кодексом</w:t>
      </w:r>
      <w:r>
        <w:rPr>
          <w:rStyle w:val="Style_7_ch"/>
        </w:rPr>
        <w:fldChar w:fldCharType="end"/>
      </w:r>
      <w:r>
        <w:rPr>
          <w:rFonts w:ascii="Times New Roman" w:hAnsi="Times New Roman"/>
          <w:sz w:val="24"/>
        </w:rPr>
        <w:t xml:space="preserve"> Российской Федерации.</w:t>
      </w:r>
    </w:p>
    <w:p w14:paraId="7C000000">
      <w:pPr>
        <w:spacing w:after="0" w:line="240" w:lineRule="auto"/>
        <w:ind w:right="-1"/>
        <w:jc w:val="both"/>
        <w:rPr>
          <w:rFonts w:ascii="Times New Roman" w:hAnsi="Times New Roman"/>
          <w:sz w:val="24"/>
        </w:rPr>
      </w:pPr>
      <w:r>
        <w:rPr>
          <w:rFonts w:ascii="Times New Roman" w:hAnsi="Times New Roman"/>
          <w:sz w:val="24"/>
        </w:rPr>
        <w:t>9.5.1.Решение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14:paraId="7D000000">
      <w:pPr>
        <w:spacing w:after="0" w:line="240" w:lineRule="auto"/>
        <w:ind w:right="-1"/>
        <w:jc w:val="both"/>
        <w:rPr>
          <w:rFonts w:ascii="Times New Roman" w:hAnsi="Times New Roman"/>
          <w:sz w:val="24"/>
        </w:rPr>
      </w:pPr>
      <w:bookmarkStart w:id="30" w:name="sub_9521"/>
      <w:bookmarkEnd w:id="30"/>
      <w:r>
        <w:rPr>
          <w:rFonts w:ascii="Times New Roman" w:hAnsi="Times New Roman"/>
          <w:sz w:val="24"/>
        </w:rPr>
        <w:t>9.5.2.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7E000000">
      <w:pPr>
        <w:spacing w:after="0" w:line="240" w:lineRule="auto"/>
        <w:ind w:right="-1"/>
        <w:jc w:val="both"/>
        <w:rPr>
          <w:rFonts w:ascii="Times New Roman" w:hAnsi="Times New Roman"/>
          <w:sz w:val="24"/>
        </w:rPr>
      </w:pPr>
      <w:bookmarkStart w:id="31" w:name="sub_95211"/>
      <w:bookmarkEnd w:id="31"/>
      <w:r>
        <w:rPr>
          <w:rFonts w:ascii="Times New Roman" w:hAnsi="Times New Roman"/>
          <w:sz w:val="24"/>
        </w:rPr>
        <w:t>9.5.3.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Start w:id="32" w:name="sub_9523"/>
      <w:bookmarkEnd w:id="32"/>
    </w:p>
    <w:p w14:paraId="7F000000">
      <w:pPr>
        <w:pStyle w:val="Style_2"/>
        <w:numPr>
          <w:ilvl w:val="0"/>
          <w:numId w:val="6"/>
        </w:numPr>
        <w:spacing w:after="0"/>
        <w:ind w:firstLine="0" w:left="0"/>
        <w:jc w:val="center"/>
        <w:rPr>
          <w:rFonts w:ascii="Times New Roman" w:hAnsi="Times New Roman"/>
          <w:b w:val="1"/>
          <w:caps w:val="1"/>
          <w:sz w:val="24"/>
        </w:rPr>
      </w:pPr>
      <w:r>
        <w:rPr>
          <w:rFonts w:ascii="Times New Roman" w:hAnsi="Times New Roman"/>
          <w:b w:val="1"/>
          <w:caps w:val="1"/>
          <w:sz w:val="24"/>
        </w:rPr>
        <w:t>ЗАКЛЮЧИТЕЛЬНЫЕ ПОЛОЖЕНИЯ</w:t>
      </w:r>
    </w:p>
    <w:p w14:paraId="80000000">
      <w:pPr>
        <w:pStyle w:val="Style_2"/>
        <w:spacing w:after="0"/>
        <w:ind w:firstLine="0" w:left="0"/>
        <w:rPr>
          <w:rFonts w:ascii="Times New Roman" w:hAnsi="Times New Roman"/>
          <w:b w:val="1"/>
          <w:caps w:val="1"/>
          <w:sz w:val="24"/>
        </w:rPr>
      </w:pPr>
    </w:p>
    <w:p w14:paraId="81000000">
      <w:pPr>
        <w:pStyle w:val="Style_2"/>
        <w:widowControl w:val="1"/>
        <w:numPr>
          <w:ilvl w:val="1"/>
          <w:numId w:val="6"/>
        </w:numPr>
        <w:spacing w:after="0"/>
        <w:ind w:firstLine="0" w:left="0"/>
        <w:jc w:val="both"/>
        <w:rPr>
          <w:rFonts w:ascii="Times New Roman" w:hAnsi="Times New Roman"/>
          <w:sz w:val="24"/>
        </w:rPr>
      </w:pPr>
      <w:r>
        <w:rPr>
          <w:rFonts w:ascii="Times New Roman" w:hAnsi="Times New Roman"/>
          <w:sz w:val="24"/>
        </w:rPr>
        <w:t>Любые уведомления, которые одна Сторона направляет другой Стороне, высылается в виде письма или телеграммы, телекса, факса с письменным подтверждением по адресу другой Стороны, указанному в разделе 11 настоящего Контракта, Уведомление вступает в силу после доставки или в день, указанный в уведомлении, в зависимости от того, какая из этих дат наступила позднее.</w:t>
      </w:r>
    </w:p>
    <w:p w14:paraId="82000000">
      <w:pPr>
        <w:pStyle w:val="Style_2"/>
        <w:widowControl w:val="1"/>
        <w:numPr>
          <w:ilvl w:val="1"/>
          <w:numId w:val="6"/>
        </w:numPr>
        <w:spacing w:after="0"/>
        <w:ind w:firstLine="0" w:left="0"/>
        <w:jc w:val="both"/>
        <w:rPr>
          <w:rFonts w:ascii="Times New Roman" w:hAnsi="Times New Roman"/>
          <w:sz w:val="24"/>
        </w:rPr>
      </w:pPr>
      <w:r>
        <w:rPr>
          <w:rFonts w:ascii="Times New Roman" w:hAnsi="Times New Roman"/>
          <w:sz w:val="24"/>
        </w:rPr>
        <w:t>Документы, являющиеся неотъемлемой частью настоящего Контракта, подписываются обеими сторонами и скрепляются печатями.</w:t>
      </w:r>
    </w:p>
    <w:p w14:paraId="83000000">
      <w:pPr>
        <w:pStyle w:val="Style_2"/>
        <w:widowControl w:val="1"/>
        <w:numPr>
          <w:ilvl w:val="1"/>
          <w:numId w:val="6"/>
        </w:numPr>
        <w:spacing w:after="0"/>
        <w:ind w:firstLine="0" w:left="0"/>
        <w:jc w:val="both"/>
        <w:rPr>
          <w:rFonts w:ascii="Times New Roman" w:hAnsi="Times New Roman"/>
          <w:sz w:val="24"/>
        </w:rPr>
      </w:pPr>
      <w:r>
        <w:rPr>
          <w:rFonts w:ascii="Times New Roman" w:hAnsi="Times New Roman"/>
          <w:sz w:val="24"/>
        </w:rPr>
        <w:t>Любые изменения к Контракту действительны, если они совершены в письменной форме, подписаны уполномоченными представителями Сторон и скреплены печатями.</w:t>
      </w:r>
    </w:p>
    <w:p w14:paraId="84000000">
      <w:pPr>
        <w:pStyle w:val="Style_2"/>
        <w:widowControl w:val="1"/>
        <w:numPr>
          <w:ilvl w:val="1"/>
          <w:numId w:val="6"/>
        </w:numPr>
        <w:spacing w:after="0"/>
        <w:ind w:firstLine="0" w:left="0"/>
        <w:jc w:val="both"/>
        <w:rPr>
          <w:rFonts w:ascii="Times New Roman" w:hAnsi="Times New Roman"/>
          <w:sz w:val="24"/>
        </w:rPr>
      </w:pPr>
      <w:r>
        <w:rPr>
          <w:rFonts w:ascii="Times New Roman" w:hAnsi="Times New Roman"/>
          <w:sz w:val="24"/>
        </w:rPr>
        <w:t>Документы, переданные по телексу или телефаксу, подписанные уполномоченными представителями Сторон, по настоящему Контракту имеют юридическую силу.</w:t>
      </w:r>
    </w:p>
    <w:p w14:paraId="85000000">
      <w:pPr>
        <w:pStyle w:val="Style_2"/>
        <w:widowControl w:val="1"/>
        <w:numPr>
          <w:ilvl w:val="1"/>
          <w:numId w:val="6"/>
        </w:numPr>
        <w:spacing w:after="0"/>
        <w:ind w:firstLine="0" w:left="0"/>
        <w:jc w:val="both"/>
        <w:rPr>
          <w:rFonts w:ascii="Times New Roman" w:hAnsi="Times New Roman"/>
          <w:sz w:val="24"/>
        </w:rPr>
      </w:pPr>
      <w:r>
        <w:rPr>
          <w:rFonts w:ascii="Times New Roman" w:hAnsi="Times New Roman"/>
          <w:sz w:val="24"/>
        </w:rPr>
        <w:t>Приложения к настоящему Контракту:</w:t>
      </w:r>
    </w:p>
    <w:p w14:paraId="86000000">
      <w:pPr>
        <w:pStyle w:val="Style_2"/>
        <w:spacing w:after="0"/>
        <w:ind w:firstLine="0" w:left="0"/>
        <w:rPr>
          <w:rFonts w:ascii="Times New Roman" w:hAnsi="Times New Roman"/>
          <w:sz w:val="24"/>
        </w:rPr>
      </w:pPr>
      <w:r>
        <w:rPr>
          <w:rFonts w:ascii="Times New Roman" w:hAnsi="Times New Roman"/>
          <w:sz w:val="24"/>
        </w:rPr>
        <w:t xml:space="preserve">Приложение № 1 – Спецификация </w:t>
      </w:r>
      <w:r>
        <w:rPr>
          <w:rFonts w:ascii="Times New Roman" w:hAnsi="Times New Roman"/>
          <w:sz w:val="24"/>
        </w:rPr>
        <w:t xml:space="preserve">и стоимость </w:t>
      </w:r>
      <w:r>
        <w:rPr>
          <w:rFonts w:ascii="Times New Roman" w:hAnsi="Times New Roman"/>
          <w:sz w:val="24"/>
        </w:rPr>
        <w:t>товара</w:t>
      </w:r>
    </w:p>
    <w:p w14:paraId="87000000">
      <w:pPr>
        <w:pStyle w:val="Style_2"/>
        <w:spacing w:after="0"/>
        <w:ind w:firstLine="0" w:left="0"/>
        <w:rPr>
          <w:rFonts w:ascii="Times New Roman" w:hAnsi="Times New Roman"/>
          <w:sz w:val="24"/>
        </w:rPr>
      </w:pPr>
    </w:p>
    <w:p w14:paraId="88000000">
      <w:pPr>
        <w:pStyle w:val="Style_2"/>
        <w:spacing w:after="0"/>
        <w:ind w:firstLine="0" w:left="0"/>
        <w:rPr>
          <w:rFonts w:ascii="Times New Roman" w:hAnsi="Times New Roman"/>
          <w:sz w:val="24"/>
        </w:rPr>
      </w:pPr>
    </w:p>
    <w:p w14:paraId="89000000">
      <w:pPr>
        <w:pStyle w:val="Style_8"/>
        <w:numPr>
          <w:ilvl w:val="0"/>
          <w:numId w:val="6"/>
        </w:numPr>
        <w:ind w:firstLine="0" w:left="0"/>
        <w:jc w:val="center"/>
        <w:rPr>
          <w:rFonts w:ascii="Times New Roman" w:hAnsi="Times New Roman"/>
          <w:b w:val="1"/>
          <w:sz w:val="24"/>
        </w:rPr>
      </w:pPr>
      <w:r>
        <w:rPr>
          <w:rFonts w:ascii="Times New Roman" w:hAnsi="Times New Roman"/>
          <w:b w:val="1"/>
          <w:sz w:val="24"/>
        </w:rPr>
        <w:t>ЮРИДИЧЕСКИЕ АДРЕСА И БАНКОВСКИЕ РЕКВИЗИТЫ СТОРОН</w:t>
      </w:r>
    </w:p>
    <w:p w14:paraId="8A000000">
      <w:pPr>
        <w:pStyle w:val="Style_8"/>
        <w:rPr>
          <w:rFonts w:ascii="Times New Roman" w:hAnsi="Times New Roman"/>
          <w:b w:val="1"/>
          <w:sz w:val="24"/>
        </w:rPr>
      </w:pPr>
    </w:p>
    <w:tbl>
      <w:tblPr>
        <w:tblStyle w:val="Style_9"/>
        <w:tblW w:type="auto" w:w="0"/>
        <w:tblInd w:type="dxa" w:w="133"/>
        <w:tblBorders>
          <w:top w:color="000000" w:sz="4" w:val="single"/>
          <w:left w:color="000000" w:sz="4" w:val="single"/>
          <w:bottom w:color="000000" w:sz="4" w:val="single"/>
          <w:right w:color="000000" w:sz="4" w:val="single"/>
          <w:insideH w:color="000000" w:sz="4" w:val="single"/>
          <w:insideV w:color="000000" w:sz="4" w:val="single"/>
        </w:tblBorders>
        <w:tblLayout w:type="fixed"/>
        <w:tblCellMar>
          <w:left w:type="dxa" w:w="133"/>
        </w:tblCellMar>
      </w:tblPr>
      <w:tblGrid>
        <w:gridCol w:w="4962"/>
        <w:gridCol w:w="4819"/>
      </w:tblGrid>
      <w:tr>
        <w:trPr>
          <w:trHeight w:hRule="atLeast" w:val="6289"/>
        </w:trPr>
        <w:tc>
          <w:tcPr>
            <w:tcW w:type="dxa" w:w="4962"/>
            <w:tcBorders>
              <w:top w:sz="4" w:val="nil"/>
              <w:left w:sz="4" w:val="nil"/>
              <w:bottom w:sz="4" w:val="nil"/>
              <w:right w:sz="4" w:val="nil"/>
            </w:tcBorders>
            <w:shd w:fill="auto" w:val="clear"/>
            <w:tcMar>
              <w:left w:type="dxa" w:w="133"/>
            </w:tcMar>
          </w:tcPr>
          <w:p w14:paraId="8B000000">
            <w:pPr>
              <w:spacing w:after="0"/>
              <w:ind/>
              <w:rPr>
                <w:rFonts w:ascii="Times New Roman" w:hAnsi="Times New Roman"/>
                <w:b w:val="1"/>
                <w:sz w:val="24"/>
              </w:rPr>
            </w:pPr>
            <w:r>
              <w:rPr>
                <w:rFonts w:ascii="Times New Roman" w:hAnsi="Times New Roman"/>
                <w:b w:val="1"/>
                <w:sz w:val="24"/>
              </w:rPr>
              <w:t>ЗАКАЗЧИК</w:t>
            </w:r>
          </w:p>
          <w:p w14:paraId="8C000000">
            <w:pPr>
              <w:spacing w:after="0" w:line="240" w:lineRule="auto"/>
              <w:ind/>
              <w:jc w:val="both"/>
              <w:rPr>
                <w:rFonts w:ascii="Times New Roman" w:hAnsi="Times New Roman"/>
                <w:sz w:val="24"/>
              </w:rPr>
            </w:pPr>
          </w:p>
          <w:p w14:paraId="8D000000">
            <w:pPr>
              <w:spacing w:after="0" w:line="240" w:lineRule="auto"/>
              <w:ind/>
              <w:jc w:val="both"/>
              <w:rPr>
                <w:rFonts w:ascii="Times New Roman" w:hAnsi="Times New Roman"/>
                <w:sz w:val="24"/>
              </w:rPr>
            </w:pPr>
          </w:p>
          <w:p w14:paraId="8E000000">
            <w:pPr>
              <w:spacing w:after="0" w:line="240" w:lineRule="auto"/>
              <w:ind/>
              <w:jc w:val="both"/>
              <w:rPr>
                <w:rFonts w:ascii="Times New Roman" w:hAnsi="Times New Roman"/>
                <w:sz w:val="24"/>
              </w:rPr>
            </w:pPr>
          </w:p>
          <w:p w14:paraId="8F000000">
            <w:pPr>
              <w:spacing w:after="0" w:line="240" w:lineRule="auto"/>
              <w:ind/>
              <w:jc w:val="both"/>
              <w:rPr>
                <w:rFonts w:ascii="Times New Roman" w:hAnsi="Times New Roman"/>
                <w:sz w:val="24"/>
              </w:rPr>
            </w:pPr>
          </w:p>
          <w:p w14:paraId="90000000">
            <w:pPr>
              <w:spacing w:after="0" w:line="240" w:lineRule="auto"/>
              <w:ind/>
              <w:jc w:val="both"/>
              <w:rPr>
                <w:rFonts w:ascii="Times New Roman" w:hAnsi="Times New Roman"/>
                <w:sz w:val="24"/>
              </w:rPr>
            </w:pPr>
          </w:p>
        </w:tc>
        <w:tc>
          <w:tcPr>
            <w:tcW w:type="dxa" w:w="4819"/>
            <w:tcBorders>
              <w:top w:sz="4" w:val="nil"/>
              <w:left w:sz="4" w:val="nil"/>
              <w:bottom w:sz="4" w:val="nil"/>
              <w:right w:sz="4" w:val="nil"/>
            </w:tcBorders>
            <w:shd w:fill="auto" w:val="clear"/>
            <w:tcMar>
              <w:left w:type="dxa" w:w="133"/>
            </w:tcMar>
          </w:tcPr>
          <w:p w14:paraId="91000000">
            <w:pPr>
              <w:spacing w:after="0" w:line="240" w:lineRule="auto"/>
              <w:ind/>
              <w:rPr>
                <w:rFonts w:ascii="Times New Roman" w:hAnsi="Times New Roman"/>
                <w:b w:val="1"/>
                <w:sz w:val="24"/>
              </w:rPr>
            </w:pPr>
            <w:r>
              <w:rPr>
                <w:rFonts w:ascii="Times New Roman" w:hAnsi="Times New Roman"/>
                <w:b w:val="1"/>
                <w:sz w:val="24"/>
              </w:rPr>
              <w:t>ПОСТАВЩИК</w:t>
            </w:r>
          </w:p>
          <w:p w14:paraId="92000000">
            <w:pPr>
              <w:spacing w:after="0" w:line="240" w:lineRule="auto"/>
              <w:ind/>
              <w:rPr>
                <w:rFonts w:ascii="Times New Roman" w:hAnsi="Times New Roman"/>
                <w:sz w:val="24"/>
              </w:rPr>
            </w:pPr>
          </w:p>
          <w:p w14:paraId="93000000">
            <w:pPr>
              <w:spacing w:after="0" w:line="240" w:lineRule="auto"/>
              <w:ind/>
              <w:rPr>
                <w:rFonts w:ascii="Times New Roman" w:hAnsi="Times New Roman"/>
                <w:sz w:val="24"/>
              </w:rPr>
            </w:pPr>
          </w:p>
          <w:p w14:paraId="94000000">
            <w:pPr>
              <w:spacing w:after="0" w:line="240" w:lineRule="auto"/>
              <w:ind/>
              <w:rPr>
                <w:rFonts w:ascii="Times New Roman" w:hAnsi="Times New Roman"/>
                <w:sz w:val="24"/>
              </w:rPr>
            </w:pPr>
          </w:p>
          <w:p w14:paraId="95000000">
            <w:pPr>
              <w:spacing w:after="0" w:line="240" w:lineRule="auto"/>
              <w:ind/>
              <w:rPr>
                <w:rFonts w:ascii="Times New Roman" w:hAnsi="Times New Roman"/>
                <w:sz w:val="24"/>
              </w:rPr>
            </w:pPr>
          </w:p>
          <w:p w14:paraId="96000000">
            <w:pPr>
              <w:spacing w:after="0" w:line="240" w:lineRule="auto"/>
              <w:ind/>
              <w:rPr>
                <w:rFonts w:ascii="Times New Roman" w:hAnsi="Times New Roman"/>
                <w:sz w:val="24"/>
              </w:rPr>
            </w:pPr>
          </w:p>
          <w:p w14:paraId="97000000">
            <w:pPr>
              <w:spacing w:after="0" w:line="240" w:lineRule="auto"/>
              <w:ind/>
              <w:rPr>
                <w:rFonts w:ascii="Times New Roman" w:hAnsi="Times New Roman"/>
                <w:sz w:val="24"/>
              </w:rPr>
            </w:pPr>
          </w:p>
          <w:p w14:paraId="98000000">
            <w:pPr>
              <w:spacing w:after="0" w:line="240" w:lineRule="auto"/>
              <w:ind/>
              <w:rPr>
                <w:rFonts w:ascii="Times New Roman" w:hAnsi="Times New Roman"/>
                <w:sz w:val="24"/>
              </w:rPr>
            </w:pPr>
          </w:p>
          <w:p w14:paraId="99000000">
            <w:pPr>
              <w:spacing w:after="0" w:line="240" w:lineRule="auto"/>
              <w:ind/>
              <w:rPr>
                <w:rFonts w:ascii="Times New Roman" w:hAnsi="Times New Roman"/>
                <w:sz w:val="24"/>
              </w:rPr>
            </w:pPr>
          </w:p>
          <w:p w14:paraId="9A000000">
            <w:pPr>
              <w:spacing w:after="0" w:line="240" w:lineRule="auto"/>
              <w:ind/>
              <w:rPr>
                <w:rFonts w:ascii="Times New Roman" w:hAnsi="Times New Roman"/>
                <w:sz w:val="24"/>
              </w:rPr>
            </w:pPr>
          </w:p>
          <w:p w14:paraId="9B000000">
            <w:pPr>
              <w:spacing w:after="0" w:line="240" w:lineRule="auto"/>
              <w:ind/>
              <w:rPr>
                <w:rFonts w:ascii="Times New Roman" w:hAnsi="Times New Roman"/>
                <w:sz w:val="24"/>
              </w:rPr>
            </w:pPr>
          </w:p>
          <w:p w14:paraId="9C000000">
            <w:pPr>
              <w:spacing w:after="0" w:line="240" w:lineRule="auto"/>
              <w:ind/>
              <w:rPr>
                <w:rFonts w:ascii="Times New Roman" w:hAnsi="Times New Roman"/>
                <w:sz w:val="24"/>
              </w:rPr>
            </w:pPr>
          </w:p>
          <w:p w14:paraId="9D000000">
            <w:pPr>
              <w:spacing w:after="0" w:line="240" w:lineRule="auto"/>
              <w:ind/>
              <w:rPr>
                <w:rFonts w:ascii="Times New Roman" w:hAnsi="Times New Roman"/>
                <w:sz w:val="24"/>
              </w:rPr>
            </w:pPr>
          </w:p>
          <w:p w14:paraId="9E000000">
            <w:pPr>
              <w:spacing w:after="0" w:line="240" w:lineRule="auto"/>
              <w:ind/>
              <w:rPr>
                <w:rFonts w:ascii="Times New Roman" w:hAnsi="Times New Roman"/>
                <w:sz w:val="24"/>
              </w:rPr>
            </w:pPr>
          </w:p>
          <w:p w14:paraId="9F000000">
            <w:pPr>
              <w:spacing w:after="0" w:line="240" w:lineRule="auto"/>
              <w:ind/>
              <w:rPr>
                <w:rFonts w:ascii="Times New Roman" w:hAnsi="Times New Roman"/>
                <w:sz w:val="24"/>
              </w:rPr>
            </w:pPr>
          </w:p>
          <w:p w14:paraId="A0000000">
            <w:pPr>
              <w:spacing w:after="0" w:line="240" w:lineRule="auto"/>
              <w:ind/>
              <w:rPr>
                <w:rFonts w:ascii="Times New Roman" w:hAnsi="Times New Roman"/>
                <w:sz w:val="24"/>
              </w:rPr>
            </w:pPr>
          </w:p>
          <w:p w14:paraId="A1000000">
            <w:pPr>
              <w:spacing w:after="0" w:line="240" w:lineRule="auto"/>
              <w:ind/>
              <w:rPr>
                <w:rFonts w:ascii="Times New Roman" w:hAnsi="Times New Roman"/>
                <w:sz w:val="24"/>
              </w:rPr>
            </w:pPr>
          </w:p>
          <w:p w14:paraId="A2000000">
            <w:pPr>
              <w:spacing w:after="0" w:line="240" w:lineRule="auto"/>
              <w:ind/>
              <w:rPr>
                <w:rFonts w:ascii="Times New Roman" w:hAnsi="Times New Roman"/>
                <w:sz w:val="24"/>
              </w:rPr>
            </w:pPr>
          </w:p>
          <w:p w14:paraId="A3000000">
            <w:pPr>
              <w:spacing w:after="0" w:line="240" w:lineRule="auto"/>
              <w:ind/>
              <w:rPr>
                <w:rFonts w:ascii="Times New Roman" w:hAnsi="Times New Roman"/>
                <w:sz w:val="24"/>
              </w:rPr>
            </w:pPr>
          </w:p>
          <w:p w14:paraId="A4000000">
            <w:pPr>
              <w:spacing w:after="0" w:line="240" w:lineRule="auto"/>
              <w:ind/>
              <w:rPr>
                <w:rFonts w:ascii="Times New Roman" w:hAnsi="Times New Roman"/>
                <w:sz w:val="24"/>
              </w:rPr>
            </w:pPr>
          </w:p>
          <w:p w14:paraId="A5000000">
            <w:pPr>
              <w:spacing w:after="0" w:line="240" w:lineRule="auto"/>
              <w:ind/>
              <w:rPr>
                <w:rFonts w:ascii="Times New Roman" w:hAnsi="Times New Roman"/>
                <w:sz w:val="24"/>
              </w:rPr>
            </w:pPr>
          </w:p>
          <w:p w14:paraId="A6000000">
            <w:pPr>
              <w:spacing w:after="0" w:line="240" w:lineRule="auto"/>
              <w:ind/>
              <w:rPr>
                <w:rFonts w:ascii="Times New Roman" w:hAnsi="Times New Roman"/>
                <w:sz w:val="24"/>
              </w:rPr>
            </w:pPr>
          </w:p>
          <w:p w14:paraId="A7000000">
            <w:pPr>
              <w:spacing w:after="0" w:line="240" w:lineRule="auto"/>
              <w:ind/>
              <w:rPr>
                <w:rFonts w:ascii="Times New Roman" w:hAnsi="Times New Roman"/>
                <w:sz w:val="24"/>
              </w:rPr>
            </w:pPr>
          </w:p>
          <w:p w14:paraId="A8000000">
            <w:pPr>
              <w:spacing w:after="0" w:line="240" w:lineRule="auto"/>
              <w:ind/>
              <w:rPr>
                <w:rFonts w:ascii="Times New Roman" w:hAnsi="Times New Roman"/>
                <w:sz w:val="24"/>
              </w:rPr>
            </w:pPr>
          </w:p>
          <w:p w14:paraId="A9000000">
            <w:pPr>
              <w:spacing w:after="0" w:line="240" w:lineRule="auto"/>
              <w:ind/>
              <w:rPr>
                <w:rFonts w:ascii="Times New Roman" w:hAnsi="Times New Roman"/>
                <w:sz w:val="24"/>
              </w:rPr>
            </w:pPr>
          </w:p>
          <w:p w14:paraId="AA000000">
            <w:pPr>
              <w:spacing w:after="0" w:line="240" w:lineRule="auto"/>
              <w:ind/>
              <w:rPr>
                <w:rFonts w:ascii="Times New Roman" w:hAnsi="Times New Roman"/>
                <w:sz w:val="24"/>
              </w:rPr>
            </w:pPr>
            <w:r>
              <w:rPr>
                <w:rFonts w:ascii="Times New Roman" w:hAnsi="Times New Roman"/>
                <w:sz w:val="24"/>
              </w:rPr>
              <w:t xml:space="preserve">_____________/ </w:t>
            </w:r>
            <w:r>
              <w:rPr>
                <w:rFonts w:ascii="Times New Roman" w:hAnsi="Times New Roman"/>
                <w:sz w:val="24"/>
              </w:rPr>
              <w:t xml:space="preserve">                                 </w:t>
            </w:r>
            <w:r>
              <w:rPr>
                <w:rFonts w:ascii="Times New Roman" w:hAnsi="Times New Roman"/>
                <w:sz w:val="24"/>
              </w:rPr>
              <w:t>/</w:t>
            </w:r>
          </w:p>
          <w:p w14:paraId="AB000000">
            <w:pPr>
              <w:spacing w:after="0" w:line="240" w:lineRule="auto"/>
              <w:ind/>
              <w:rPr>
                <w:rFonts w:ascii="Times New Roman" w:hAnsi="Times New Roman"/>
                <w:sz w:val="20"/>
              </w:rPr>
            </w:pPr>
          </w:p>
          <w:p w14:paraId="AC000000">
            <w:pPr>
              <w:spacing w:after="0" w:line="240" w:lineRule="auto"/>
              <w:ind/>
              <w:rPr>
                <w:rFonts w:ascii="Times New Roman" w:hAnsi="Times New Roman"/>
                <w:sz w:val="20"/>
              </w:rPr>
            </w:pPr>
            <w:r>
              <w:rPr>
                <w:rFonts w:ascii="Times New Roman" w:hAnsi="Times New Roman"/>
                <w:sz w:val="20"/>
              </w:rPr>
              <w:t>ЭЦП</w:t>
            </w:r>
          </w:p>
          <w:p w14:paraId="AD000000">
            <w:pPr>
              <w:spacing w:after="0" w:line="240" w:lineRule="auto"/>
              <w:ind/>
              <w:rPr>
                <w:rFonts w:ascii="Times New Roman" w:hAnsi="Times New Roman"/>
                <w:sz w:val="24"/>
              </w:rPr>
            </w:pPr>
          </w:p>
          <w:p w14:paraId="AE000000">
            <w:pPr>
              <w:spacing w:after="0" w:line="240" w:lineRule="auto"/>
              <w:ind/>
              <w:rPr>
                <w:rFonts w:ascii="Times New Roman" w:hAnsi="Times New Roman"/>
                <w:sz w:val="24"/>
              </w:rPr>
            </w:pPr>
          </w:p>
          <w:p w14:paraId="AF000000">
            <w:pPr>
              <w:spacing w:after="0" w:line="240" w:lineRule="auto"/>
              <w:ind/>
              <w:rPr>
                <w:rFonts w:ascii="Times New Roman" w:hAnsi="Times New Roman"/>
                <w:sz w:val="24"/>
              </w:rPr>
            </w:pPr>
          </w:p>
          <w:p w14:paraId="B0000000">
            <w:pPr>
              <w:spacing w:after="0" w:line="240" w:lineRule="auto"/>
              <w:ind/>
              <w:rPr>
                <w:rFonts w:ascii="Times New Roman" w:hAnsi="Times New Roman"/>
                <w:sz w:val="24"/>
              </w:rPr>
            </w:pPr>
          </w:p>
          <w:p w14:paraId="B1000000">
            <w:pPr>
              <w:spacing w:after="0" w:line="240" w:lineRule="auto"/>
              <w:ind/>
              <w:rPr>
                <w:rFonts w:ascii="Times New Roman" w:hAnsi="Times New Roman"/>
                <w:sz w:val="24"/>
              </w:rPr>
            </w:pPr>
          </w:p>
          <w:p w14:paraId="B2000000">
            <w:pPr>
              <w:spacing w:after="0" w:line="240" w:lineRule="auto"/>
              <w:ind/>
              <w:rPr>
                <w:rFonts w:ascii="Times New Roman" w:hAnsi="Times New Roman"/>
                <w:sz w:val="24"/>
              </w:rPr>
            </w:pPr>
          </w:p>
          <w:p w14:paraId="B3000000">
            <w:pPr>
              <w:spacing w:after="0" w:line="240" w:lineRule="auto"/>
              <w:ind/>
              <w:rPr>
                <w:rFonts w:ascii="Times New Roman" w:hAnsi="Times New Roman"/>
                <w:sz w:val="24"/>
              </w:rPr>
            </w:pPr>
          </w:p>
          <w:p w14:paraId="B4000000">
            <w:pPr>
              <w:spacing w:after="0" w:line="240" w:lineRule="auto"/>
              <w:ind/>
              <w:rPr>
                <w:rFonts w:ascii="Times New Roman" w:hAnsi="Times New Roman"/>
                <w:sz w:val="24"/>
              </w:rPr>
            </w:pPr>
          </w:p>
          <w:p w14:paraId="B5000000">
            <w:pPr>
              <w:spacing w:after="0" w:line="240" w:lineRule="auto"/>
              <w:ind/>
              <w:rPr>
                <w:rFonts w:ascii="Times New Roman" w:hAnsi="Times New Roman"/>
                <w:sz w:val="24"/>
              </w:rPr>
            </w:pPr>
          </w:p>
          <w:p w14:paraId="B6000000">
            <w:pPr>
              <w:spacing w:after="0" w:line="240" w:lineRule="auto"/>
              <w:ind/>
              <w:rPr>
                <w:rFonts w:ascii="Times New Roman" w:hAnsi="Times New Roman"/>
                <w:sz w:val="24"/>
              </w:rPr>
            </w:pPr>
          </w:p>
          <w:p w14:paraId="B7000000">
            <w:pPr>
              <w:spacing w:after="0" w:line="240" w:lineRule="auto"/>
              <w:ind/>
              <w:rPr>
                <w:rFonts w:ascii="Times New Roman" w:hAnsi="Times New Roman"/>
                <w:sz w:val="24"/>
              </w:rPr>
            </w:pPr>
          </w:p>
          <w:p w14:paraId="B8000000">
            <w:pPr>
              <w:spacing w:after="0" w:line="240" w:lineRule="auto"/>
              <w:ind/>
              <w:rPr>
                <w:rFonts w:ascii="Times New Roman" w:hAnsi="Times New Roman"/>
                <w:sz w:val="24"/>
              </w:rPr>
            </w:pPr>
          </w:p>
          <w:p w14:paraId="B9000000">
            <w:pPr>
              <w:spacing w:after="0" w:line="240" w:lineRule="auto"/>
              <w:ind/>
              <w:rPr>
                <w:rFonts w:ascii="Times New Roman" w:hAnsi="Times New Roman"/>
                <w:sz w:val="24"/>
              </w:rPr>
            </w:pPr>
          </w:p>
          <w:p w14:paraId="BA000000">
            <w:pPr>
              <w:spacing w:after="0" w:line="240" w:lineRule="auto"/>
              <w:ind/>
              <w:rPr>
                <w:rFonts w:ascii="Times New Roman" w:hAnsi="Times New Roman"/>
                <w:sz w:val="24"/>
              </w:rPr>
            </w:pPr>
          </w:p>
          <w:p w14:paraId="BB000000">
            <w:pPr>
              <w:spacing w:after="0" w:line="240" w:lineRule="auto"/>
              <w:ind/>
              <w:rPr>
                <w:rFonts w:ascii="Times New Roman" w:hAnsi="Times New Roman"/>
                <w:sz w:val="24"/>
              </w:rPr>
            </w:pPr>
          </w:p>
          <w:p w14:paraId="BC000000">
            <w:pPr>
              <w:spacing w:after="0" w:line="240" w:lineRule="auto"/>
              <w:ind/>
              <w:rPr>
                <w:rFonts w:ascii="Times New Roman" w:hAnsi="Times New Roman"/>
                <w:sz w:val="24"/>
              </w:rPr>
            </w:pPr>
          </w:p>
          <w:p w14:paraId="BD000000">
            <w:pPr>
              <w:spacing w:after="0" w:line="240" w:lineRule="auto"/>
              <w:ind/>
              <w:rPr>
                <w:rFonts w:ascii="Times New Roman" w:hAnsi="Times New Roman"/>
                <w:sz w:val="24"/>
              </w:rPr>
            </w:pPr>
          </w:p>
          <w:p w14:paraId="BE000000">
            <w:pPr>
              <w:spacing w:after="0" w:line="240" w:lineRule="auto"/>
              <w:ind/>
              <w:rPr>
                <w:rFonts w:ascii="Times New Roman" w:hAnsi="Times New Roman"/>
                <w:sz w:val="24"/>
              </w:rPr>
            </w:pPr>
          </w:p>
          <w:p w14:paraId="BF000000">
            <w:pPr>
              <w:spacing w:after="0" w:line="240" w:lineRule="auto"/>
              <w:ind/>
              <w:rPr>
                <w:rFonts w:ascii="Times New Roman" w:hAnsi="Times New Roman"/>
                <w:sz w:val="24"/>
              </w:rPr>
            </w:pPr>
          </w:p>
        </w:tc>
      </w:tr>
    </w:tbl>
    <w:p w14:paraId="C0000000">
      <w:pPr>
        <w:sectPr>
          <w:pgSz w:h="16838" w:orient="portrait" w:w="11906"/>
          <w:pgMar w:bottom="1134" w:footer="0" w:gutter="0" w:header="0" w:left="1134" w:right="851" w:top="1134"/>
        </w:sectPr>
      </w:pPr>
    </w:p>
    <w:p w14:paraId="C1000000">
      <w:pPr>
        <w:spacing w:after="0" w:line="240" w:lineRule="auto"/>
        <w:ind/>
        <w:jc w:val="right"/>
        <w:rPr>
          <w:rFonts w:ascii="Times New Roman" w:hAnsi="Times New Roman"/>
          <w:sz w:val="24"/>
        </w:rPr>
      </w:pPr>
      <w:r>
        <w:rPr>
          <w:rFonts w:ascii="Times New Roman" w:hAnsi="Times New Roman"/>
          <w:sz w:val="24"/>
        </w:rPr>
        <w:t>Приложение № 1</w:t>
      </w:r>
    </w:p>
    <w:p w14:paraId="C2000000">
      <w:pPr>
        <w:pStyle w:val="Style_1"/>
        <w:keepNext w:val="1"/>
        <w:keepLines w:val="1"/>
        <w:spacing w:after="0"/>
        <w:ind w:firstLine="284" w:left="-284" w:right="-1"/>
        <w:jc w:val="right"/>
      </w:pPr>
      <w:r>
        <w:rPr>
          <w:b w:val="0"/>
        </w:rPr>
        <w:t xml:space="preserve">                                                    </w:t>
      </w:r>
      <w:r>
        <w:rPr>
          <w:b w:val="0"/>
        </w:rPr>
        <w:t xml:space="preserve">                            </w:t>
      </w:r>
      <w:r>
        <w:rPr>
          <w:b w:val="0"/>
        </w:rPr>
        <w:t>к Контракту</w:t>
      </w:r>
      <w:r>
        <w:rPr>
          <w:b w:val="0"/>
        </w:rPr>
        <w:t xml:space="preserve"> №</w:t>
      </w:r>
      <w:r>
        <w:rPr>
          <w:b w:val="0"/>
        </w:rPr>
        <w:t xml:space="preserve"> 25</w:t>
      </w:r>
    </w:p>
    <w:p w14:paraId="C3000000">
      <w:pPr>
        <w:spacing w:after="0" w:line="240" w:lineRule="auto"/>
        <w:ind/>
        <w:jc w:val="right"/>
        <w:rPr>
          <w:rFonts w:ascii="Times New Roman" w:hAnsi="Times New Roman"/>
          <w:sz w:val="24"/>
        </w:rPr>
      </w:pPr>
      <w:r>
        <w:rPr>
          <w:rFonts w:ascii="Times New Roman" w:hAnsi="Times New Roman"/>
          <w:sz w:val="24"/>
        </w:rPr>
        <w:t xml:space="preserve">от </w:t>
      </w:r>
      <w:r>
        <w:rPr>
          <w:rFonts w:ascii="Times New Roman" w:hAnsi="Times New Roman"/>
          <w:sz w:val="24"/>
        </w:rPr>
        <w:t>«</w:t>
      </w:r>
      <w:r>
        <w:rPr>
          <w:rFonts w:ascii="Times New Roman" w:hAnsi="Times New Roman"/>
          <w:sz w:val="24"/>
        </w:rPr>
        <w:t xml:space="preserve">    </w:t>
      </w:r>
      <w:r>
        <w:rPr>
          <w:rFonts w:ascii="Times New Roman" w:hAnsi="Times New Roman"/>
          <w:sz w:val="24"/>
        </w:rPr>
        <w:t>»</w:t>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_________</w:t>
      </w:r>
      <w:r>
        <w:rPr>
          <w:rFonts w:ascii="Times New Roman" w:hAnsi="Times New Roman"/>
          <w:sz w:val="24"/>
        </w:rPr>
        <w:t xml:space="preserve"> </w:t>
      </w:r>
      <w:r>
        <w:rPr>
          <w:rFonts w:ascii="Times New Roman" w:hAnsi="Times New Roman"/>
          <w:sz w:val="24"/>
        </w:rPr>
        <w:t>202</w:t>
      </w:r>
      <w:r>
        <w:rPr>
          <w:rFonts w:ascii="Times New Roman" w:hAnsi="Times New Roman"/>
          <w:sz w:val="24"/>
        </w:rPr>
        <w:t>6</w:t>
      </w:r>
      <w:r>
        <w:rPr>
          <w:rFonts w:ascii="Times New Roman" w:hAnsi="Times New Roman"/>
          <w:sz w:val="24"/>
        </w:rPr>
        <w:t xml:space="preserve"> г.</w:t>
      </w:r>
    </w:p>
    <w:p w14:paraId="C4000000">
      <w:pPr>
        <w:ind/>
        <w:jc w:val="right"/>
        <w:rPr>
          <w:rFonts w:ascii="Times New Roman" w:hAnsi="Times New Roman"/>
          <w:b w:val="1"/>
          <w:sz w:val="24"/>
        </w:rPr>
      </w:pPr>
    </w:p>
    <w:p w14:paraId="C5000000">
      <w:pPr>
        <w:ind/>
        <w:jc w:val="center"/>
        <w:rPr>
          <w:rFonts w:ascii="Times New Roman" w:hAnsi="Times New Roman"/>
          <w:b w:val="1"/>
          <w:sz w:val="24"/>
        </w:rPr>
      </w:pPr>
      <w:r>
        <w:rPr>
          <w:rFonts w:ascii="Times New Roman" w:hAnsi="Times New Roman"/>
          <w:b w:val="1"/>
          <w:sz w:val="24"/>
        </w:rPr>
        <w:t xml:space="preserve">Спецификация </w:t>
      </w:r>
      <w:r>
        <w:rPr>
          <w:rFonts w:ascii="Times New Roman" w:hAnsi="Times New Roman"/>
          <w:b w:val="1"/>
          <w:sz w:val="24"/>
        </w:rPr>
        <w:t xml:space="preserve">и стоимость </w:t>
      </w:r>
      <w:r>
        <w:rPr>
          <w:rFonts w:ascii="Times New Roman" w:hAnsi="Times New Roman"/>
          <w:b w:val="1"/>
          <w:sz w:val="24"/>
        </w:rPr>
        <w:t>товар</w:t>
      </w:r>
      <w:r>
        <w:rPr>
          <w:rFonts w:ascii="Times New Roman" w:hAnsi="Times New Roman"/>
          <w:b w:val="1"/>
          <w:sz w:val="24"/>
        </w:rPr>
        <w:t>а</w:t>
      </w:r>
    </w:p>
    <w:tbl>
      <w:tblPr>
        <w:tblStyle w:val="Style_9"/>
        <w:tblW w:type="auto" w:w="0"/>
        <w:tblInd w:type="dxa" w:w="250"/>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424"/>
        <w:gridCol w:w="2128"/>
        <w:gridCol w:w="708"/>
        <w:gridCol w:w="567"/>
        <w:gridCol w:w="3711"/>
        <w:gridCol w:w="960"/>
        <w:gridCol w:w="1262"/>
      </w:tblGrid>
      <w:tr>
        <w:trPr>
          <w:trHeight w:hRule="atLeast" w:val="120"/>
        </w:trPr>
        <w:tc>
          <w:tcPr>
            <w:tcW w:type="dxa" w:w="424"/>
            <w:tcBorders>
              <w:top w:color="000000" w:sz="4" w:val="single"/>
              <w:left w:color="000000" w:sz="4" w:val="single"/>
              <w:bottom w:color="000000" w:sz="4" w:val="single"/>
              <w:right w:color="000000" w:sz="4" w:val="single"/>
            </w:tcBorders>
            <w:shd w:fill="auto" w:val="clear"/>
          </w:tcPr>
          <w:p w14:paraId="C6000000">
            <w:pPr>
              <w:widowControl w:val="0"/>
              <w:ind/>
              <w:jc w:val="center"/>
              <w:rPr>
                <w:rFonts w:ascii="Times New Roman" w:hAnsi="Times New Roman"/>
                <w:sz w:val="20"/>
              </w:rPr>
            </w:pPr>
            <w:r>
              <w:rPr>
                <w:rFonts w:ascii="Times New Roman" w:hAnsi="Times New Roman"/>
                <w:sz w:val="20"/>
              </w:rPr>
              <w:t xml:space="preserve">№ </w:t>
            </w:r>
          </w:p>
        </w:tc>
        <w:tc>
          <w:tcPr>
            <w:tcW w:type="dxa" w:w="2128"/>
            <w:tcBorders>
              <w:top w:color="000000" w:sz="4" w:val="single"/>
              <w:left w:color="000000" w:sz="4" w:val="single"/>
              <w:bottom w:color="000000" w:sz="4" w:val="single"/>
              <w:right w:color="000000" w:sz="4" w:val="single"/>
            </w:tcBorders>
            <w:shd w:fill="auto" w:val="clear"/>
          </w:tcPr>
          <w:p w14:paraId="C7000000">
            <w:pPr>
              <w:widowControl w:val="0"/>
              <w:ind/>
              <w:jc w:val="center"/>
              <w:rPr>
                <w:rFonts w:ascii="Times New Roman" w:hAnsi="Times New Roman"/>
                <w:sz w:val="20"/>
              </w:rPr>
            </w:pPr>
            <w:r>
              <w:rPr>
                <w:rFonts w:ascii="Times New Roman" w:hAnsi="Times New Roman"/>
                <w:sz w:val="20"/>
              </w:rPr>
              <w:t xml:space="preserve">Наименование </w:t>
            </w:r>
          </w:p>
        </w:tc>
        <w:tc>
          <w:tcPr>
            <w:tcW w:type="dxa" w:w="708"/>
            <w:tcBorders>
              <w:top w:color="000000" w:sz="4" w:val="single"/>
              <w:left w:color="000000" w:sz="4" w:val="single"/>
              <w:bottom w:color="000000" w:sz="4" w:val="single"/>
              <w:right w:color="000000" w:sz="4" w:val="single"/>
            </w:tcBorders>
            <w:shd w:fill="auto" w:val="clear"/>
          </w:tcPr>
          <w:p w14:paraId="C8000000">
            <w:pPr>
              <w:widowControl w:val="0"/>
              <w:ind/>
              <w:jc w:val="center"/>
              <w:rPr>
                <w:rFonts w:ascii="Times New Roman" w:hAnsi="Times New Roman"/>
                <w:sz w:val="20"/>
              </w:rPr>
            </w:pPr>
            <w:r>
              <w:rPr>
                <w:rFonts w:ascii="Times New Roman" w:hAnsi="Times New Roman"/>
                <w:sz w:val="20"/>
              </w:rPr>
              <w:t>Кол-во</w:t>
            </w:r>
          </w:p>
        </w:tc>
        <w:tc>
          <w:tcPr>
            <w:tcW w:type="dxa" w:w="567"/>
            <w:tcBorders>
              <w:top w:color="000000" w:sz="4" w:val="single"/>
              <w:left w:color="000000" w:sz="4" w:val="single"/>
              <w:bottom w:color="000000" w:sz="4" w:val="single"/>
              <w:right w:color="000000" w:sz="4" w:val="single"/>
            </w:tcBorders>
            <w:shd w:fill="auto" w:val="clear"/>
          </w:tcPr>
          <w:p w14:paraId="C9000000">
            <w:pPr>
              <w:widowControl w:val="0"/>
              <w:ind/>
              <w:jc w:val="center"/>
              <w:rPr>
                <w:rFonts w:ascii="Times New Roman" w:hAnsi="Times New Roman"/>
                <w:sz w:val="20"/>
              </w:rPr>
            </w:pPr>
            <w:r>
              <w:rPr>
                <w:rFonts w:ascii="Times New Roman" w:hAnsi="Times New Roman"/>
                <w:sz w:val="20"/>
              </w:rPr>
              <w:t>Ед. изм</w:t>
            </w:r>
          </w:p>
        </w:tc>
        <w:tc>
          <w:tcPr>
            <w:tcW w:type="dxa" w:w="3711"/>
            <w:tcBorders>
              <w:top w:color="000000" w:sz="4" w:val="single"/>
              <w:left w:color="000000" w:sz="4" w:val="single"/>
              <w:bottom w:color="000000" w:sz="4" w:val="single"/>
              <w:right w:color="000000" w:sz="4" w:val="single"/>
            </w:tcBorders>
          </w:tcPr>
          <w:p w14:paraId="CA000000">
            <w:pPr>
              <w:widowControl w:val="0"/>
              <w:ind/>
              <w:jc w:val="center"/>
              <w:rPr>
                <w:rFonts w:ascii="Times New Roman" w:hAnsi="Times New Roman"/>
                <w:sz w:val="20"/>
              </w:rPr>
            </w:pPr>
            <w:r>
              <w:rPr>
                <w:rFonts w:ascii="Times New Roman" w:hAnsi="Times New Roman"/>
                <w:sz w:val="20"/>
              </w:rPr>
              <w:t>Характеристики товара</w:t>
            </w:r>
          </w:p>
        </w:tc>
        <w:tc>
          <w:tcPr>
            <w:tcW w:type="dxa" w:w="960"/>
            <w:tcBorders>
              <w:top w:color="000000" w:sz="4" w:val="single"/>
              <w:left w:color="000000" w:sz="4" w:val="single"/>
              <w:bottom w:color="000000" w:sz="4" w:val="single"/>
              <w:right w:color="000000" w:sz="4" w:val="single"/>
            </w:tcBorders>
            <w:shd w:fill="auto" w:val="clear"/>
          </w:tcPr>
          <w:p w14:paraId="CB000000">
            <w:pPr>
              <w:widowControl w:val="0"/>
              <w:ind/>
              <w:jc w:val="center"/>
              <w:rPr>
                <w:rFonts w:ascii="Times New Roman" w:hAnsi="Times New Roman"/>
                <w:sz w:val="20"/>
              </w:rPr>
            </w:pPr>
            <w:r>
              <w:rPr>
                <w:rFonts w:ascii="Times New Roman" w:hAnsi="Times New Roman"/>
                <w:sz w:val="20"/>
              </w:rPr>
              <w:t xml:space="preserve">Цена, </w:t>
            </w:r>
            <w:r>
              <w:rPr>
                <w:rFonts w:ascii="Times New Roman" w:hAnsi="Times New Roman"/>
                <w:sz w:val="20"/>
              </w:rPr>
              <w:t xml:space="preserve">за единицу </w:t>
            </w:r>
            <w:r>
              <w:rPr>
                <w:rFonts w:ascii="Times New Roman" w:hAnsi="Times New Roman"/>
                <w:sz w:val="20"/>
              </w:rPr>
              <w:t>руб.</w:t>
            </w:r>
          </w:p>
        </w:tc>
        <w:tc>
          <w:tcPr>
            <w:tcW w:type="dxa" w:w="1262"/>
            <w:tcBorders>
              <w:top w:color="000000" w:sz="4" w:val="single"/>
              <w:left w:color="000000" w:sz="4" w:val="single"/>
              <w:bottom w:color="000000" w:sz="4" w:val="single"/>
              <w:right w:color="000000" w:sz="4" w:val="single"/>
            </w:tcBorders>
            <w:shd w:fill="auto" w:val="clear"/>
          </w:tcPr>
          <w:p w14:paraId="CC000000">
            <w:pPr>
              <w:widowControl w:val="0"/>
              <w:ind/>
              <w:jc w:val="center"/>
              <w:rPr>
                <w:rFonts w:ascii="Times New Roman" w:hAnsi="Times New Roman"/>
                <w:sz w:val="20"/>
              </w:rPr>
            </w:pPr>
            <w:r>
              <w:rPr>
                <w:rFonts w:ascii="Times New Roman" w:hAnsi="Times New Roman"/>
                <w:sz w:val="20"/>
              </w:rPr>
              <w:t>Стоимость</w:t>
            </w:r>
            <w:r>
              <w:rPr>
                <w:rFonts w:ascii="Times New Roman" w:hAnsi="Times New Roman"/>
                <w:sz w:val="20"/>
              </w:rPr>
              <w:t>, руб.</w:t>
            </w:r>
          </w:p>
        </w:tc>
      </w:tr>
      <w:tr>
        <w:trPr>
          <w:trHeight w:hRule="atLeast" w:val="1229"/>
        </w:trPr>
        <w:tc>
          <w:tcPr>
            <w:tcW w:type="dxa" w:w="424"/>
            <w:tcBorders>
              <w:top w:color="000000" w:sz="4" w:val="single"/>
              <w:left w:color="000000" w:sz="4" w:val="single"/>
              <w:bottom w:color="000000" w:sz="4" w:val="single"/>
              <w:right w:color="000000" w:sz="4" w:val="single"/>
            </w:tcBorders>
            <w:shd w:fill="auto" w:val="clear"/>
          </w:tcPr>
          <w:p w14:paraId="CD000000">
            <w:pPr>
              <w:widowControl w:val="0"/>
              <w:numPr>
                <w:ilvl w:val="0"/>
                <w:numId w:val="7"/>
              </w:numPr>
              <w:spacing w:after="0"/>
              <w:ind/>
              <w:jc w:val="center"/>
              <w:rPr>
                <w:rFonts w:ascii="Times New Roman" w:hAnsi="Times New Roman"/>
                <w:sz w:val="20"/>
              </w:rPr>
            </w:pPr>
          </w:p>
        </w:tc>
        <w:tc>
          <w:tcPr>
            <w:tcW w:type="dxa" w:w="2128"/>
            <w:tcBorders>
              <w:top w:color="000000" w:sz="4" w:val="single"/>
              <w:left w:color="000000" w:sz="4" w:val="single"/>
              <w:bottom w:color="000000" w:sz="4" w:val="single"/>
              <w:right w:color="000000" w:sz="4" w:val="single"/>
            </w:tcBorders>
            <w:shd w:fill="auto" w:val="clear"/>
          </w:tcPr>
          <w:p w14:paraId="CE000000">
            <w:pPr>
              <w:widowControl w:val="0"/>
              <w:ind/>
              <w:rPr>
                <w:rFonts w:ascii="Times New Roman" w:hAnsi="Times New Roman"/>
                <w:sz w:val="20"/>
              </w:rPr>
            </w:pPr>
          </w:p>
        </w:tc>
        <w:tc>
          <w:tcPr>
            <w:tcW w:type="dxa" w:w="708"/>
            <w:tcBorders>
              <w:top w:color="000000" w:sz="6" w:val="single"/>
              <w:left w:color="000000" w:sz="6" w:val="single"/>
              <w:bottom w:color="000000" w:sz="6" w:val="single"/>
              <w:right w:color="000000" w:sz="6" w:val="single"/>
            </w:tcBorders>
          </w:tcPr>
          <w:p w14:paraId="CF000000">
            <w:pPr>
              <w:rPr>
                <w:rFonts w:ascii="Times New Roman" w:hAnsi="Times New Roman"/>
                <w:sz w:val="20"/>
              </w:rPr>
            </w:pPr>
          </w:p>
        </w:tc>
        <w:tc>
          <w:tcPr>
            <w:tcW w:type="dxa" w:w="567"/>
            <w:tcBorders>
              <w:top w:color="000000" w:sz="6" w:val="single"/>
              <w:left w:color="000000" w:sz="6" w:val="single"/>
              <w:bottom w:color="000000" w:sz="6" w:val="single"/>
              <w:right w:color="000000" w:sz="6" w:val="single"/>
            </w:tcBorders>
          </w:tcPr>
          <w:p w14:paraId="D0000000">
            <w:pPr>
              <w:widowControl w:val="0"/>
              <w:ind/>
              <w:jc w:val="center"/>
              <w:rPr>
                <w:rFonts w:ascii="Times New Roman" w:hAnsi="Times New Roman"/>
                <w:sz w:val="20"/>
              </w:rPr>
            </w:pPr>
          </w:p>
        </w:tc>
        <w:tc>
          <w:tcPr>
            <w:tcW w:type="dxa" w:w="3711"/>
            <w:tcBorders>
              <w:top w:color="000000" w:sz="4" w:val="single"/>
              <w:left w:color="000000" w:sz="4" w:val="single"/>
              <w:bottom w:color="000000" w:sz="4" w:val="single"/>
              <w:right w:color="000000" w:sz="4" w:val="single"/>
            </w:tcBorders>
          </w:tcPr>
          <w:p w14:paraId="D1000000">
            <w:pPr>
              <w:spacing w:after="0" w:line="240" w:lineRule="auto"/>
              <w:ind/>
              <w:rPr>
                <w:rFonts w:ascii="Times New Roman" w:hAnsi="Times New Roman"/>
                <w:sz w:val="20"/>
              </w:rPr>
            </w:pPr>
          </w:p>
        </w:tc>
        <w:tc>
          <w:tcPr>
            <w:tcW w:type="dxa" w:w="960"/>
            <w:tcBorders>
              <w:top w:color="000000" w:sz="4" w:val="single"/>
              <w:left w:color="000000" w:sz="4" w:val="single"/>
              <w:bottom w:color="000000" w:sz="4" w:val="single"/>
              <w:right w:color="000000" w:sz="4" w:val="single"/>
            </w:tcBorders>
            <w:shd w:fill="auto" w:val="clear"/>
          </w:tcPr>
          <w:p w14:paraId="D2000000">
            <w:pPr>
              <w:widowControl w:val="0"/>
              <w:spacing w:after="0" w:line="240" w:lineRule="auto"/>
              <w:ind/>
              <w:contextualSpacing w:val="1"/>
              <w:rPr>
                <w:rFonts w:ascii="Times New Roman" w:hAnsi="Times New Roman"/>
                <w:sz w:val="20"/>
              </w:rPr>
            </w:pPr>
          </w:p>
        </w:tc>
        <w:tc>
          <w:tcPr>
            <w:tcW w:type="dxa" w:w="1262"/>
            <w:tcBorders>
              <w:top w:color="000000" w:sz="4" w:val="single"/>
              <w:left w:color="000000" w:sz="4" w:val="single"/>
              <w:bottom w:color="000000" w:sz="4" w:val="single"/>
              <w:right w:color="000000" w:sz="4" w:val="single"/>
            </w:tcBorders>
            <w:shd w:fill="auto" w:val="clear"/>
          </w:tcPr>
          <w:p w14:paraId="D3000000">
            <w:pPr>
              <w:widowControl w:val="0"/>
              <w:spacing w:after="0" w:line="240" w:lineRule="auto"/>
              <w:ind/>
              <w:contextualSpacing w:val="1"/>
              <w:rPr>
                <w:rFonts w:ascii="Times New Roman" w:hAnsi="Times New Roman"/>
                <w:sz w:val="20"/>
              </w:rPr>
            </w:pPr>
          </w:p>
        </w:tc>
      </w:tr>
      <w:tr>
        <w:trPr>
          <w:trHeight w:hRule="atLeast" w:val="40"/>
        </w:trPr>
        <w:tc>
          <w:tcPr>
            <w:tcW w:type="dxa" w:w="8498"/>
            <w:gridSpan w:val="6"/>
            <w:tcBorders>
              <w:top w:color="000000" w:sz="4" w:val="single"/>
              <w:left w:color="000000" w:sz="4" w:val="single"/>
              <w:bottom w:color="000000" w:sz="4" w:val="single"/>
              <w:right w:color="000000" w:sz="4" w:val="single"/>
            </w:tcBorders>
            <w:shd w:fill="auto" w:val="clear"/>
          </w:tcPr>
          <w:p w14:paraId="D4000000">
            <w:pPr>
              <w:widowControl w:val="0"/>
              <w:spacing w:after="0"/>
              <w:ind/>
              <w:contextualSpacing w:val="1"/>
              <w:rPr>
                <w:rFonts w:ascii="Times New Roman" w:hAnsi="Times New Roman"/>
                <w:sz w:val="20"/>
              </w:rPr>
            </w:pPr>
            <w:r>
              <w:rPr>
                <w:rFonts w:ascii="Times New Roman" w:hAnsi="Times New Roman"/>
                <w:sz w:val="20"/>
              </w:rPr>
              <w:t>ИТОГО</w:t>
            </w:r>
          </w:p>
        </w:tc>
        <w:tc>
          <w:tcPr>
            <w:tcW w:type="dxa" w:w="1262"/>
            <w:tcBorders>
              <w:top w:color="000000" w:sz="4" w:val="single"/>
              <w:left w:color="000000" w:sz="4" w:val="single"/>
              <w:bottom w:color="000000" w:sz="4" w:val="single"/>
              <w:right w:color="000000" w:sz="4" w:val="single"/>
            </w:tcBorders>
            <w:shd w:fill="auto" w:val="clear"/>
          </w:tcPr>
          <w:p w14:paraId="D5000000">
            <w:pPr>
              <w:widowControl w:val="0"/>
              <w:spacing w:after="0"/>
              <w:ind/>
              <w:contextualSpacing w:val="1"/>
              <w:rPr>
                <w:rFonts w:ascii="Times New Roman" w:hAnsi="Times New Roman"/>
                <w:sz w:val="20"/>
              </w:rPr>
            </w:pPr>
          </w:p>
        </w:tc>
      </w:tr>
    </w:tbl>
    <w:p w14:paraId="D6000000">
      <w:pPr>
        <w:rPr>
          <w:rFonts w:ascii="Times New Roman" w:hAnsi="Times New Roman"/>
          <w:sz w:val="24"/>
        </w:rPr>
      </w:pPr>
      <w:r>
        <w:rPr>
          <w:rFonts w:ascii="Times New Roman" w:hAnsi="Times New Roman"/>
          <w:sz w:val="24"/>
        </w:rPr>
        <w:t xml:space="preserve">  </w:t>
      </w:r>
      <w:r>
        <w:rPr>
          <w:rFonts w:ascii="Times New Roman" w:hAnsi="Times New Roman"/>
          <w:sz w:val="24"/>
        </w:rPr>
        <w:t>Общая стоимость настоящего Контракта составляет:</w:t>
      </w:r>
      <w:r>
        <w:rPr>
          <w:rFonts w:ascii="Times New Roman" w:hAnsi="Times New Roman"/>
          <w:sz w:val="20"/>
        </w:rPr>
        <w:t xml:space="preserve"> </w:t>
      </w:r>
    </w:p>
    <w:tbl>
      <w:tblPr>
        <w:tblStyle w:val="Style_9"/>
        <w:tblpPr w:bottomFromText="0" w:horzAnchor="margin" w:leftFromText="180" w:rightFromText="180" w:tblpXSpec="left" w:tblpY="335" w:topFromText="0" w:vertAnchor="text"/>
        <w:tblW w:type="auto" w:w="0"/>
        <w:tblLayout w:type="fixed"/>
        <w:tblCellMar>
          <w:left w:type="dxa" w:w="133"/>
        </w:tblCellMar>
      </w:tblPr>
      <w:tblGrid>
        <w:gridCol w:w="4671"/>
        <w:gridCol w:w="5492"/>
      </w:tblGrid>
      <w:tr>
        <w:trPr>
          <w:trHeight w:hRule="atLeast" w:val="493"/>
        </w:trPr>
        <w:tc>
          <w:tcPr>
            <w:tcW w:type="dxa" w:w="4671"/>
            <w:shd w:fill="auto" w:val="clear"/>
            <w:tcMar>
              <w:left w:type="dxa" w:w="133"/>
            </w:tcMar>
          </w:tcPr>
          <w:p w14:paraId="D7000000">
            <w:pPr>
              <w:spacing w:after="0" w:line="240" w:lineRule="auto"/>
              <w:ind/>
              <w:rPr>
                <w:rFonts w:ascii="Times New Roman" w:hAnsi="Times New Roman"/>
                <w:b w:val="1"/>
                <w:sz w:val="24"/>
              </w:rPr>
            </w:pPr>
            <w:r>
              <w:rPr>
                <w:rFonts w:ascii="Times New Roman" w:hAnsi="Times New Roman"/>
                <w:b w:val="1"/>
                <w:sz w:val="24"/>
              </w:rPr>
              <w:t>ЗАКАЗЧИК</w:t>
            </w:r>
          </w:p>
          <w:p w14:paraId="D8000000">
            <w:pPr>
              <w:spacing w:after="0" w:line="240" w:lineRule="auto"/>
              <w:ind/>
              <w:rPr>
                <w:rFonts w:ascii="Times New Roman" w:hAnsi="Times New Roman"/>
                <w:sz w:val="24"/>
              </w:rPr>
            </w:pPr>
            <w:r>
              <w:rPr>
                <w:rFonts w:ascii="Times New Roman" w:hAnsi="Times New Roman"/>
                <w:sz w:val="24"/>
              </w:rPr>
              <w:t>Заведующий</w:t>
            </w:r>
            <w:r>
              <w:rPr>
                <w:rFonts w:ascii="Times New Roman" w:hAnsi="Times New Roman"/>
                <w:sz w:val="24"/>
              </w:rPr>
              <w:t xml:space="preserve"> ГБДОУ детский сад № 21 Петроградского района СПб</w:t>
            </w:r>
          </w:p>
          <w:p w14:paraId="D9000000">
            <w:pPr>
              <w:spacing w:after="0" w:line="240" w:lineRule="auto"/>
              <w:ind/>
              <w:rPr>
                <w:rFonts w:ascii="Times New Roman" w:hAnsi="Times New Roman"/>
                <w:sz w:val="24"/>
              </w:rPr>
            </w:pPr>
          </w:p>
          <w:p w14:paraId="DA000000">
            <w:pPr>
              <w:spacing w:after="0" w:line="240" w:lineRule="auto"/>
              <w:ind/>
              <w:jc w:val="both"/>
              <w:rPr>
                <w:rFonts w:ascii="Times New Roman" w:hAnsi="Times New Roman"/>
                <w:sz w:val="24"/>
              </w:rPr>
            </w:pPr>
          </w:p>
          <w:p w14:paraId="DB000000">
            <w:pPr>
              <w:spacing w:after="0" w:line="240" w:lineRule="auto"/>
              <w:ind/>
              <w:jc w:val="both"/>
              <w:rPr>
                <w:rFonts w:ascii="Times New Roman" w:hAnsi="Times New Roman"/>
                <w:sz w:val="24"/>
              </w:rPr>
            </w:pPr>
          </w:p>
          <w:p w14:paraId="DC000000">
            <w:pPr>
              <w:spacing w:after="0" w:line="240" w:lineRule="auto"/>
              <w:ind/>
              <w:rPr>
                <w:rFonts w:ascii="Times New Roman" w:hAnsi="Times New Roman"/>
                <w:sz w:val="24"/>
              </w:rPr>
            </w:pPr>
            <w:r>
              <w:rPr>
                <w:rFonts w:ascii="Times New Roman" w:hAnsi="Times New Roman"/>
                <w:sz w:val="24"/>
              </w:rPr>
              <w:t>____________________/Епихина Н.В.</w:t>
            </w:r>
            <w:r>
              <w:rPr>
                <w:rFonts w:ascii="Times New Roman" w:hAnsi="Times New Roman"/>
                <w:sz w:val="24"/>
              </w:rPr>
              <w:t>/</w:t>
            </w:r>
          </w:p>
          <w:p w14:paraId="DD000000">
            <w:pPr>
              <w:spacing w:after="0" w:line="240" w:lineRule="auto"/>
              <w:ind/>
              <w:rPr>
                <w:rFonts w:ascii="Times New Roman" w:hAnsi="Times New Roman"/>
                <w:sz w:val="20"/>
              </w:rPr>
            </w:pPr>
          </w:p>
          <w:p w14:paraId="DE000000">
            <w:pPr>
              <w:spacing w:after="0" w:line="240" w:lineRule="auto"/>
              <w:ind/>
              <w:rPr>
                <w:rFonts w:ascii="Times New Roman" w:hAnsi="Times New Roman"/>
                <w:sz w:val="20"/>
              </w:rPr>
            </w:pPr>
            <w:r>
              <w:rPr>
                <w:rFonts w:ascii="Times New Roman" w:hAnsi="Times New Roman"/>
                <w:sz w:val="20"/>
              </w:rPr>
              <w:t>ЭЦП</w:t>
            </w:r>
          </w:p>
        </w:tc>
        <w:tc>
          <w:tcPr>
            <w:tcW w:type="dxa" w:w="5492"/>
            <w:shd w:fill="auto" w:val="clear"/>
            <w:tcMar>
              <w:left w:type="dxa" w:w="133"/>
            </w:tcMar>
          </w:tcPr>
          <w:p w14:paraId="DF000000">
            <w:pPr>
              <w:spacing w:after="0" w:line="240" w:lineRule="auto"/>
              <w:ind/>
              <w:rPr>
                <w:rFonts w:ascii="Times New Roman" w:hAnsi="Times New Roman"/>
                <w:b w:val="1"/>
                <w:sz w:val="24"/>
              </w:rPr>
            </w:pPr>
            <w:r>
              <w:rPr>
                <w:rFonts w:ascii="Times New Roman" w:hAnsi="Times New Roman"/>
                <w:b w:val="1"/>
                <w:sz w:val="24"/>
              </w:rPr>
              <w:t>ПОСТАВЩИК</w:t>
            </w:r>
          </w:p>
          <w:p w14:paraId="E0000000">
            <w:pPr>
              <w:spacing w:after="0" w:line="240" w:lineRule="auto"/>
              <w:ind/>
              <w:rPr>
                <w:rFonts w:ascii="Times New Roman" w:hAnsi="Times New Roman"/>
                <w:sz w:val="24"/>
              </w:rPr>
            </w:pPr>
          </w:p>
          <w:p w14:paraId="E1000000">
            <w:pPr>
              <w:spacing w:after="0" w:line="240" w:lineRule="auto"/>
              <w:ind/>
              <w:rPr>
                <w:rFonts w:ascii="Times New Roman" w:hAnsi="Times New Roman"/>
                <w:sz w:val="24"/>
              </w:rPr>
            </w:pPr>
          </w:p>
          <w:p w14:paraId="E2000000">
            <w:pPr>
              <w:spacing w:after="0" w:line="240" w:lineRule="auto"/>
              <w:ind/>
              <w:rPr>
                <w:rFonts w:ascii="Times New Roman" w:hAnsi="Times New Roman"/>
                <w:sz w:val="24"/>
              </w:rPr>
            </w:pPr>
          </w:p>
          <w:p w14:paraId="E3000000">
            <w:pPr>
              <w:spacing w:after="0" w:line="240" w:lineRule="auto"/>
              <w:ind/>
              <w:rPr>
                <w:rFonts w:ascii="Times New Roman" w:hAnsi="Times New Roman"/>
                <w:sz w:val="24"/>
              </w:rPr>
            </w:pPr>
          </w:p>
          <w:p w14:paraId="E4000000">
            <w:pPr>
              <w:spacing w:after="0" w:line="240" w:lineRule="auto"/>
              <w:ind/>
              <w:rPr>
                <w:rFonts w:ascii="Times New Roman" w:hAnsi="Times New Roman"/>
                <w:sz w:val="24"/>
              </w:rPr>
            </w:pPr>
          </w:p>
          <w:p w14:paraId="E5000000">
            <w:pPr>
              <w:spacing w:after="0" w:line="240" w:lineRule="auto"/>
              <w:ind/>
              <w:rPr>
                <w:rFonts w:ascii="Times New Roman" w:hAnsi="Times New Roman"/>
                <w:sz w:val="24"/>
              </w:rPr>
            </w:pPr>
            <w:r>
              <w:rPr>
                <w:rFonts w:ascii="Times New Roman" w:hAnsi="Times New Roman"/>
                <w:sz w:val="24"/>
              </w:rPr>
              <w:t>________________/</w:t>
            </w:r>
            <w:r>
              <w:rPr>
                <w:rFonts w:ascii="Times New Roman" w:hAnsi="Times New Roman"/>
                <w:sz w:val="24"/>
              </w:rPr>
              <w:t xml:space="preserve">                           /</w:t>
            </w:r>
          </w:p>
          <w:p w14:paraId="E6000000">
            <w:pPr>
              <w:spacing w:after="0" w:line="240" w:lineRule="auto"/>
              <w:ind/>
              <w:rPr>
                <w:rFonts w:ascii="Times New Roman" w:hAnsi="Times New Roman"/>
                <w:sz w:val="20"/>
              </w:rPr>
            </w:pPr>
          </w:p>
          <w:p w14:paraId="E7000000">
            <w:pPr>
              <w:spacing w:after="0" w:line="240" w:lineRule="auto"/>
              <w:ind/>
              <w:rPr>
                <w:rFonts w:ascii="Times New Roman" w:hAnsi="Times New Roman"/>
                <w:sz w:val="20"/>
              </w:rPr>
            </w:pPr>
            <w:r>
              <w:rPr>
                <w:rFonts w:ascii="Times New Roman" w:hAnsi="Times New Roman"/>
                <w:sz w:val="20"/>
              </w:rPr>
              <w:t>ЭЦП</w:t>
            </w:r>
          </w:p>
        </w:tc>
      </w:tr>
    </w:tbl>
    <w:p w14:paraId="E8000000">
      <w:pPr>
        <w:rPr>
          <w:rFonts w:ascii="Times New Roman" w:hAnsi="Times New Roman"/>
          <w:sz w:val="24"/>
        </w:rPr>
      </w:pPr>
    </w:p>
    <w:sectPr>
      <w:pgSz w:h="16838" w:orient="portrait" w:w="11906"/>
      <w:pgMar w:bottom="1134" w:footer="0" w:gutter="0" w:header="0" w:left="993" w:right="851" w:top="1134"/>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lvlJc w:val="left"/>
      <w:pPr>
        <w:tabs>
          <w:tab w:leader="none" w:pos="645" w:val="left"/>
        </w:tabs>
        <w:ind w:hanging="645" w:left="645"/>
      </w:pPr>
    </w:lvl>
    <w:lvl w:ilvl="1">
      <w:start w:val="1"/>
      <w:numFmt w:val="decimal"/>
      <w:lvlText w:val="%1.%2."/>
      <w:lvlJc w:val="left"/>
      <w:pPr>
        <w:tabs>
          <w:tab w:leader="none" w:pos="720" w:val="left"/>
        </w:tabs>
        <w:ind w:hanging="720" w:left="720"/>
      </w:pPr>
      <w:rPr>
        <w:rFonts w:ascii="Times New Roman" w:hAnsi="Times New Roman"/>
        <w:sz w:val="24"/>
      </w:rPr>
    </w:lvl>
    <w:lvl w:ilvl="2">
      <w:start w:val="1"/>
      <w:numFmt w:val="decimal"/>
      <w:lvlText w:val="%1.%2.%3."/>
      <w:lvlJc w:val="left"/>
      <w:pPr>
        <w:tabs>
          <w:tab w:leader="none" w:pos="720" w:val="left"/>
        </w:tabs>
        <w:ind w:hanging="720" w:left="720"/>
      </w:pPr>
    </w:lvl>
    <w:lvl w:ilvl="3">
      <w:start w:val="1"/>
      <w:numFmt w:val="decimal"/>
      <w:lvlText w:val="%1.%2.%3.%4."/>
      <w:lvlJc w:val="left"/>
      <w:pPr>
        <w:tabs>
          <w:tab w:leader="none" w:pos="1080" w:val="left"/>
        </w:tabs>
        <w:ind w:hanging="1080" w:left="1080"/>
      </w:pPr>
    </w:lvl>
    <w:lvl w:ilvl="4">
      <w:start w:val="1"/>
      <w:numFmt w:val="decimal"/>
      <w:lvlText w:val="%1.%2.%3.%4.%5."/>
      <w:lvlJc w:val="left"/>
      <w:pPr>
        <w:tabs>
          <w:tab w:leader="none" w:pos="1080" w:val="left"/>
        </w:tabs>
        <w:ind w:hanging="1080" w:left="1080"/>
      </w:pPr>
    </w:lvl>
    <w:lvl w:ilvl="5">
      <w:start w:val="1"/>
      <w:numFmt w:val="decimal"/>
      <w:lvlText w:val="%1.%2.%3.%4.%5.%6."/>
      <w:lvlJc w:val="left"/>
      <w:pPr>
        <w:tabs>
          <w:tab w:leader="none" w:pos="1440" w:val="left"/>
        </w:tabs>
        <w:ind w:hanging="1440" w:left="1440"/>
      </w:pPr>
    </w:lvl>
    <w:lvl w:ilvl="6">
      <w:start w:val="1"/>
      <w:numFmt w:val="decimal"/>
      <w:lvlText w:val="%1.%2.%3.%4.%5.%6.%7."/>
      <w:lvlJc w:val="left"/>
      <w:pPr>
        <w:tabs>
          <w:tab w:leader="none" w:pos="1440" w:val="left"/>
        </w:tabs>
        <w:ind w:hanging="1440" w:left="1440"/>
      </w:pPr>
    </w:lvl>
    <w:lvl w:ilvl="7">
      <w:start w:val="1"/>
      <w:numFmt w:val="decimal"/>
      <w:lvlText w:val="%1.%2.%3.%4.%5.%6.%7.%8."/>
      <w:lvlJc w:val="left"/>
      <w:pPr>
        <w:tabs>
          <w:tab w:leader="none" w:pos="1800" w:val="left"/>
        </w:tabs>
        <w:ind w:hanging="1800" w:left="1800"/>
      </w:pPr>
    </w:lvl>
    <w:lvl w:ilvl="8">
      <w:start w:val="1"/>
      <w:numFmt w:val="decimal"/>
      <w:lvlText w:val="%1.%2.%3.%4.%5.%6.%7.%8.%9."/>
      <w:lvlJc w:val="left"/>
      <w:pPr>
        <w:tabs>
          <w:tab w:leader="none" w:pos="2160" w:val="left"/>
        </w:tabs>
        <w:ind w:hanging="2160" w:left="2160"/>
      </w:pPr>
    </w:lvl>
  </w:abstractNum>
  <w:abstractNum w:abstractNumId="1">
    <w:lvl w:ilvl="0">
      <w:start w:val="2"/>
      <w:numFmt w:val="decimal"/>
      <w:lvlText w:val="%1."/>
      <w:lvlJc w:val="left"/>
      <w:pPr>
        <w:tabs>
          <w:tab w:leader="none" w:pos="390" w:val="left"/>
        </w:tabs>
        <w:ind w:hanging="390" w:left="390"/>
      </w:pPr>
    </w:lvl>
    <w:lvl w:ilvl="1">
      <w:start w:val="1"/>
      <w:numFmt w:val="decimal"/>
      <w:lvlText w:val="%1.%2."/>
      <w:lvlJc w:val="left"/>
      <w:pPr>
        <w:tabs>
          <w:tab w:leader="none" w:pos="720" w:val="left"/>
        </w:tabs>
        <w:ind w:hanging="720" w:left="720"/>
      </w:pPr>
      <w:rPr>
        <w:rFonts w:ascii="Times New Roman" w:hAnsi="Times New Roman"/>
        <w:color w:val="000000"/>
        <w:sz w:val="24"/>
      </w:rPr>
    </w:lvl>
    <w:lvl w:ilvl="2">
      <w:start w:val="1"/>
      <w:numFmt w:val="decimal"/>
      <w:lvlText w:val="%1.%2.%3."/>
      <w:lvlJc w:val="left"/>
      <w:pPr>
        <w:tabs>
          <w:tab w:leader="none" w:pos="720" w:val="left"/>
        </w:tabs>
        <w:ind w:hanging="720" w:left="720"/>
      </w:pPr>
    </w:lvl>
    <w:lvl w:ilvl="3">
      <w:start w:val="1"/>
      <w:numFmt w:val="decimal"/>
      <w:lvlText w:val="%1.%2.%3.%4."/>
      <w:lvlJc w:val="left"/>
      <w:pPr>
        <w:tabs>
          <w:tab w:leader="none" w:pos="1080" w:val="left"/>
        </w:tabs>
        <w:ind w:hanging="1080" w:left="1080"/>
      </w:pPr>
    </w:lvl>
    <w:lvl w:ilvl="4">
      <w:start w:val="1"/>
      <w:numFmt w:val="decimal"/>
      <w:lvlText w:val="%1.%2.%3.%4.%5."/>
      <w:lvlJc w:val="left"/>
      <w:pPr>
        <w:tabs>
          <w:tab w:leader="none" w:pos="1080" w:val="left"/>
        </w:tabs>
        <w:ind w:hanging="1080" w:left="1080"/>
      </w:pPr>
    </w:lvl>
    <w:lvl w:ilvl="5">
      <w:start w:val="1"/>
      <w:numFmt w:val="decimal"/>
      <w:lvlText w:val="%1.%2.%3.%4.%5.%6."/>
      <w:lvlJc w:val="left"/>
      <w:pPr>
        <w:tabs>
          <w:tab w:leader="none" w:pos="1440" w:val="left"/>
        </w:tabs>
        <w:ind w:hanging="1440" w:left="1440"/>
      </w:pPr>
    </w:lvl>
    <w:lvl w:ilvl="6">
      <w:start w:val="1"/>
      <w:numFmt w:val="decimal"/>
      <w:lvlText w:val="%1.%2.%3.%4.%5.%6.%7."/>
      <w:lvlJc w:val="left"/>
      <w:pPr>
        <w:tabs>
          <w:tab w:leader="none" w:pos="1440" w:val="left"/>
        </w:tabs>
        <w:ind w:hanging="1440" w:left="1440"/>
      </w:pPr>
    </w:lvl>
    <w:lvl w:ilvl="7">
      <w:start w:val="1"/>
      <w:numFmt w:val="decimal"/>
      <w:lvlText w:val="%1.%2.%3.%4.%5.%6.%7.%8."/>
      <w:lvlJc w:val="left"/>
      <w:pPr>
        <w:tabs>
          <w:tab w:leader="none" w:pos="1800" w:val="left"/>
        </w:tabs>
        <w:ind w:hanging="1800" w:left="1800"/>
      </w:pPr>
    </w:lvl>
    <w:lvl w:ilvl="8">
      <w:start w:val="1"/>
      <w:numFmt w:val="decimal"/>
      <w:lvlText w:val="%1.%2.%3.%4.%5.%6.%7.%8.%9."/>
      <w:lvlJc w:val="left"/>
      <w:pPr>
        <w:tabs>
          <w:tab w:leader="none" w:pos="2160" w:val="left"/>
        </w:tabs>
        <w:ind w:hanging="2160" w:left="2160"/>
      </w:pPr>
    </w:lvl>
  </w:abstractNum>
  <w:abstractNum w:abstractNumId="2">
    <w:lvl w:ilvl="0">
      <w:start w:val="3"/>
      <w:numFmt w:val="decimal"/>
      <w:lvlText w:val="%1."/>
      <w:lvlJc w:val="left"/>
      <w:pPr>
        <w:ind w:hanging="360" w:left="360"/>
      </w:pPr>
    </w:lvl>
    <w:lvl w:ilvl="1">
      <w:start w:val="1"/>
      <w:numFmt w:val="decimal"/>
      <w:lvlText w:val="%1.%2."/>
      <w:lvlJc w:val="left"/>
      <w:pPr>
        <w:ind w:hanging="360" w:left="1070"/>
      </w:pPr>
      <w:rPr>
        <w:rFonts w:ascii="Times New Roman" w:hAnsi="Times New Roman"/>
        <w:sz w:val="24"/>
      </w:rPr>
    </w:lvl>
    <w:lvl w:ilvl="2">
      <w:start w:val="1"/>
      <w:numFmt w:val="decimal"/>
      <w:lvlText w:val="%1.%2.%3."/>
      <w:lvlJc w:val="left"/>
      <w:pPr>
        <w:ind w:hanging="720" w:left="720"/>
      </w:pPr>
    </w:lvl>
    <w:lvl w:ilvl="3">
      <w:start w:val="1"/>
      <w:numFmt w:val="decimal"/>
      <w:lvlText w:val="%1.%2.%3.%4."/>
      <w:lvlJc w:val="left"/>
      <w:pPr>
        <w:ind w:hanging="720" w:left="720"/>
      </w:pPr>
    </w:lvl>
    <w:lvl w:ilvl="4">
      <w:start w:val="1"/>
      <w:numFmt w:val="decimal"/>
      <w:lvlText w:val="%1.%2.%3.%4.%5."/>
      <w:lvlJc w:val="left"/>
      <w:pPr>
        <w:ind w:hanging="1080" w:left="1080"/>
      </w:pPr>
    </w:lvl>
    <w:lvl w:ilvl="5">
      <w:start w:val="1"/>
      <w:numFmt w:val="decimal"/>
      <w:lvlText w:val="%1.%2.%3.%4.%5.%6."/>
      <w:lvlJc w:val="left"/>
      <w:pPr>
        <w:ind w:hanging="1080" w:left="1080"/>
      </w:pPr>
    </w:lvl>
    <w:lvl w:ilvl="6">
      <w:start w:val="1"/>
      <w:numFmt w:val="decimal"/>
      <w:lvlText w:val="%1.%2.%3.%4.%5.%6.%7."/>
      <w:lvlJc w:val="left"/>
      <w:pPr>
        <w:ind w:hanging="1440" w:left="1440"/>
      </w:pPr>
    </w:lvl>
    <w:lvl w:ilvl="7">
      <w:start w:val="1"/>
      <w:numFmt w:val="decimal"/>
      <w:lvlText w:val="%1.%2.%3.%4.%5.%6.%7.%8."/>
      <w:lvlJc w:val="left"/>
      <w:pPr>
        <w:ind w:hanging="1440" w:left="1440"/>
      </w:pPr>
    </w:lvl>
    <w:lvl w:ilvl="8">
      <w:start w:val="1"/>
      <w:numFmt w:val="decimal"/>
      <w:lvlText w:val="%1.%2.%3.%4.%5.%6.%7.%8.%9."/>
      <w:lvlJc w:val="left"/>
      <w:pPr>
        <w:ind w:hanging="1800" w:left="1800"/>
      </w:pPr>
    </w:lvl>
  </w:abstractNum>
  <w:abstractNum w:abstractNumId="3">
    <w:lvl w:ilvl="0">
      <w:start w:val="7"/>
      <w:numFmt w:val="decimal"/>
      <w:lvlText w:val="%1."/>
      <w:lvlJc w:val="left"/>
      <w:pPr>
        <w:ind w:hanging="390" w:left="390"/>
      </w:pPr>
    </w:lvl>
    <w:lvl w:ilvl="1">
      <w:start w:val="1"/>
      <w:numFmt w:val="decimal"/>
      <w:lvlText w:val="%1.%2."/>
      <w:lvlJc w:val="left"/>
      <w:pPr>
        <w:ind w:hanging="720" w:left="720"/>
      </w:pPr>
    </w:lvl>
    <w:lvl w:ilvl="2">
      <w:start w:val="1"/>
      <w:numFmt w:val="decimal"/>
      <w:lvlText w:val="%1.%2.%3."/>
      <w:lvlJc w:val="left"/>
      <w:pPr>
        <w:ind w:hanging="720" w:left="720"/>
      </w:pPr>
    </w:lvl>
    <w:lvl w:ilvl="3">
      <w:start w:val="1"/>
      <w:numFmt w:val="decimal"/>
      <w:lvlText w:val="%1.%2.%3.%4."/>
      <w:lvlJc w:val="left"/>
      <w:pPr>
        <w:ind w:hanging="1080" w:left="1080"/>
      </w:pPr>
    </w:lvl>
    <w:lvl w:ilvl="4">
      <w:start w:val="1"/>
      <w:numFmt w:val="decimal"/>
      <w:lvlText w:val="%1.%2.%3.%4.%5."/>
      <w:lvlJc w:val="left"/>
      <w:pPr>
        <w:ind w:hanging="1080" w:left="1080"/>
      </w:pPr>
    </w:lvl>
    <w:lvl w:ilvl="5">
      <w:start w:val="1"/>
      <w:numFmt w:val="decimal"/>
      <w:lvlText w:val="%1.%2.%3.%4.%5.%6."/>
      <w:lvlJc w:val="left"/>
      <w:pPr>
        <w:ind w:hanging="1440" w:left="1440"/>
      </w:pPr>
    </w:lvl>
    <w:lvl w:ilvl="6">
      <w:start w:val="1"/>
      <w:numFmt w:val="decimal"/>
      <w:lvlText w:val="%1.%2.%3.%4.%5.%6.%7."/>
      <w:lvlJc w:val="left"/>
      <w:pPr>
        <w:ind w:hanging="1440" w:left="1440"/>
      </w:pPr>
    </w:lvl>
    <w:lvl w:ilvl="7">
      <w:start w:val="1"/>
      <w:numFmt w:val="decimal"/>
      <w:lvlText w:val="%1.%2.%3.%4.%5.%6.%7.%8."/>
      <w:lvlJc w:val="left"/>
      <w:pPr>
        <w:ind w:hanging="1800" w:left="1800"/>
      </w:pPr>
    </w:lvl>
    <w:lvl w:ilvl="8">
      <w:start w:val="1"/>
      <w:numFmt w:val="decimal"/>
      <w:lvlText w:val="%1.%2.%3.%4.%5.%6.%7.%8.%9."/>
      <w:lvlJc w:val="left"/>
      <w:pPr>
        <w:ind w:hanging="2160" w:left="2160"/>
      </w:pPr>
    </w:lvl>
  </w:abstractNum>
  <w:abstractNum w:abstractNumId="4">
    <w:lvl w:ilvl="0">
      <w:start w:val="9"/>
      <w:numFmt w:val="decimal"/>
      <w:lvlText w:val="%1."/>
      <w:lvlJc w:val="left"/>
      <w:pPr>
        <w:ind w:hanging="360" w:left="360"/>
      </w:pPr>
    </w:lvl>
    <w:lvl w:ilvl="1">
      <w:start w:val="1"/>
      <w:numFmt w:val="decimal"/>
      <w:lvlText w:val="%1.%2."/>
      <w:lvlJc w:val="left"/>
      <w:pPr>
        <w:ind w:hanging="360" w:left="360"/>
      </w:pPr>
    </w:lvl>
    <w:lvl w:ilvl="2">
      <w:start w:val="1"/>
      <w:numFmt w:val="decimal"/>
      <w:lvlText w:val="%1.%2.%3."/>
      <w:lvlJc w:val="left"/>
      <w:pPr>
        <w:ind w:hanging="720" w:left="720"/>
      </w:pPr>
    </w:lvl>
    <w:lvl w:ilvl="3">
      <w:start w:val="1"/>
      <w:numFmt w:val="decimal"/>
      <w:lvlText w:val="%1.%2.%3.%4."/>
      <w:lvlJc w:val="left"/>
      <w:pPr>
        <w:ind w:hanging="720" w:left="720"/>
      </w:pPr>
    </w:lvl>
    <w:lvl w:ilvl="4">
      <w:start w:val="1"/>
      <w:numFmt w:val="decimal"/>
      <w:lvlText w:val="%1.%2.%3.%4.%5."/>
      <w:lvlJc w:val="left"/>
      <w:pPr>
        <w:ind w:hanging="1080" w:left="1080"/>
      </w:pPr>
    </w:lvl>
    <w:lvl w:ilvl="5">
      <w:start w:val="1"/>
      <w:numFmt w:val="decimal"/>
      <w:lvlText w:val="%1.%2.%3.%4.%5.%6."/>
      <w:lvlJc w:val="left"/>
      <w:pPr>
        <w:ind w:hanging="1080" w:left="1080"/>
      </w:pPr>
    </w:lvl>
    <w:lvl w:ilvl="6">
      <w:start w:val="1"/>
      <w:numFmt w:val="decimal"/>
      <w:lvlText w:val="%1.%2.%3.%4.%5.%6.%7."/>
      <w:lvlJc w:val="left"/>
      <w:pPr>
        <w:ind w:hanging="1440" w:left="1440"/>
      </w:pPr>
    </w:lvl>
    <w:lvl w:ilvl="7">
      <w:start w:val="1"/>
      <w:numFmt w:val="decimal"/>
      <w:lvlText w:val="%1.%2.%3.%4.%5.%6.%7.%8."/>
      <w:lvlJc w:val="left"/>
      <w:pPr>
        <w:ind w:hanging="1440" w:left="1440"/>
      </w:pPr>
    </w:lvl>
    <w:lvl w:ilvl="8">
      <w:start w:val="1"/>
      <w:numFmt w:val="decimal"/>
      <w:lvlText w:val="%1.%2.%3.%4.%5.%6.%7.%8.%9."/>
      <w:lvlJc w:val="left"/>
      <w:pPr>
        <w:ind w:hanging="1800" w:left="1800"/>
      </w:pPr>
    </w:lvl>
  </w:abstractNum>
  <w:abstractNum w:abstractNumId="5">
    <w:lvl w:ilvl="0">
      <w:start w:val="10"/>
      <w:numFmt w:val="decimal"/>
      <w:lvlText w:val="%1."/>
      <w:lvlJc w:val="left"/>
      <w:pPr>
        <w:ind w:hanging="480" w:left="480"/>
      </w:pPr>
    </w:lvl>
    <w:lvl w:ilvl="1">
      <w:start w:val="1"/>
      <w:numFmt w:val="decimal"/>
      <w:lvlText w:val="%1.%2."/>
      <w:lvlJc w:val="left"/>
      <w:pPr>
        <w:ind w:hanging="480" w:left="480"/>
      </w:pPr>
    </w:lvl>
    <w:lvl w:ilvl="2">
      <w:start w:val="1"/>
      <w:numFmt w:val="decimal"/>
      <w:lvlText w:val="%1.%2.%3."/>
      <w:lvlJc w:val="left"/>
      <w:pPr>
        <w:ind w:hanging="720" w:left="720"/>
      </w:pPr>
    </w:lvl>
    <w:lvl w:ilvl="3">
      <w:start w:val="1"/>
      <w:numFmt w:val="decimal"/>
      <w:lvlText w:val="%1.%2.%3.%4."/>
      <w:lvlJc w:val="left"/>
      <w:pPr>
        <w:ind w:hanging="720" w:left="720"/>
      </w:pPr>
    </w:lvl>
    <w:lvl w:ilvl="4">
      <w:start w:val="1"/>
      <w:numFmt w:val="decimal"/>
      <w:lvlText w:val="%1.%2.%3.%4.%5."/>
      <w:lvlJc w:val="left"/>
      <w:pPr>
        <w:ind w:hanging="1080" w:left="1080"/>
      </w:pPr>
    </w:lvl>
    <w:lvl w:ilvl="5">
      <w:start w:val="1"/>
      <w:numFmt w:val="decimal"/>
      <w:lvlText w:val="%1.%2.%3.%4.%5.%6."/>
      <w:lvlJc w:val="left"/>
      <w:pPr>
        <w:ind w:hanging="1080" w:left="1080"/>
      </w:pPr>
    </w:lvl>
    <w:lvl w:ilvl="6">
      <w:start w:val="1"/>
      <w:numFmt w:val="decimal"/>
      <w:lvlText w:val="%1.%2.%3.%4.%5.%6.%7."/>
      <w:lvlJc w:val="left"/>
      <w:pPr>
        <w:ind w:hanging="1440" w:left="1440"/>
      </w:pPr>
    </w:lvl>
    <w:lvl w:ilvl="7">
      <w:start w:val="1"/>
      <w:numFmt w:val="decimal"/>
      <w:lvlText w:val="%1.%2.%3.%4.%5.%6.%7.%8."/>
      <w:lvlJc w:val="left"/>
      <w:pPr>
        <w:ind w:hanging="1440" w:left="1440"/>
      </w:pPr>
    </w:lvl>
    <w:lvl w:ilvl="8">
      <w:start w:val="1"/>
      <w:numFmt w:val="decimal"/>
      <w:lvlText w:val="%1.%2.%3.%4.%5.%6.%7.%8.%9."/>
      <w:lvlJc w:val="left"/>
      <w:pPr>
        <w:ind w:hanging="1800" w:left="1800"/>
      </w:pPr>
    </w:lvl>
  </w:abstractNum>
  <w:abstractNum w:abstractNumId="6">
    <w:lvl w:ilvl="0">
      <w:start w:val="1"/>
      <w:numFmt w:val="decimal"/>
      <w:lvlText w:val="%1."/>
      <w:lvlJc w:val="left"/>
      <w:pPr>
        <w:ind w:firstLine="0" w:left="0"/>
      </w:pPr>
    </w:lvl>
    <w:lvl w:ilvl="1">
      <w:start w:val="1"/>
      <w:numFmt w:val="lowerLetter"/>
      <w:lvlText w:val="%2."/>
      <w:lvlJc w:val="left"/>
      <w:pPr>
        <w:ind w:hanging="360" w:left="1440"/>
      </w:pPr>
    </w:lvl>
    <w:lvl w:ilvl="2">
      <w:start w:val="1"/>
      <w:numFmt w:val="lowerRoman"/>
      <w:lvlText w:val="%3."/>
      <w:lvlJc w:val="right"/>
      <w:pPr>
        <w:ind w:hanging="180" w:left="2160"/>
      </w:pPr>
    </w:lvl>
    <w:lvl w:ilvl="3">
      <w:start w:val="1"/>
      <w:numFmt w:val="decimal"/>
      <w:lvlText w:val="%4."/>
      <w:lvlJc w:val="left"/>
      <w:pPr>
        <w:ind w:hanging="360" w:left="2880"/>
      </w:pPr>
    </w:lvl>
    <w:lvl w:ilvl="4">
      <w:start w:val="1"/>
      <w:numFmt w:val="lowerLetter"/>
      <w:lvlText w:val="%5."/>
      <w:lvlJc w:val="left"/>
      <w:pPr>
        <w:ind w:hanging="360" w:left="3600"/>
      </w:pPr>
    </w:lvl>
    <w:lvl w:ilvl="5">
      <w:start w:val="1"/>
      <w:numFmt w:val="lowerRoman"/>
      <w:lvlText w:val="%6."/>
      <w:lvlJc w:val="right"/>
      <w:pPr>
        <w:ind w:hanging="180" w:left="4320"/>
      </w:pPr>
    </w:lvl>
    <w:lvl w:ilvl="6">
      <w:start w:val="1"/>
      <w:numFmt w:val="decimal"/>
      <w:lvlText w:val="%7."/>
      <w:lvlJc w:val="left"/>
      <w:pPr>
        <w:ind w:hanging="360" w:left="5040"/>
      </w:pPr>
    </w:lvl>
    <w:lvl w:ilvl="7">
      <w:start w:val="1"/>
      <w:numFmt w:val="lowerLetter"/>
      <w:lvlText w:val="%8."/>
      <w:lvlJc w:val="left"/>
      <w:pPr>
        <w:ind w:hanging="360" w:left="5760"/>
      </w:pPr>
    </w:lvl>
    <w:lvl w:ilvl="8">
      <w:start w:val="1"/>
      <w:numFmt w:val="lowerRoman"/>
      <w:lvlText w:val="%9."/>
      <w:lvlJc w:val="right"/>
      <w:pPr>
        <w:ind w:hanging="180" w:left="64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4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Calibri" w:hAnsi="Calibri"/>
        <w:color w:val="000000"/>
        <w:spacing w:val="0"/>
        <w:sz w:val="20"/>
      </w:rPr>
    </w:rPrDefault>
    <w:pPrDefault>
      <w:pPr>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0" w:type="paragraph">
    <w:name w:val="Normal"/>
    <w:link w:val="Style_10_ch"/>
    <w:uiPriority w:val="0"/>
    <w:qFormat/>
    <w:pPr>
      <w:spacing w:after="200" w:line="276" w:lineRule="auto"/>
      <w:ind/>
    </w:pPr>
    <w:rPr>
      <w:sz w:val="22"/>
    </w:rPr>
  </w:style>
  <w:style w:default="1" w:styleId="Style_10_ch" w:type="character">
    <w:name w:val="Normal"/>
    <w:link w:val="Style_10"/>
    <w:rPr>
      <w:sz w:val="22"/>
    </w:rPr>
  </w:style>
  <w:style w:styleId="Style_11" w:type="paragraph">
    <w:name w:val="ListLabel 20"/>
    <w:link w:val="Style_11_ch"/>
  </w:style>
  <w:style w:styleId="Style_11_ch" w:type="character">
    <w:name w:val="ListLabel 20"/>
    <w:link w:val="Style_11"/>
  </w:style>
  <w:style w:styleId="Style_12" w:type="paragraph">
    <w:name w:val="Стиль текста"/>
    <w:basedOn w:val="Style_13"/>
    <w:link w:val="Style_12_ch"/>
    <w:pPr>
      <w:keepLines w:val="1"/>
      <w:spacing w:after="60" w:before="60" w:line="240" w:lineRule="auto"/>
      <w:ind/>
      <w:jc w:val="both"/>
    </w:pPr>
    <w:rPr>
      <w:rFonts w:ascii="Times New Roman" w:hAnsi="Times New Roman"/>
      <w:sz w:val="24"/>
    </w:rPr>
  </w:style>
  <w:style w:styleId="Style_12_ch" w:type="character">
    <w:name w:val="Стиль текста"/>
    <w:basedOn w:val="Style_13_ch"/>
    <w:link w:val="Style_12"/>
    <w:rPr>
      <w:rFonts w:ascii="Times New Roman" w:hAnsi="Times New Roman"/>
      <w:sz w:val="24"/>
    </w:rPr>
  </w:style>
  <w:style w:styleId="Style_14" w:type="paragraph">
    <w:name w:val="ListLabel 43"/>
    <w:link w:val="Style_14_ch"/>
    <w:rPr>
      <w:sz w:val="20"/>
    </w:rPr>
  </w:style>
  <w:style w:styleId="Style_14_ch" w:type="character">
    <w:name w:val="ListLabel 43"/>
    <w:link w:val="Style_14"/>
    <w:rPr>
      <w:sz w:val="20"/>
    </w:rPr>
  </w:style>
  <w:style w:styleId="Style_15" w:type="paragraph">
    <w:name w:val="ListLabel 78"/>
    <w:link w:val="Style_15_ch"/>
    <w:rPr>
      <w:rFonts w:ascii="Times New Roman" w:hAnsi="Times New Roman"/>
      <w:sz w:val="24"/>
    </w:rPr>
  </w:style>
  <w:style w:styleId="Style_15_ch" w:type="character">
    <w:name w:val="ListLabel 78"/>
    <w:link w:val="Style_15"/>
    <w:rPr>
      <w:rFonts w:ascii="Times New Roman" w:hAnsi="Times New Roman"/>
      <w:sz w:val="24"/>
    </w:rPr>
  </w:style>
  <w:style w:styleId="Style_16" w:type="paragraph">
    <w:name w:val="toc 2"/>
    <w:next w:val="Style_10"/>
    <w:link w:val="Style_16_ch"/>
    <w:uiPriority w:val="39"/>
    <w:pPr>
      <w:ind w:firstLine="0" w:left="200"/>
      <w:jc w:val="left"/>
    </w:pPr>
    <w:rPr>
      <w:rFonts w:ascii="XO Thames" w:hAnsi="XO Thames"/>
      <w:sz w:val="28"/>
    </w:rPr>
  </w:style>
  <w:style w:styleId="Style_16_ch" w:type="character">
    <w:name w:val="toc 2"/>
    <w:link w:val="Style_16"/>
    <w:rPr>
      <w:rFonts w:ascii="XO Thames" w:hAnsi="XO Thames"/>
      <w:sz w:val="28"/>
    </w:rPr>
  </w:style>
  <w:style w:styleId="Style_17" w:type="paragraph">
    <w:name w:val="xl70"/>
    <w:basedOn w:val="Style_10"/>
    <w:link w:val="Style_17_ch"/>
    <w:pPr>
      <w:spacing w:afterAutospacing="on" w:beforeAutospacing="on" w:line="240" w:lineRule="auto"/>
      <w:ind/>
    </w:pPr>
    <w:rPr>
      <w:rFonts w:ascii="Times New Roman" w:hAnsi="Times New Roman"/>
      <w:sz w:val="24"/>
    </w:rPr>
  </w:style>
  <w:style w:styleId="Style_17_ch" w:type="character">
    <w:name w:val="xl70"/>
    <w:basedOn w:val="Style_10_ch"/>
    <w:link w:val="Style_17"/>
    <w:rPr>
      <w:rFonts w:ascii="Times New Roman" w:hAnsi="Times New Roman"/>
      <w:sz w:val="24"/>
    </w:rPr>
  </w:style>
  <w:style w:styleId="Style_18" w:type="paragraph">
    <w:name w:val="ListLabel 58"/>
    <w:link w:val="Style_18_ch"/>
    <w:rPr>
      <w:sz w:val="20"/>
    </w:rPr>
  </w:style>
  <w:style w:styleId="Style_18_ch" w:type="character">
    <w:name w:val="ListLabel 58"/>
    <w:link w:val="Style_18"/>
    <w:rPr>
      <w:sz w:val="20"/>
    </w:rPr>
  </w:style>
  <w:style w:styleId="Style_19" w:type="paragraph">
    <w:name w:val="xl65"/>
    <w:basedOn w:val="Style_10"/>
    <w:link w:val="Style_19_ch"/>
    <w:pPr>
      <w:spacing w:afterAutospacing="on" w:beforeAutospacing="on" w:line="240" w:lineRule="auto"/>
      <w:ind/>
      <w:jc w:val="center"/>
    </w:pPr>
    <w:rPr>
      <w:rFonts w:ascii="Times New Roman" w:hAnsi="Times New Roman"/>
      <w:b w:val="1"/>
      <w:color w:val="000000"/>
      <w:sz w:val="24"/>
    </w:rPr>
  </w:style>
  <w:style w:styleId="Style_19_ch" w:type="character">
    <w:name w:val="xl65"/>
    <w:basedOn w:val="Style_10_ch"/>
    <w:link w:val="Style_19"/>
    <w:rPr>
      <w:rFonts w:ascii="Times New Roman" w:hAnsi="Times New Roman"/>
      <w:b w:val="1"/>
      <w:color w:val="000000"/>
      <w:sz w:val="24"/>
    </w:rPr>
  </w:style>
  <w:style w:styleId="Style_20" w:type="paragraph">
    <w:name w:val="ListLabel 76"/>
    <w:link w:val="Style_20_ch"/>
    <w:rPr>
      <w:rFonts w:ascii="Times New Roman" w:hAnsi="Times New Roman"/>
      <w:sz w:val="24"/>
    </w:rPr>
  </w:style>
  <w:style w:styleId="Style_20_ch" w:type="character">
    <w:name w:val="ListLabel 76"/>
    <w:link w:val="Style_20"/>
    <w:rPr>
      <w:rFonts w:ascii="Times New Roman" w:hAnsi="Times New Roman"/>
      <w:sz w:val="24"/>
    </w:rPr>
  </w:style>
  <w:style w:styleId="Style_21" w:type="paragraph">
    <w:name w:val="toc 4"/>
    <w:next w:val="Style_10"/>
    <w:link w:val="Style_21_ch"/>
    <w:uiPriority w:val="39"/>
    <w:pPr>
      <w:ind w:firstLine="0" w:left="600"/>
      <w:jc w:val="left"/>
    </w:pPr>
    <w:rPr>
      <w:rFonts w:ascii="XO Thames" w:hAnsi="XO Thames"/>
      <w:sz w:val="28"/>
    </w:rPr>
  </w:style>
  <w:style w:styleId="Style_21_ch" w:type="character">
    <w:name w:val="toc 4"/>
    <w:link w:val="Style_21"/>
    <w:rPr>
      <w:rFonts w:ascii="XO Thames" w:hAnsi="XO Thames"/>
      <w:sz w:val="28"/>
    </w:rPr>
  </w:style>
  <w:style w:styleId="Style_22" w:type="paragraph">
    <w:name w:val="ListLabel 2"/>
    <w:link w:val="Style_22_ch"/>
  </w:style>
  <w:style w:styleId="Style_22_ch" w:type="character">
    <w:name w:val="ListLabel 2"/>
    <w:link w:val="Style_22"/>
  </w:style>
  <w:style w:styleId="Style_23" w:type="paragraph">
    <w:name w:val="a11yhidden"/>
    <w:link w:val="Style_23_ch"/>
  </w:style>
  <w:style w:styleId="Style_23_ch" w:type="character">
    <w:name w:val="a11yhidden"/>
    <w:link w:val="Style_23"/>
  </w:style>
  <w:style w:styleId="Style_24" w:type="paragraph">
    <w:name w:val="toc 6"/>
    <w:next w:val="Style_10"/>
    <w:link w:val="Style_24_ch"/>
    <w:uiPriority w:val="39"/>
    <w:pPr>
      <w:ind w:firstLine="0" w:left="1000"/>
      <w:jc w:val="left"/>
    </w:pPr>
    <w:rPr>
      <w:rFonts w:ascii="XO Thames" w:hAnsi="XO Thames"/>
      <w:sz w:val="28"/>
    </w:rPr>
  </w:style>
  <w:style w:styleId="Style_24_ch" w:type="character">
    <w:name w:val="toc 6"/>
    <w:link w:val="Style_24"/>
    <w:rPr>
      <w:rFonts w:ascii="XO Thames" w:hAnsi="XO Thames"/>
      <w:sz w:val="28"/>
    </w:rPr>
  </w:style>
  <w:style w:styleId="Style_13" w:type="paragraph">
    <w:name w:val="Body Text"/>
    <w:basedOn w:val="Style_10"/>
    <w:link w:val="Style_13_ch"/>
    <w:pPr>
      <w:spacing w:after="120"/>
      <w:ind/>
    </w:pPr>
  </w:style>
  <w:style w:styleId="Style_13_ch" w:type="character">
    <w:name w:val="Body Text"/>
    <w:basedOn w:val="Style_10_ch"/>
    <w:link w:val="Style_13"/>
  </w:style>
  <w:style w:styleId="Style_25" w:type="paragraph">
    <w:name w:val="toc 7"/>
    <w:next w:val="Style_10"/>
    <w:link w:val="Style_25_ch"/>
    <w:uiPriority w:val="39"/>
    <w:pPr>
      <w:ind w:firstLine="0" w:left="1200"/>
      <w:jc w:val="left"/>
    </w:pPr>
    <w:rPr>
      <w:rFonts w:ascii="XO Thames" w:hAnsi="XO Thames"/>
      <w:sz w:val="28"/>
    </w:rPr>
  </w:style>
  <w:style w:styleId="Style_25_ch" w:type="character">
    <w:name w:val="toc 7"/>
    <w:link w:val="Style_25"/>
    <w:rPr>
      <w:rFonts w:ascii="XO Thames" w:hAnsi="XO Thames"/>
      <w:sz w:val="28"/>
    </w:rPr>
  </w:style>
  <w:style w:styleId="Style_26" w:type="paragraph">
    <w:name w:val="Body Text Indent 2"/>
    <w:basedOn w:val="Style_10"/>
    <w:link w:val="Style_26_ch"/>
    <w:pPr>
      <w:spacing w:after="120" w:line="480" w:lineRule="auto"/>
      <w:ind w:firstLine="0" w:left="283"/>
    </w:pPr>
  </w:style>
  <w:style w:styleId="Style_26_ch" w:type="character">
    <w:name w:val="Body Text Indent 2"/>
    <w:basedOn w:val="Style_10_ch"/>
    <w:link w:val="Style_26"/>
  </w:style>
  <w:style w:styleId="Style_27" w:type="paragraph">
    <w:name w:val="ListLabel 81"/>
    <w:link w:val="Style_27_ch"/>
    <w:rPr>
      <w:rFonts w:ascii="Times New Roman" w:hAnsi="Times New Roman"/>
      <w:sz w:val="24"/>
    </w:rPr>
  </w:style>
  <w:style w:styleId="Style_27_ch" w:type="character">
    <w:name w:val="ListLabel 81"/>
    <w:link w:val="Style_27"/>
    <w:rPr>
      <w:rFonts w:ascii="Times New Roman" w:hAnsi="Times New Roman"/>
      <w:sz w:val="24"/>
    </w:rPr>
  </w:style>
  <w:style w:styleId="Style_28" w:type="paragraph">
    <w:name w:val="ListLabel 63"/>
    <w:link w:val="Style_28_ch"/>
    <w:rPr>
      <w:rFonts w:ascii="Times New Roman" w:hAnsi="Times New Roman"/>
      <w:sz w:val="24"/>
    </w:rPr>
  </w:style>
  <w:style w:styleId="Style_28_ch" w:type="character">
    <w:name w:val="ListLabel 63"/>
    <w:link w:val="Style_28"/>
    <w:rPr>
      <w:rFonts w:ascii="Times New Roman" w:hAnsi="Times New Roman"/>
      <w:sz w:val="24"/>
    </w:rPr>
  </w:style>
  <w:style w:styleId="Style_29" w:type="paragraph">
    <w:name w:val="ListLabel 71"/>
    <w:link w:val="Style_29_ch"/>
    <w:rPr>
      <w:rFonts w:ascii="Times New Roman" w:hAnsi="Times New Roman"/>
      <w:sz w:val="24"/>
    </w:rPr>
  </w:style>
  <w:style w:styleId="Style_29_ch" w:type="character">
    <w:name w:val="ListLabel 71"/>
    <w:link w:val="Style_29"/>
    <w:rPr>
      <w:rFonts w:ascii="Times New Roman" w:hAnsi="Times New Roman"/>
      <w:sz w:val="24"/>
    </w:rPr>
  </w:style>
  <w:style w:styleId="Style_30" w:type="paragraph">
    <w:name w:val="xl74"/>
    <w:basedOn w:val="Style_10"/>
    <w:link w:val="Style_30_ch"/>
    <w:pPr>
      <w:spacing w:afterAutospacing="on" w:beforeAutospacing="on" w:line="240" w:lineRule="auto"/>
      <w:ind/>
      <w:jc w:val="center"/>
    </w:pPr>
    <w:rPr>
      <w:rFonts w:ascii="Times New Roman" w:hAnsi="Times New Roman"/>
      <w:sz w:val="24"/>
    </w:rPr>
  </w:style>
  <w:style w:styleId="Style_30_ch" w:type="character">
    <w:name w:val="xl74"/>
    <w:basedOn w:val="Style_10_ch"/>
    <w:link w:val="Style_30"/>
    <w:rPr>
      <w:rFonts w:ascii="Times New Roman" w:hAnsi="Times New Roman"/>
      <w:sz w:val="24"/>
    </w:rPr>
  </w:style>
  <w:style w:styleId="Style_31" w:type="paragraph">
    <w:name w:val="index heading"/>
    <w:basedOn w:val="Style_10"/>
    <w:link w:val="Style_31_ch"/>
  </w:style>
  <w:style w:styleId="Style_31_ch" w:type="character">
    <w:name w:val="index heading"/>
    <w:basedOn w:val="Style_10_ch"/>
    <w:link w:val="Style_31"/>
  </w:style>
  <w:style w:styleId="Style_32" w:type="paragraph">
    <w:name w:val="ListLabel 47"/>
    <w:link w:val="Style_32_ch"/>
    <w:rPr>
      <w:sz w:val="20"/>
    </w:rPr>
  </w:style>
  <w:style w:styleId="Style_32_ch" w:type="character">
    <w:name w:val="ListLabel 47"/>
    <w:link w:val="Style_32"/>
    <w:rPr>
      <w:sz w:val="20"/>
    </w:rPr>
  </w:style>
  <w:style w:styleId="Style_33" w:type="paragraph">
    <w:name w:val="ListLabel 50"/>
    <w:link w:val="Style_33_ch"/>
    <w:rPr>
      <w:sz w:val="20"/>
    </w:rPr>
  </w:style>
  <w:style w:styleId="Style_33_ch" w:type="character">
    <w:name w:val="ListLabel 50"/>
    <w:link w:val="Style_33"/>
    <w:rPr>
      <w:sz w:val="20"/>
    </w:rPr>
  </w:style>
  <w:style w:styleId="Style_34" w:type="paragraph">
    <w:name w:val="ListLabel 21"/>
    <w:link w:val="Style_34_ch"/>
  </w:style>
  <w:style w:styleId="Style_34_ch" w:type="character">
    <w:name w:val="ListLabel 21"/>
    <w:link w:val="Style_34"/>
  </w:style>
  <w:style w:styleId="Style_35" w:type="paragraph">
    <w:name w:val="ListLabel 18"/>
    <w:link w:val="Style_35_ch"/>
  </w:style>
  <w:style w:styleId="Style_35_ch" w:type="character">
    <w:name w:val="ListLabel 18"/>
    <w:link w:val="Style_35"/>
  </w:style>
  <w:style w:styleId="Style_36" w:type="paragraph">
    <w:name w:val="ListLabel 61"/>
    <w:link w:val="Style_36_ch"/>
    <w:rPr>
      <w:rFonts w:ascii="Times New Roman" w:hAnsi="Times New Roman"/>
      <w:sz w:val="24"/>
    </w:rPr>
  </w:style>
  <w:style w:styleId="Style_36_ch" w:type="character">
    <w:name w:val="ListLabel 61"/>
    <w:link w:val="Style_36"/>
    <w:rPr>
      <w:rFonts w:ascii="Times New Roman" w:hAnsi="Times New Roman"/>
      <w:sz w:val="24"/>
    </w:rPr>
  </w:style>
  <w:style w:styleId="Style_37" w:type="paragraph">
    <w:name w:val="Основной текст с отступом Знак"/>
    <w:link w:val="Style_37_ch"/>
    <w:rPr>
      <w:rFonts w:ascii="Arial" w:hAnsi="Arial"/>
      <w:sz w:val="18"/>
    </w:rPr>
  </w:style>
  <w:style w:styleId="Style_37_ch" w:type="character">
    <w:name w:val="Основной текст с отступом Знак"/>
    <w:link w:val="Style_37"/>
    <w:rPr>
      <w:rFonts w:ascii="Arial" w:hAnsi="Arial"/>
      <w:sz w:val="18"/>
    </w:rPr>
  </w:style>
  <w:style w:styleId="Style_38" w:type="paragraph">
    <w:name w:val="ListLabel 74"/>
    <w:link w:val="Style_38_ch"/>
    <w:rPr>
      <w:rFonts w:ascii="Times New Roman" w:hAnsi="Times New Roman"/>
      <w:sz w:val="24"/>
    </w:rPr>
  </w:style>
  <w:style w:styleId="Style_38_ch" w:type="character">
    <w:name w:val="ListLabel 74"/>
    <w:link w:val="Style_38"/>
    <w:rPr>
      <w:rFonts w:ascii="Times New Roman" w:hAnsi="Times New Roman"/>
      <w:sz w:val="24"/>
    </w:rPr>
  </w:style>
  <w:style w:styleId="Style_39" w:type="paragraph">
    <w:name w:val="Endnote"/>
    <w:link w:val="Style_39_ch"/>
    <w:pPr>
      <w:ind w:firstLine="851" w:left="0"/>
      <w:jc w:val="both"/>
    </w:pPr>
    <w:rPr>
      <w:rFonts w:ascii="XO Thames" w:hAnsi="XO Thames"/>
      <w:sz w:val="22"/>
    </w:rPr>
  </w:style>
  <w:style w:styleId="Style_39_ch" w:type="character">
    <w:name w:val="Endnote"/>
    <w:link w:val="Style_39"/>
    <w:rPr>
      <w:rFonts w:ascii="XO Thames" w:hAnsi="XO Thames"/>
      <w:sz w:val="22"/>
    </w:rPr>
  </w:style>
  <w:style w:styleId="Style_40" w:type="paragraph">
    <w:name w:val="heading 3"/>
    <w:basedOn w:val="Style_10"/>
    <w:next w:val="Style_10"/>
    <w:link w:val="Style_40_ch"/>
    <w:uiPriority w:val="9"/>
    <w:qFormat/>
    <w:pPr>
      <w:keepNext w:val="1"/>
      <w:spacing w:after="60" w:before="240"/>
      <w:ind/>
      <w:outlineLvl w:val="2"/>
    </w:pPr>
    <w:rPr>
      <w:rFonts w:ascii="Cambria" w:hAnsi="Cambria"/>
      <w:b w:val="1"/>
      <w:sz w:val="26"/>
    </w:rPr>
  </w:style>
  <w:style w:styleId="Style_40_ch" w:type="character">
    <w:name w:val="heading 3"/>
    <w:basedOn w:val="Style_10_ch"/>
    <w:link w:val="Style_40"/>
    <w:rPr>
      <w:rFonts w:ascii="Cambria" w:hAnsi="Cambria"/>
      <w:b w:val="1"/>
      <w:sz w:val="26"/>
    </w:rPr>
  </w:style>
  <w:style w:styleId="Style_41" w:type="paragraph">
    <w:name w:val="ListLabel 44"/>
    <w:link w:val="Style_41_ch"/>
    <w:rPr>
      <w:sz w:val="20"/>
    </w:rPr>
  </w:style>
  <w:style w:styleId="Style_41_ch" w:type="character">
    <w:name w:val="ListLabel 44"/>
    <w:link w:val="Style_41"/>
    <w:rPr>
      <w:sz w:val="20"/>
    </w:rPr>
  </w:style>
  <w:style w:styleId="Style_42" w:type="paragraph">
    <w:name w:val="ListLabel 79"/>
    <w:link w:val="Style_42_ch"/>
    <w:rPr>
      <w:rFonts w:ascii="Times New Roman" w:hAnsi="Times New Roman"/>
      <w:sz w:val="24"/>
    </w:rPr>
  </w:style>
  <w:style w:styleId="Style_42_ch" w:type="character">
    <w:name w:val="ListLabel 79"/>
    <w:link w:val="Style_42"/>
    <w:rPr>
      <w:rFonts w:ascii="Times New Roman" w:hAnsi="Times New Roman"/>
      <w:sz w:val="24"/>
    </w:rPr>
  </w:style>
  <w:style w:styleId="Style_43" w:type="paragraph">
    <w:name w:val="i-text-lowcase"/>
    <w:basedOn w:val="Style_44"/>
    <w:link w:val="Style_43_ch"/>
  </w:style>
  <w:style w:styleId="Style_43_ch" w:type="character">
    <w:name w:val="i-text-lowcase"/>
    <w:basedOn w:val="Style_44_ch"/>
    <w:link w:val="Style_43"/>
  </w:style>
  <w:style w:styleId="Style_45" w:type="paragraph">
    <w:name w:val="ListLabel 67"/>
    <w:link w:val="Style_45_ch"/>
    <w:rPr>
      <w:rFonts w:ascii="Times New Roman" w:hAnsi="Times New Roman"/>
      <w:sz w:val="24"/>
    </w:rPr>
  </w:style>
  <w:style w:styleId="Style_45_ch" w:type="character">
    <w:name w:val="ListLabel 67"/>
    <w:link w:val="Style_45"/>
    <w:rPr>
      <w:rFonts w:ascii="Times New Roman" w:hAnsi="Times New Roman"/>
      <w:sz w:val="24"/>
    </w:rPr>
  </w:style>
  <w:style w:styleId="Style_46" w:type="paragraph">
    <w:name w:val="ListLabel 56"/>
    <w:link w:val="Style_46_ch"/>
    <w:rPr>
      <w:sz w:val="20"/>
    </w:rPr>
  </w:style>
  <w:style w:styleId="Style_46_ch" w:type="character">
    <w:name w:val="ListLabel 56"/>
    <w:link w:val="Style_46"/>
    <w:rPr>
      <w:sz w:val="20"/>
    </w:rPr>
  </w:style>
  <w:style w:styleId="Style_47" w:type="paragraph">
    <w:name w:val="ListLabel 72"/>
    <w:link w:val="Style_47_ch"/>
    <w:rPr>
      <w:rFonts w:ascii="Times New Roman" w:hAnsi="Times New Roman"/>
      <w:sz w:val="24"/>
    </w:rPr>
  </w:style>
  <w:style w:styleId="Style_47_ch" w:type="character">
    <w:name w:val="ListLabel 72"/>
    <w:link w:val="Style_47"/>
    <w:rPr>
      <w:rFonts w:ascii="Times New Roman" w:hAnsi="Times New Roman"/>
      <w:sz w:val="24"/>
    </w:rPr>
  </w:style>
  <w:style w:styleId="Style_48" w:type="paragraph">
    <w:name w:val="xl77"/>
    <w:basedOn w:val="Style_10"/>
    <w:link w:val="Style_48_ch"/>
    <w:pPr>
      <w:spacing w:afterAutospacing="on" w:beforeAutospacing="on" w:line="240" w:lineRule="auto"/>
      <w:ind/>
      <w:jc w:val="center"/>
    </w:pPr>
    <w:rPr>
      <w:rFonts w:ascii="Times New Roman" w:hAnsi="Times New Roman"/>
      <w:sz w:val="24"/>
    </w:rPr>
  </w:style>
  <w:style w:styleId="Style_48_ch" w:type="character">
    <w:name w:val="xl77"/>
    <w:basedOn w:val="Style_10_ch"/>
    <w:link w:val="Style_48"/>
    <w:rPr>
      <w:rFonts w:ascii="Times New Roman" w:hAnsi="Times New Roman"/>
      <w:sz w:val="24"/>
    </w:rPr>
  </w:style>
  <w:style w:styleId="Style_49" w:type="paragraph">
    <w:name w:val="xl73"/>
    <w:basedOn w:val="Style_10"/>
    <w:link w:val="Style_49_ch"/>
    <w:pPr>
      <w:spacing w:afterAutospacing="on" w:beforeAutospacing="on" w:line="240" w:lineRule="auto"/>
      <w:ind/>
      <w:jc w:val="center"/>
    </w:pPr>
    <w:rPr>
      <w:rFonts w:ascii="Times New Roman" w:hAnsi="Times New Roman"/>
      <w:sz w:val="24"/>
    </w:rPr>
  </w:style>
  <w:style w:styleId="Style_49_ch" w:type="character">
    <w:name w:val="xl73"/>
    <w:basedOn w:val="Style_10_ch"/>
    <w:link w:val="Style_49"/>
    <w:rPr>
      <w:rFonts w:ascii="Times New Roman" w:hAnsi="Times New Roman"/>
      <w:sz w:val="24"/>
    </w:rPr>
  </w:style>
  <w:style w:styleId="Style_50" w:type="paragraph">
    <w:name w:val="ListLabel 49"/>
    <w:link w:val="Style_50_ch"/>
    <w:rPr>
      <w:sz w:val="20"/>
    </w:rPr>
  </w:style>
  <w:style w:styleId="Style_50_ch" w:type="character">
    <w:name w:val="ListLabel 49"/>
    <w:link w:val="Style_50"/>
    <w:rPr>
      <w:sz w:val="20"/>
    </w:rPr>
  </w:style>
  <w:style w:styleId="Style_51" w:type="paragraph">
    <w:name w:val="ListLabel 6"/>
    <w:link w:val="Style_51_ch"/>
    <w:rPr>
      <w:color w:val="000000"/>
    </w:rPr>
  </w:style>
  <w:style w:styleId="Style_51_ch" w:type="character">
    <w:name w:val="ListLabel 6"/>
    <w:link w:val="Style_51"/>
    <w:rPr>
      <w:color w:val="000000"/>
    </w:rPr>
  </w:style>
  <w:style w:styleId="Style_52" w:type="paragraph">
    <w:name w:val="caption"/>
    <w:basedOn w:val="Style_10"/>
    <w:link w:val="Style_52_ch"/>
    <w:pPr>
      <w:spacing w:after="120" w:before="120"/>
      <w:ind/>
    </w:pPr>
    <w:rPr>
      <w:i w:val="1"/>
      <w:sz w:val="24"/>
    </w:rPr>
  </w:style>
  <w:style w:styleId="Style_52_ch" w:type="character">
    <w:name w:val="caption"/>
    <w:basedOn w:val="Style_10_ch"/>
    <w:link w:val="Style_52"/>
    <w:rPr>
      <w:i w:val="1"/>
      <w:sz w:val="24"/>
    </w:rPr>
  </w:style>
  <w:style w:styleId="Style_53" w:type="paragraph">
    <w:name w:val="Основной текст с отступом 2 Знак"/>
    <w:link w:val="Style_53_ch"/>
    <w:rPr>
      <w:rFonts w:ascii="Calibri" w:hAnsi="Calibri"/>
    </w:rPr>
  </w:style>
  <w:style w:styleId="Style_53_ch" w:type="character">
    <w:name w:val="Основной текст с отступом 2 Знак"/>
    <w:link w:val="Style_53"/>
    <w:rPr>
      <w:rFonts w:ascii="Calibri" w:hAnsi="Calibri"/>
    </w:rPr>
  </w:style>
  <w:style w:styleId="Style_54" w:type="paragraph">
    <w:name w:val="ListLabel 46"/>
    <w:link w:val="Style_54_ch"/>
    <w:rPr>
      <w:sz w:val="20"/>
    </w:rPr>
  </w:style>
  <w:style w:styleId="Style_54_ch" w:type="character">
    <w:name w:val="ListLabel 46"/>
    <w:link w:val="Style_54"/>
    <w:rPr>
      <w:sz w:val="20"/>
    </w:rPr>
  </w:style>
  <w:style w:styleId="Style_55" w:type="paragraph">
    <w:name w:val="ListLabel 38"/>
    <w:link w:val="Style_55_ch"/>
    <w:rPr>
      <w:color w:val="000000"/>
      <w:sz w:val="16"/>
    </w:rPr>
  </w:style>
  <w:style w:styleId="Style_55_ch" w:type="character">
    <w:name w:val="ListLabel 38"/>
    <w:link w:val="Style_55"/>
    <w:rPr>
      <w:color w:val="000000"/>
      <w:sz w:val="16"/>
    </w:rPr>
  </w:style>
  <w:style w:styleId="Style_56" w:type="paragraph">
    <w:name w:val="Символ нумерации"/>
    <w:link w:val="Style_56_ch"/>
  </w:style>
  <w:style w:styleId="Style_56_ch" w:type="character">
    <w:name w:val="Символ нумерации"/>
    <w:link w:val="Style_56"/>
  </w:style>
  <w:style w:styleId="Style_57" w:type="paragraph">
    <w:name w:val="msonormal"/>
    <w:basedOn w:val="Style_10"/>
    <w:link w:val="Style_57_ch"/>
    <w:pPr>
      <w:spacing w:afterAutospacing="on" w:beforeAutospacing="on" w:line="240" w:lineRule="auto"/>
      <w:ind/>
    </w:pPr>
    <w:rPr>
      <w:rFonts w:ascii="Times New Roman" w:hAnsi="Times New Roman"/>
      <w:sz w:val="24"/>
    </w:rPr>
  </w:style>
  <w:style w:styleId="Style_57_ch" w:type="character">
    <w:name w:val="msonormal"/>
    <w:basedOn w:val="Style_10_ch"/>
    <w:link w:val="Style_57"/>
    <w:rPr>
      <w:rFonts w:ascii="Times New Roman" w:hAnsi="Times New Roman"/>
      <w:sz w:val="24"/>
    </w:rPr>
  </w:style>
  <w:style w:styleId="Style_58" w:type="paragraph">
    <w:name w:val="Комментарий"/>
    <w:basedOn w:val="Style_10"/>
    <w:next w:val="Style_10"/>
    <w:link w:val="Style_58_ch"/>
    <w:pPr>
      <w:spacing w:after="0" w:before="75" w:line="240" w:lineRule="auto"/>
      <w:ind/>
      <w:jc w:val="both"/>
    </w:pPr>
    <w:rPr>
      <w:rFonts w:ascii="Arial" w:hAnsi="Arial"/>
      <w:color w:val="353842"/>
      <w:sz w:val="24"/>
      <w:shd w:fill="F0F0F0" w:val="clear"/>
    </w:rPr>
  </w:style>
  <w:style w:styleId="Style_58_ch" w:type="character">
    <w:name w:val="Комментарий"/>
    <w:basedOn w:val="Style_10_ch"/>
    <w:link w:val="Style_58"/>
    <w:rPr>
      <w:rFonts w:ascii="Arial" w:hAnsi="Arial"/>
      <w:color w:val="353842"/>
      <w:sz w:val="24"/>
      <w:shd w:fill="F0F0F0" w:val="clear"/>
    </w:rPr>
  </w:style>
  <w:style w:styleId="Style_59" w:type="paragraph">
    <w:name w:val="Пункты Знак"/>
    <w:link w:val="Style_59_ch"/>
    <w:rPr>
      <w:rFonts w:ascii="Times New Roman" w:hAnsi="Times New Roman"/>
      <w:color w:val="000000"/>
      <w:sz w:val="24"/>
    </w:rPr>
  </w:style>
  <w:style w:styleId="Style_59_ch" w:type="character">
    <w:name w:val="Пункты Знак"/>
    <w:link w:val="Style_59"/>
    <w:rPr>
      <w:rFonts w:ascii="Times New Roman" w:hAnsi="Times New Roman"/>
      <w:color w:val="000000"/>
      <w:sz w:val="24"/>
    </w:rPr>
  </w:style>
  <w:style w:styleId="Style_60" w:type="paragraph">
    <w:name w:val="ListLabel 83"/>
    <w:link w:val="Style_60_ch"/>
    <w:rPr>
      <w:rFonts w:ascii="Times New Roman" w:hAnsi="Times New Roman"/>
      <w:sz w:val="24"/>
    </w:rPr>
  </w:style>
  <w:style w:styleId="Style_60_ch" w:type="character">
    <w:name w:val="ListLabel 83"/>
    <w:link w:val="Style_60"/>
    <w:rPr>
      <w:rFonts w:ascii="Times New Roman" w:hAnsi="Times New Roman"/>
      <w:sz w:val="24"/>
    </w:rPr>
  </w:style>
  <w:style w:styleId="Style_61" w:type="paragraph">
    <w:name w:val="Интернет-ссылка"/>
    <w:link w:val="Style_61_ch"/>
    <w:rPr>
      <w:color w:val="000080"/>
      <w:u w:val="single"/>
    </w:rPr>
  </w:style>
  <w:style w:styleId="Style_61_ch" w:type="character">
    <w:name w:val="Интернет-ссылка"/>
    <w:link w:val="Style_61"/>
    <w:rPr>
      <w:color w:val="000080"/>
      <w:u w:val="single"/>
    </w:rPr>
  </w:style>
  <w:style w:styleId="Style_62" w:type="paragraph">
    <w:name w:val="ListLabel 64"/>
    <w:link w:val="Style_62_ch"/>
    <w:rPr>
      <w:rFonts w:ascii="Times New Roman" w:hAnsi="Times New Roman"/>
      <w:sz w:val="24"/>
    </w:rPr>
  </w:style>
  <w:style w:styleId="Style_62_ch" w:type="character">
    <w:name w:val="ListLabel 64"/>
    <w:link w:val="Style_62"/>
    <w:rPr>
      <w:rFonts w:ascii="Times New Roman" w:hAnsi="Times New Roman"/>
      <w:sz w:val="24"/>
    </w:rPr>
  </w:style>
  <w:style w:styleId="Style_63" w:type="paragraph">
    <w:name w:val="Table Paragraph"/>
    <w:basedOn w:val="Style_10"/>
    <w:link w:val="Style_63_ch"/>
    <w:pPr>
      <w:widowControl w:val="0"/>
      <w:spacing w:after="0" w:before="140" w:line="240" w:lineRule="auto"/>
      <w:ind w:right="57"/>
    </w:pPr>
    <w:rPr>
      <w:rFonts w:ascii="Times New Roman" w:hAnsi="Times New Roman"/>
    </w:rPr>
  </w:style>
  <w:style w:styleId="Style_63_ch" w:type="character">
    <w:name w:val="Table Paragraph"/>
    <w:basedOn w:val="Style_10_ch"/>
    <w:link w:val="Style_63"/>
    <w:rPr>
      <w:rFonts w:ascii="Times New Roman" w:hAnsi="Times New Roman"/>
    </w:rPr>
  </w:style>
  <w:style w:styleId="Style_64" w:type="paragraph">
    <w:name w:val="ListLabel 35"/>
    <w:link w:val="Style_64_ch"/>
    <w:rPr>
      <w:color w:val="000000"/>
      <w:sz w:val="16"/>
    </w:rPr>
  </w:style>
  <w:style w:styleId="Style_64_ch" w:type="character">
    <w:name w:val="ListLabel 35"/>
    <w:link w:val="Style_64"/>
    <w:rPr>
      <w:color w:val="000000"/>
      <w:sz w:val="16"/>
    </w:rPr>
  </w:style>
  <w:style w:styleId="Style_65" w:type="paragraph">
    <w:name w:val="Нижний колонтитул Знак"/>
    <w:link w:val="Style_65_ch"/>
    <w:rPr>
      <w:rFonts w:ascii="Calibri" w:hAnsi="Calibri"/>
    </w:rPr>
  </w:style>
  <w:style w:styleId="Style_65_ch" w:type="character">
    <w:name w:val="Нижний колонтитул Знак"/>
    <w:link w:val="Style_65"/>
    <w:rPr>
      <w:rFonts w:ascii="Calibri" w:hAnsi="Calibri"/>
    </w:rPr>
  </w:style>
  <w:style w:styleId="Style_66" w:type="paragraph">
    <w:name w:val="ListLabel 3"/>
    <w:link w:val="Style_66_ch"/>
  </w:style>
  <w:style w:styleId="Style_66_ch" w:type="character">
    <w:name w:val="ListLabel 3"/>
    <w:link w:val="Style_66"/>
  </w:style>
  <w:style w:styleId="Style_67" w:type="paragraph">
    <w:name w:val="ListLabel 52"/>
    <w:link w:val="Style_67_ch"/>
    <w:rPr>
      <w:sz w:val="20"/>
    </w:rPr>
  </w:style>
  <w:style w:styleId="Style_67_ch" w:type="character">
    <w:name w:val="ListLabel 52"/>
    <w:link w:val="Style_67"/>
    <w:rPr>
      <w:sz w:val="20"/>
    </w:rPr>
  </w:style>
  <w:style w:styleId="Style_68" w:type="paragraph">
    <w:name w:val="xl78"/>
    <w:basedOn w:val="Style_10"/>
    <w:link w:val="Style_68_ch"/>
    <w:pPr>
      <w:spacing w:afterAutospacing="on" w:beforeAutospacing="on" w:line="240" w:lineRule="auto"/>
      <w:ind/>
      <w:jc w:val="center"/>
    </w:pPr>
    <w:rPr>
      <w:rFonts w:ascii="Times New Roman" w:hAnsi="Times New Roman"/>
      <w:sz w:val="24"/>
    </w:rPr>
  </w:style>
  <w:style w:styleId="Style_68_ch" w:type="character">
    <w:name w:val="xl78"/>
    <w:basedOn w:val="Style_10_ch"/>
    <w:link w:val="Style_68"/>
    <w:rPr>
      <w:rFonts w:ascii="Times New Roman" w:hAnsi="Times New Roman"/>
      <w:sz w:val="24"/>
    </w:rPr>
  </w:style>
  <w:style w:styleId="Style_69" w:type="paragraph">
    <w:name w:val="xl67"/>
    <w:basedOn w:val="Style_10"/>
    <w:link w:val="Style_69_ch"/>
    <w:pPr>
      <w:spacing w:afterAutospacing="on" w:beforeAutospacing="on" w:line="240" w:lineRule="auto"/>
      <w:ind/>
    </w:pPr>
    <w:rPr>
      <w:rFonts w:ascii="Times New Roman" w:hAnsi="Times New Roman"/>
      <w:sz w:val="24"/>
    </w:rPr>
  </w:style>
  <w:style w:styleId="Style_69_ch" w:type="character">
    <w:name w:val="xl67"/>
    <w:basedOn w:val="Style_10_ch"/>
    <w:link w:val="Style_69"/>
    <w:rPr>
      <w:rFonts w:ascii="Times New Roman" w:hAnsi="Times New Roman"/>
      <w:sz w:val="24"/>
    </w:rPr>
  </w:style>
  <w:style w:styleId="Style_70" w:type="paragraph">
    <w:name w:val="ListLabel 37"/>
    <w:link w:val="Style_70_ch"/>
    <w:rPr>
      <w:color w:val="000000"/>
      <w:sz w:val="16"/>
    </w:rPr>
  </w:style>
  <w:style w:styleId="Style_70_ch" w:type="character">
    <w:name w:val="ListLabel 37"/>
    <w:link w:val="Style_70"/>
    <w:rPr>
      <w:color w:val="000000"/>
      <w:sz w:val="16"/>
    </w:rPr>
  </w:style>
  <w:style w:styleId="Style_71" w:type="paragraph">
    <w:name w:val="ListLabel 4"/>
    <w:link w:val="Style_71_ch"/>
    <w:rPr>
      <w:color w:val="000000"/>
    </w:rPr>
  </w:style>
  <w:style w:styleId="Style_71_ch" w:type="character">
    <w:name w:val="ListLabel 4"/>
    <w:link w:val="Style_71"/>
    <w:rPr>
      <w:color w:val="000000"/>
    </w:rPr>
  </w:style>
  <w:style w:styleId="Style_72" w:type="paragraph">
    <w:name w:val="ListLabel 19"/>
    <w:link w:val="Style_72_ch"/>
  </w:style>
  <w:style w:styleId="Style_72_ch" w:type="character">
    <w:name w:val="ListLabel 19"/>
    <w:link w:val="Style_72"/>
  </w:style>
  <w:style w:styleId="Style_73" w:type="paragraph">
    <w:name w:val="header"/>
    <w:basedOn w:val="Style_10"/>
    <w:link w:val="Style_73_ch"/>
    <w:pPr>
      <w:tabs>
        <w:tab w:leader="none" w:pos="4677" w:val="center"/>
        <w:tab w:leader="none" w:pos="9355" w:val="right"/>
      </w:tabs>
      <w:spacing w:after="0" w:line="240" w:lineRule="auto"/>
      <w:ind/>
    </w:pPr>
  </w:style>
  <w:style w:styleId="Style_73_ch" w:type="character">
    <w:name w:val="header"/>
    <w:basedOn w:val="Style_10_ch"/>
    <w:link w:val="Style_73"/>
  </w:style>
  <w:style w:styleId="Style_7" w:type="paragraph">
    <w:name w:val="ListLabel 60"/>
    <w:link w:val="Style_7_ch"/>
    <w:rPr>
      <w:rFonts w:ascii="Times New Roman" w:hAnsi="Times New Roman"/>
      <w:sz w:val="24"/>
    </w:rPr>
  </w:style>
  <w:style w:styleId="Style_7_ch" w:type="character">
    <w:name w:val="ListLabel 60"/>
    <w:link w:val="Style_7"/>
    <w:rPr>
      <w:rFonts w:ascii="Times New Roman" w:hAnsi="Times New Roman"/>
      <w:sz w:val="24"/>
    </w:rPr>
  </w:style>
  <w:style w:styleId="Style_74" w:type="paragraph">
    <w:name w:val="ListLabel 11"/>
    <w:link w:val="Style_74_ch"/>
    <w:rPr>
      <w:color w:val="000000"/>
    </w:rPr>
  </w:style>
  <w:style w:styleId="Style_74_ch" w:type="character">
    <w:name w:val="ListLabel 11"/>
    <w:link w:val="Style_74"/>
    <w:rPr>
      <w:color w:val="000000"/>
    </w:rPr>
  </w:style>
  <w:style w:styleId="Style_75" w:type="paragraph">
    <w:name w:val="ListLabel 41"/>
    <w:link w:val="Style_75_ch"/>
    <w:rPr>
      <w:sz w:val="20"/>
    </w:rPr>
  </w:style>
  <w:style w:styleId="Style_75_ch" w:type="character">
    <w:name w:val="ListLabel 41"/>
    <w:link w:val="Style_75"/>
    <w:rPr>
      <w:sz w:val="20"/>
    </w:rPr>
  </w:style>
  <w:style w:styleId="Style_76" w:type="paragraph">
    <w:name w:val="ListLabel 82"/>
    <w:link w:val="Style_76_ch"/>
    <w:rPr>
      <w:rFonts w:ascii="Times New Roman" w:hAnsi="Times New Roman"/>
      <w:sz w:val="24"/>
    </w:rPr>
  </w:style>
  <w:style w:styleId="Style_76_ch" w:type="character">
    <w:name w:val="ListLabel 82"/>
    <w:link w:val="Style_76"/>
    <w:rPr>
      <w:rFonts w:ascii="Times New Roman" w:hAnsi="Times New Roman"/>
      <w:sz w:val="24"/>
    </w:rPr>
  </w:style>
  <w:style w:styleId="Style_77" w:type="paragraph">
    <w:name w:val="ListLabel 8"/>
    <w:link w:val="Style_77_ch"/>
    <w:rPr>
      <w:color w:val="000000"/>
    </w:rPr>
  </w:style>
  <w:style w:styleId="Style_77_ch" w:type="character">
    <w:name w:val="ListLabel 8"/>
    <w:link w:val="Style_77"/>
    <w:rPr>
      <w:color w:val="000000"/>
    </w:rPr>
  </w:style>
  <w:style w:styleId="Style_78" w:type="paragraph">
    <w:name w:val="ConsNormal"/>
    <w:link w:val="Style_78_ch"/>
    <w:pPr>
      <w:ind w:firstLine="720" w:left="0" w:right="19772"/>
    </w:pPr>
    <w:rPr>
      <w:rFonts w:ascii="Arial" w:hAnsi="Arial"/>
      <w:sz w:val="22"/>
    </w:rPr>
  </w:style>
  <w:style w:styleId="Style_78_ch" w:type="character">
    <w:name w:val="ConsNormal"/>
    <w:link w:val="Style_78"/>
    <w:rPr>
      <w:rFonts w:ascii="Arial" w:hAnsi="Arial"/>
      <w:sz w:val="22"/>
    </w:rPr>
  </w:style>
  <w:style w:styleId="Style_79" w:type="paragraph">
    <w:name w:val="toc 3"/>
    <w:next w:val="Style_10"/>
    <w:link w:val="Style_79_ch"/>
    <w:uiPriority w:val="39"/>
    <w:pPr>
      <w:ind w:firstLine="0" w:left="400"/>
      <w:jc w:val="left"/>
    </w:pPr>
    <w:rPr>
      <w:rFonts w:ascii="XO Thames" w:hAnsi="XO Thames"/>
      <w:sz w:val="28"/>
    </w:rPr>
  </w:style>
  <w:style w:styleId="Style_79_ch" w:type="character">
    <w:name w:val="toc 3"/>
    <w:link w:val="Style_79"/>
    <w:rPr>
      <w:rFonts w:ascii="XO Thames" w:hAnsi="XO Thames"/>
      <w:sz w:val="28"/>
    </w:rPr>
  </w:style>
  <w:style w:styleId="Style_80" w:type="paragraph">
    <w:name w:val="ListLabel 14"/>
    <w:link w:val="Style_80_ch"/>
    <w:rPr>
      <w:b w:val="1"/>
      <w:sz w:val="24"/>
    </w:rPr>
  </w:style>
  <w:style w:styleId="Style_80_ch" w:type="character">
    <w:name w:val="ListLabel 14"/>
    <w:link w:val="Style_80"/>
    <w:rPr>
      <w:b w:val="1"/>
      <w:sz w:val="24"/>
    </w:rPr>
  </w:style>
  <w:style w:styleId="Style_81" w:type="paragraph">
    <w:name w:val="Гипертекстовая ссылка"/>
    <w:link w:val="Style_81_ch"/>
    <w:rPr>
      <w:color w:val="106BBE"/>
    </w:rPr>
  </w:style>
  <w:style w:styleId="Style_81_ch" w:type="character">
    <w:name w:val="Гипертекстовая ссылка"/>
    <w:link w:val="Style_81"/>
    <w:rPr>
      <w:color w:val="106BBE"/>
    </w:rPr>
  </w:style>
  <w:style w:styleId="Style_82" w:type="paragraph">
    <w:name w:val="ListLabel 57"/>
    <w:link w:val="Style_82_ch"/>
    <w:rPr>
      <w:sz w:val="20"/>
    </w:rPr>
  </w:style>
  <w:style w:styleId="Style_82_ch" w:type="character">
    <w:name w:val="ListLabel 57"/>
    <w:link w:val="Style_82"/>
    <w:rPr>
      <w:sz w:val="20"/>
    </w:rPr>
  </w:style>
  <w:style w:styleId="Style_83" w:type="paragraph">
    <w:name w:val="Неразрешенное упоминание"/>
    <w:link w:val="Style_83_ch"/>
    <w:rPr>
      <w:color w:val="605E5C"/>
      <w:shd w:fill="E1DFDD" w:val="clear"/>
    </w:rPr>
  </w:style>
  <w:style w:styleId="Style_83_ch" w:type="character">
    <w:name w:val="Неразрешенное упоминание"/>
    <w:link w:val="Style_83"/>
    <w:rPr>
      <w:color w:val="605E5C"/>
      <w:shd w:fill="E1DFDD" w:val="clear"/>
    </w:rPr>
  </w:style>
  <w:style w:styleId="Style_84" w:type="paragraph">
    <w:name w:val="xl68"/>
    <w:basedOn w:val="Style_10"/>
    <w:link w:val="Style_84_ch"/>
    <w:pPr>
      <w:spacing w:afterAutospacing="on" w:beforeAutospacing="on" w:line="240" w:lineRule="auto"/>
      <w:ind/>
    </w:pPr>
    <w:rPr>
      <w:rFonts w:ascii="Times New Roman" w:hAnsi="Times New Roman"/>
      <w:sz w:val="24"/>
    </w:rPr>
  </w:style>
  <w:style w:styleId="Style_84_ch" w:type="character">
    <w:name w:val="xl68"/>
    <w:basedOn w:val="Style_10_ch"/>
    <w:link w:val="Style_84"/>
    <w:rPr>
      <w:rFonts w:ascii="Times New Roman" w:hAnsi="Times New Roman"/>
      <w:sz w:val="24"/>
    </w:rPr>
  </w:style>
  <w:style w:styleId="Style_8" w:type="paragraph">
    <w:name w:val="Plain Text"/>
    <w:basedOn w:val="Style_10"/>
    <w:link w:val="Style_8_ch"/>
    <w:pPr>
      <w:spacing w:after="0" w:line="240" w:lineRule="auto"/>
      <w:ind/>
    </w:pPr>
    <w:rPr>
      <w:rFonts w:ascii="Courier New" w:hAnsi="Courier New"/>
      <w:sz w:val="20"/>
    </w:rPr>
  </w:style>
  <w:style w:styleId="Style_8_ch" w:type="character">
    <w:name w:val="Plain Text"/>
    <w:basedOn w:val="Style_10_ch"/>
    <w:link w:val="Style_8"/>
    <w:rPr>
      <w:rFonts w:ascii="Courier New" w:hAnsi="Courier New"/>
      <w:sz w:val="20"/>
    </w:rPr>
  </w:style>
  <w:style w:styleId="Style_85" w:type="paragraph">
    <w:name w:val="ListLabel 65"/>
    <w:link w:val="Style_85_ch"/>
    <w:rPr>
      <w:rFonts w:ascii="Times New Roman" w:hAnsi="Times New Roman"/>
      <w:sz w:val="24"/>
    </w:rPr>
  </w:style>
  <w:style w:styleId="Style_85_ch" w:type="character">
    <w:name w:val="ListLabel 65"/>
    <w:link w:val="Style_85"/>
    <w:rPr>
      <w:rFonts w:ascii="Times New Roman" w:hAnsi="Times New Roman"/>
      <w:sz w:val="24"/>
    </w:rPr>
  </w:style>
  <w:style w:styleId="Style_86" w:type="paragraph">
    <w:name w:val="FollowedHyperlink"/>
    <w:link w:val="Style_86_ch"/>
    <w:rPr>
      <w:color w:val="954F72"/>
      <w:u w:val="single"/>
    </w:rPr>
  </w:style>
  <w:style w:styleId="Style_86_ch" w:type="character">
    <w:name w:val="FollowedHyperlink"/>
    <w:link w:val="Style_86"/>
    <w:rPr>
      <w:color w:val="954F72"/>
      <w:u w:val="single"/>
    </w:rPr>
  </w:style>
  <w:style w:styleId="Style_87" w:type="paragraph">
    <w:name w:val="ListLabel 29"/>
    <w:link w:val="Style_87_ch"/>
    <w:rPr>
      <w:sz w:val="26"/>
    </w:rPr>
  </w:style>
  <w:style w:styleId="Style_87_ch" w:type="character">
    <w:name w:val="ListLabel 29"/>
    <w:link w:val="Style_87"/>
    <w:rPr>
      <w:sz w:val="26"/>
    </w:rPr>
  </w:style>
  <w:style w:styleId="Style_88" w:type="paragraph">
    <w:name w:val="ListLabel 28"/>
    <w:link w:val="Style_88_ch"/>
    <w:rPr>
      <w:sz w:val="26"/>
    </w:rPr>
  </w:style>
  <w:style w:styleId="Style_88_ch" w:type="character">
    <w:name w:val="ListLabel 28"/>
    <w:link w:val="Style_88"/>
    <w:rPr>
      <w:sz w:val="26"/>
    </w:rPr>
  </w:style>
  <w:style w:styleId="Style_89" w:type="paragraph">
    <w:name w:val="ListLabel 15"/>
    <w:link w:val="Style_89_ch"/>
  </w:style>
  <w:style w:styleId="Style_89_ch" w:type="character">
    <w:name w:val="ListLabel 15"/>
    <w:link w:val="Style_89"/>
  </w:style>
  <w:style w:styleId="Style_1" w:type="paragraph">
    <w:name w:val="xl35"/>
    <w:basedOn w:val="Style_10"/>
    <w:link w:val="Style_1_ch"/>
    <w:pPr>
      <w:spacing w:afterAutospacing="on" w:beforeAutospacing="on" w:line="240" w:lineRule="auto"/>
      <w:ind/>
      <w:jc w:val="center"/>
    </w:pPr>
    <w:rPr>
      <w:rFonts w:ascii="Times New Roman" w:hAnsi="Times New Roman"/>
      <w:b w:val="1"/>
      <w:sz w:val="24"/>
    </w:rPr>
  </w:style>
  <w:style w:styleId="Style_1_ch" w:type="character">
    <w:name w:val="xl35"/>
    <w:basedOn w:val="Style_10_ch"/>
    <w:link w:val="Style_1"/>
    <w:rPr>
      <w:rFonts w:ascii="Times New Roman" w:hAnsi="Times New Roman"/>
      <w:b w:val="1"/>
      <w:sz w:val="24"/>
    </w:rPr>
  </w:style>
  <w:style w:styleId="Style_90" w:type="paragraph">
    <w:name w:val="ListLabel 27"/>
    <w:link w:val="Style_90_ch"/>
    <w:rPr>
      <w:sz w:val="26"/>
    </w:rPr>
  </w:style>
  <w:style w:styleId="Style_90_ch" w:type="character">
    <w:name w:val="ListLabel 27"/>
    <w:link w:val="Style_90"/>
    <w:rPr>
      <w:sz w:val="26"/>
    </w:rPr>
  </w:style>
  <w:style w:styleId="Style_91" w:type="paragraph">
    <w:name w:val="heading 5"/>
    <w:next w:val="Style_10"/>
    <w:link w:val="Style_91_ch"/>
    <w:uiPriority w:val="9"/>
    <w:qFormat/>
    <w:pPr>
      <w:spacing w:after="120" w:before="120"/>
      <w:ind/>
      <w:jc w:val="both"/>
      <w:outlineLvl w:val="4"/>
    </w:pPr>
    <w:rPr>
      <w:rFonts w:ascii="XO Thames" w:hAnsi="XO Thames"/>
      <w:b w:val="1"/>
      <w:sz w:val="22"/>
    </w:rPr>
  </w:style>
  <w:style w:styleId="Style_91_ch" w:type="character">
    <w:name w:val="heading 5"/>
    <w:link w:val="Style_91"/>
    <w:rPr>
      <w:rFonts w:ascii="XO Thames" w:hAnsi="XO Thames"/>
      <w:b w:val="1"/>
      <w:sz w:val="22"/>
    </w:rPr>
  </w:style>
  <w:style w:styleId="Style_92" w:type="paragraph">
    <w:name w:val="ListLabel 51"/>
    <w:link w:val="Style_92_ch"/>
    <w:rPr>
      <w:sz w:val="20"/>
    </w:rPr>
  </w:style>
  <w:style w:styleId="Style_92_ch" w:type="character">
    <w:name w:val="ListLabel 51"/>
    <w:link w:val="Style_92"/>
    <w:rPr>
      <w:sz w:val="20"/>
    </w:rPr>
  </w:style>
  <w:style w:styleId="Style_93" w:type="paragraph">
    <w:name w:val="List"/>
    <w:basedOn w:val="Style_13"/>
    <w:link w:val="Style_93_ch"/>
  </w:style>
  <w:style w:styleId="Style_93_ch" w:type="character">
    <w:name w:val="List"/>
    <w:basedOn w:val="Style_13_ch"/>
    <w:link w:val="Style_93"/>
  </w:style>
  <w:style w:styleId="Style_94" w:type="paragraph">
    <w:name w:val="Основной текст Знак"/>
    <w:link w:val="Style_94_ch"/>
    <w:rPr>
      <w:rFonts w:ascii="Calibri" w:hAnsi="Calibri"/>
    </w:rPr>
  </w:style>
  <w:style w:styleId="Style_94_ch" w:type="character">
    <w:name w:val="Основной текст Знак"/>
    <w:link w:val="Style_94"/>
    <w:rPr>
      <w:rFonts w:ascii="Calibri" w:hAnsi="Calibri"/>
    </w:rPr>
  </w:style>
  <w:style w:styleId="Style_95" w:type="paragraph">
    <w:name w:val="heading 1"/>
    <w:basedOn w:val="Style_10"/>
    <w:next w:val="Style_10"/>
    <w:link w:val="Style_95_ch"/>
    <w:uiPriority w:val="9"/>
    <w:qFormat/>
    <w:pPr>
      <w:keepNext w:val="1"/>
      <w:spacing w:after="60" w:before="240"/>
      <w:ind/>
      <w:outlineLvl w:val="0"/>
    </w:pPr>
    <w:rPr>
      <w:rFonts w:ascii="Calibri Light" w:hAnsi="Calibri Light"/>
      <w:b w:val="1"/>
      <w:sz w:val="32"/>
    </w:rPr>
  </w:style>
  <w:style w:styleId="Style_95_ch" w:type="character">
    <w:name w:val="heading 1"/>
    <w:basedOn w:val="Style_10_ch"/>
    <w:link w:val="Style_95"/>
    <w:rPr>
      <w:rFonts w:ascii="Calibri Light" w:hAnsi="Calibri Light"/>
      <w:b w:val="1"/>
      <w:sz w:val="32"/>
    </w:rPr>
  </w:style>
  <w:style w:styleId="Style_96" w:type="paragraph">
    <w:name w:val="Balloon Text"/>
    <w:basedOn w:val="Style_10"/>
    <w:link w:val="Style_96_ch"/>
    <w:pPr>
      <w:spacing w:after="0" w:line="240" w:lineRule="auto"/>
      <w:ind/>
    </w:pPr>
    <w:rPr>
      <w:rFonts w:ascii="Tahoma" w:hAnsi="Tahoma"/>
      <w:sz w:val="16"/>
    </w:rPr>
  </w:style>
  <w:style w:styleId="Style_96_ch" w:type="character">
    <w:name w:val="Balloon Text"/>
    <w:basedOn w:val="Style_10_ch"/>
    <w:link w:val="Style_96"/>
    <w:rPr>
      <w:rFonts w:ascii="Tahoma" w:hAnsi="Tahoma"/>
      <w:sz w:val="16"/>
    </w:rPr>
  </w:style>
  <w:style w:styleId="Style_97" w:type="paragraph">
    <w:name w:val="ListLabel 25"/>
    <w:link w:val="Style_97_ch"/>
    <w:rPr>
      <w:sz w:val="26"/>
    </w:rPr>
  </w:style>
  <w:style w:styleId="Style_97_ch" w:type="character">
    <w:name w:val="ListLabel 25"/>
    <w:link w:val="Style_97"/>
    <w:rPr>
      <w:sz w:val="26"/>
    </w:rPr>
  </w:style>
  <w:style w:styleId="Style_98" w:type="paragraph">
    <w:name w:val="Информация об изменениях документа"/>
    <w:basedOn w:val="Style_58"/>
    <w:next w:val="Style_10"/>
    <w:link w:val="Style_98_ch"/>
    <w:pPr>
      <w:spacing w:before="0"/>
      <w:ind/>
    </w:pPr>
    <w:rPr>
      <w:i w:val="1"/>
    </w:rPr>
  </w:style>
  <w:style w:styleId="Style_98_ch" w:type="character">
    <w:name w:val="Информация об изменениях документа"/>
    <w:basedOn w:val="Style_58_ch"/>
    <w:link w:val="Style_98"/>
    <w:rPr>
      <w:i w:val="1"/>
    </w:rPr>
  </w:style>
  <w:style w:styleId="Style_99" w:type="paragraph">
    <w:name w:val="ListLabel 31"/>
    <w:link w:val="Style_99_ch"/>
    <w:rPr>
      <w:color w:val="000000"/>
      <w:sz w:val="16"/>
    </w:rPr>
  </w:style>
  <w:style w:styleId="Style_99_ch" w:type="character">
    <w:name w:val="ListLabel 31"/>
    <w:link w:val="Style_99"/>
    <w:rPr>
      <w:color w:val="000000"/>
      <w:sz w:val="16"/>
    </w:rPr>
  </w:style>
  <w:style w:styleId="Style_100" w:type="paragraph">
    <w:name w:val="ListLabel 80"/>
    <w:link w:val="Style_100_ch"/>
    <w:rPr>
      <w:rFonts w:ascii="Times New Roman" w:hAnsi="Times New Roman"/>
      <w:sz w:val="24"/>
    </w:rPr>
  </w:style>
  <w:style w:styleId="Style_100_ch" w:type="character">
    <w:name w:val="ListLabel 80"/>
    <w:link w:val="Style_100"/>
    <w:rPr>
      <w:rFonts w:ascii="Times New Roman" w:hAnsi="Times New Roman"/>
      <w:sz w:val="24"/>
    </w:rPr>
  </w:style>
  <w:style w:styleId="Style_101" w:type="paragraph">
    <w:name w:val="ListLabel 32"/>
    <w:link w:val="Style_101_ch"/>
    <w:rPr>
      <w:color w:val="000000"/>
      <w:sz w:val="16"/>
    </w:rPr>
  </w:style>
  <w:style w:styleId="Style_101_ch" w:type="character">
    <w:name w:val="ListLabel 32"/>
    <w:link w:val="Style_101"/>
    <w:rPr>
      <w:color w:val="000000"/>
      <w:sz w:val="16"/>
    </w:rPr>
  </w:style>
  <w:style w:styleId="Style_102" w:type="paragraph">
    <w:name w:val="ListLabel 17"/>
    <w:link w:val="Style_102_ch"/>
  </w:style>
  <w:style w:styleId="Style_102_ch" w:type="character">
    <w:name w:val="ListLabel 17"/>
    <w:link w:val="Style_102"/>
  </w:style>
  <w:style w:styleId="Style_103" w:type="paragraph">
    <w:name w:val="Hyperlink"/>
    <w:link w:val="Style_103_ch"/>
    <w:rPr>
      <w:color w:val="0563C1"/>
      <w:u w:val="single"/>
    </w:rPr>
  </w:style>
  <w:style w:styleId="Style_103_ch" w:type="character">
    <w:name w:val="Hyperlink"/>
    <w:link w:val="Style_103"/>
    <w:rPr>
      <w:color w:val="0563C1"/>
      <w:u w:val="single"/>
    </w:rPr>
  </w:style>
  <w:style w:styleId="Style_104" w:type="paragraph">
    <w:name w:val="Footnote"/>
    <w:link w:val="Style_104_ch"/>
    <w:pPr>
      <w:ind w:firstLine="851" w:left="0"/>
      <w:jc w:val="both"/>
    </w:pPr>
    <w:rPr>
      <w:rFonts w:ascii="XO Thames" w:hAnsi="XO Thames"/>
      <w:sz w:val="22"/>
    </w:rPr>
  </w:style>
  <w:style w:styleId="Style_104_ch" w:type="character">
    <w:name w:val="Footnote"/>
    <w:link w:val="Style_104"/>
    <w:rPr>
      <w:rFonts w:ascii="XO Thames" w:hAnsi="XO Thames"/>
      <w:sz w:val="22"/>
    </w:rPr>
  </w:style>
  <w:style w:styleId="Style_105" w:type="paragraph">
    <w:name w:val="ListLabel 73"/>
    <w:link w:val="Style_105_ch"/>
    <w:rPr>
      <w:rFonts w:ascii="Times New Roman" w:hAnsi="Times New Roman"/>
      <w:sz w:val="24"/>
    </w:rPr>
  </w:style>
  <w:style w:styleId="Style_105_ch" w:type="character">
    <w:name w:val="ListLabel 73"/>
    <w:link w:val="Style_105"/>
    <w:rPr>
      <w:rFonts w:ascii="Times New Roman" w:hAnsi="Times New Roman"/>
      <w:sz w:val="24"/>
    </w:rPr>
  </w:style>
  <w:style w:styleId="Style_106" w:type="paragraph">
    <w:name w:val="ListLabel 23"/>
    <w:link w:val="Style_106_ch"/>
    <w:rPr>
      <w:sz w:val="26"/>
    </w:rPr>
  </w:style>
  <w:style w:styleId="Style_106_ch" w:type="character">
    <w:name w:val="ListLabel 23"/>
    <w:link w:val="Style_106"/>
    <w:rPr>
      <w:sz w:val="26"/>
    </w:rPr>
  </w:style>
  <w:style w:styleId="Style_107" w:type="paragraph">
    <w:name w:val="toc 1"/>
    <w:next w:val="Style_10"/>
    <w:link w:val="Style_107_ch"/>
    <w:uiPriority w:val="39"/>
    <w:pPr>
      <w:ind w:firstLine="0" w:left="0"/>
      <w:jc w:val="left"/>
    </w:pPr>
    <w:rPr>
      <w:rFonts w:ascii="XO Thames" w:hAnsi="XO Thames"/>
      <w:b w:val="1"/>
      <w:sz w:val="28"/>
    </w:rPr>
  </w:style>
  <w:style w:styleId="Style_107_ch" w:type="character">
    <w:name w:val="toc 1"/>
    <w:link w:val="Style_107"/>
    <w:rPr>
      <w:rFonts w:ascii="XO Thames" w:hAnsi="XO Thames"/>
      <w:b w:val="1"/>
      <w:sz w:val="28"/>
    </w:rPr>
  </w:style>
  <w:style w:styleId="Style_108" w:type="paragraph">
    <w:name w:val="ListLabel 69"/>
    <w:link w:val="Style_108_ch"/>
    <w:rPr>
      <w:rFonts w:ascii="Times New Roman" w:hAnsi="Times New Roman"/>
      <w:sz w:val="24"/>
    </w:rPr>
  </w:style>
  <w:style w:styleId="Style_108_ch" w:type="character">
    <w:name w:val="ListLabel 69"/>
    <w:link w:val="Style_108"/>
    <w:rPr>
      <w:rFonts w:ascii="Times New Roman" w:hAnsi="Times New Roman"/>
      <w:sz w:val="24"/>
    </w:rPr>
  </w:style>
  <w:style w:styleId="Style_109" w:type="paragraph">
    <w:name w:val="ListLabel 39"/>
    <w:link w:val="Style_109_ch"/>
    <w:rPr>
      <w:color w:val="000000"/>
      <w:sz w:val="16"/>
    </w:rPr>
  </w:style>
  <w:style w:styleId="Style_109_ch" w:type="character">
    <w:name w:val="ListLabel 39"/>
    <w:link w:val="Style_109"/>
    <w:rPr>
      <w:color w:val="000000"/>
      <w:sz w:val="16"/>
    </w:rPr>
  </w:style>
  <w:style w:styleId="Style_110" w:type="paragraph">
    <w:name w:val="Header and Footer"/>
    <w:link w:val="Style_110_ch"/>
    <w:pPr>
      <w:spacing w:line="240" w:lineRule="auto"/>
      <w:ind/>
      <w:jc w:val="both"/>
    </w:pPr>
    <w:rPr>
      <w:rFonts w:ascii="XO Thames" w:hAnsi="XO Thames"/>
      <w:sz w:val="28"/>
    </w:rPr>
  </w:style>
  <w:style w:styleId="Style_110_ch" w:type="character">
    <w:name w:val="Header and Footer"/>
    <w:link w:val="Style_110"/>
    <w:rPr>
      <w:rFonts w:ascii="XO Thames" w:hAnsi="XO Thames"/>
      <w:sz w:val="28"/>
    </w:rPr>
  </w:style>
  <w:style w:styleId="Style_3" w:type="paragraph">
    <w:name w:val="List Paragraph"/>
    <w:basedOn w:val="Style_10"/>
    <w:link w:val="Style_3_ch"/>
    <w:pPr>
      <w:ind w:firstLine="0" w:left="720"/>
      <w:contextualSpacing w:val="1"/>
    </w:pPr>
  </w:style>
  <w:style w:styleId="Style_3_ch" w:type="character">
    <w:name w:val="List Paragraph"/>
    <w:basedOn w:val="Style_10_ch"/>
    <w:link w:val="Style_3"/>
  </w:style>
  <w:style w:styleId="Style_111" w:type="paragraph">
    <w:name w:val="Прижатый влево"/>
    <w:basedOn w:val="Style_10"/>
    <w:next w:val="Style_10"/>
    <w:link w:val="Style_111_ch"/>
    <w:pPr>
      <w:spacing w:after="0" w:line="240" w:lineRule="auto"/>
      <w:ind/>
    </w:pPr>
    <w:rPr>
      <w:rFonts w:ascii="Arial" w:hAnsi="Arial"/>
      <w:sz w:val="24"/>
    </w:rPr>
  </w:style>
  <w:style w:styleId="Style_111_ch" w:type="character">
    <w:name w:val="Прижатый влево"/>
    <w:basedOn w:val="Style_10_ch"/>
    <w:link w:val="Style_111"/>
    <w:rPr>
      <w:rFonts w:ascii="Arial" w:hAnsi="Arial"/>
      <w:sz w:val="24"/>
    </w:rPr>
  </w:style>
  <w:style w:styleId="Style_112" w:type="paragraph">
    <w:name w:val="ListLabel 33"/>
    <w:link w:val="Style_112_ch"/>
    <w:rPr>
      <w:color w:val="000000"/>
      <w:sz w:val="16"/>
    </w:rPr>
  </w:style>
  <w:style w:styleId="Style_112_ch" w:type="character">
    <w:name w:val="ListLabel 33"/>
    <w:link w:val="Style_112"/>
    <w:rPr>
      <w:color w:val="000000"/>
      <w:sz w:val="16"/>
    </w:rPr>
  </w:style>
  <w:style w:styleId="Style_113" w:type="paragraph">
    <w:name w:val="ListLabel 48"/>
    <w:link w:val="Style_113_ch"/>
    <w:rPr>
      <w:sz w:val="20"/>
    </w:rPr>
  </w:style>
  <w:style w:styleId="Style_113_ch" w:type="character">
    <w:name w:val="ListLabel 48"/>
    <w:link w:val="Style_113"/>
    <w:rPr>
      <w:sz w:val="20"/>
    </w:rPr>
  </w:style>
  <w:style w:styleId="Style_114" w:type="paragraph">
    <w:name w:val="ListLabel 24"/>
    <w:link w:val="Style_114_ch"/>
    <w:rPr>
      <w:sz w:val="26"/>
    </w:rPr>
  </w:style>
  <w:style w:styleId="Style_114_ch" w:type="character">
    <w:name w:val="ListLabel 24"/>
    <w:link w:val="Style_114"/>
    <w:rPr>
      <w:sz w:val="26"/>
    </w:rPr>
  </w:style>
  <w:style w:styleId="Style_115" w:type="paragraph">
    <w:name w:val="ListLabel 36"/>
    <w:link w:val="Style_115_ch"/>
    <w:rPr>
      <w:color w:val="000000"/>
      <w:sz w:val="16"/>
    </w:rPr>
  </w:style>
  <w:style w:styleId="Style_115_ch" w:type="character">
    <w:name w:val="ListLabel 36"/>
    <w:link w:val="Style_115"/>
    <w:rPr>
      <w:color w:val="000000"/>
      <w:sz w:val="16"/>
    </w:rPr>
  </w:style>
  <w:style w:styleId="Style_116" w:type="paragraph">
    <w:name w:val="ListLabel 68"/>
    <w:link w:val="Style_116_ch"/>
    <w:rPr>
      <w:rFonts w:ascii="Times New Roman" w:hAnsi="Times New Roman"/>
      <w:sz w:val="24"/>
    </w:rPr>
  </w:style>
  <w:style w:styleId="Style_116_ch" w:type="character">
    <w:name w:val="ListLabel 68"/>
    <w:link w:val="Style_116"/>
    <w:rPr>
      <w:rFonts w:ascii="Times New Roman" w:hAnsi="Times New Roman"/>
      <w:sz w:val="24"/>
    </w:rPr>
  </w:style>
  <w:style w:styleId="Style_117" w:type="paragraph">
    <w:name w:val="toc 9"/>
    <w:next w:val="Style_10"/>
    <w:link w:val="Style_117_ch"/>
    <w:uiPriority w:val="39"/>
    <w:pPr>
      <w:ind w:firstLine="0" w:left="1600"/>
      <w:jc w:val="left"/>
    </w:pPr>
    <w:rPr>
      <w:rFonts w:ascii="XO Thames" w:hAnsi="XO Thames"/>
      <w:sz w:val="28"/>
    </w:rPr>
  </w:style>
  <w:style w:styleId="Style_117_ch" w:type="character">
    <w:name w:val="toc 9"/>
    <w:link w:val="Style_117"/>
    <w:rPr>
      <w:rFonts w:ascii="XO Thames" w:hAnsi="XO Thames"/>
      <w:sz w:val="28"/>
    </w:rPr>
  </w:style>
  <w:style w:styleId="Style_118" w:type="paragraph">
    <w:name w:val="Заголовок 2 Знак"/>
    <w:link w:val="Style_118_ch"/>
    <w:rPr>
      <w:rFonts w:ascii="Cambria" w:hAnsi="Cambria"/>
      <w:b w:val="1"/>
      <w:color w:val="4F81BD"/>
      <w:sz w:val="26"/>
    </w:rPr>
  </w:style>
  <w:style w:styleId="Style_118_ch" w:type="character">
    <w:name w:val="Заголовок 2 Знак"/>
    <w:link w:val="Style_118"/>
    <w:rPr>
      <w:rFonts w:ascii="Cambria" w:hAnsi="Cambria"/>
      <w:b w:val="1"/>
      <w:color w:val="4F81BD"/>
      <w:sz w:val="26"/>
    </w:rPr>
  </w:style>
  <w:style w:styleId="Style_119" w:type="paragraph">
    <w:name w:val="ListLabel 45"/>
    <w:link w:val="Style_119_ch"/>
    <w:rPr>
      <w:sz w:val="20"/>
    </w:rPr>
  </w:style>
  <w:style w:styleId="Style_119_ch" w:type="character">
    <w:name w:val="ListLabel 45"/>
    <w:link w:val="Style_119"/>
    <w:rPr>
      <w:sz w:val="20"/>
    </w:rPr>
  </w:style>
  <w:style w:styleId="Style_120" w:type="paragraph">
    <w:name w:val="ListLabel 1"/>
    <w:link w:val="Style_120_ch"/>
  </w:style>
  <w:style w:styleId="Style_120_ch" w:type="character">
    <w:name w:val="ListLabel 1"/>
    <w:link w:val="Style_120"/>
  </w:style>
  <w:style w:styleId="Style_121" w:type="paragraph">
    <w:name w:val="Текст Знак"/>
    <w:link w:val="Style_121_ch"/>
    <w:rPr>
      <w:rFonts w:ascii="Courier New" w:hAnsi="Courier New"/>
      <w:sz w:val="20"/>
    </w:rPr>
  </w:style>
  <w:style w:styleId="Style_121_ch" w:type="character">
    <w:name w:val="Текст Знак"/>
    <w:link w:val="Style_121"/>
    <w:rPr>
      <w:rFonts w:ascii="Courier New" w:hAnsi="Courier New"/>
      <w:sz w:val="20"/>
    </w:rPr>
  </w:style>
  <w:style w:styleId="Style_122" w:type="paragraph">
    <w:name w:val="ListLabel 77"/>
    <w:link w:val="Style_122_ch"/>
    <w:rPr>
      <w:rFonts w:ascii="Times New Roman" w:hAnsi="Times New Roman"/>
      <w:sz w:val="24"/>
    </w:rPr>
  </w:style>
  <w:style w:styleId="Style_122_ch" w:type="character">
    <w:name w:val="ListLabel 77"/>
    <w:link w:val="Style_122"/>
    <w:rPr>
      <w:rFonts w:ascii="Times New Roman" w:hAnsi="Times New Roman"/>
      <w:sz w:val="24"/>
    </w:rPr>
  </w:style>
  <w:style w:styleId="Style_123" w:type="paragraph">
    <w:name w:val="ListLabel 26"/>
    <w:link w:val="Style_123_ch"/>
    <w:rPr>
      <w:sz w:val="26"/>
    </w:rPr>
  </w:style>
  <w:style w:styleId="Style_123_ch" w:type="character">
    <w:name w:val="ListLabel 26"/>
    <w:link w:val="Style_123"/>
    <w:rPr>
      <w:sz w:val="26"/>
    </w:rPr>
  </w:style>
  <w:style w:styleId="Style_124" w:type="paragraph">
    <w:name w:val="ListLabel 54"/>
    <w:link w:val="Style_124_ch"/>
    <w:rPr>
      <w:sz w:val="20"/>
    </w:rPr>
  </w:style>
  <w:style w:styleId="Style_124_ch" w:type="character">
    <w:name w:val="ListLabel 54"/>
    <w:link w:val="Style_124"/>
    <w:rPr>
      <w:sz w:val="20"/>
    </w:rPr>
  </w:style>
  <w:style w:styleId="Style_125" w:type="paragraph">
    <w:name w:val="ConsPlusNonformat"/>
    <w:link w:val="Style_125_ch"/>
    <w:rPr>
      <w:rFonts w:ascii="Courier New" w:hAnsi="Courier New"/>
    </w:rPr>
  </w:style>
  <w:style w:styleId="Style_125_ch" w:type="character">
    <w:name w:val="ConsPlusNonformat"/>
    <w:link w:val="Style_125"/>
    <w:rPr>
      <w:rFonts w:ascii="Courier New" w:hAnsi="Courier New"/>
    </w:rPr>
  </w:style>
  <w:style w:styleId="Style_126" w:type="paragraph">
    <w:name w:val="ListLabel 75"/>
    <w:link w:val="Style_126_ch"/>
    <w:rPr>
      <w:rFonts w:ascii="Times New Roman" w:hAnsi="Times New Roman"/>
      <w:sz w:val="24"/>
    </w:rPr>
  </w:style>
  <w:style w:styleId="Style_126_ch" w:type="character">
    <w:name w:val="ListLabel 75"/>
    <w:link w:val="Style_126"/>
    <w:rPr>
      <w:rFonts w:ascii="Times New Roman" w:hAnsi="Times New Roman"/>
      <w:sz w:val="24"/>
    </w:rPr>
  </w:style>
  <w:style w:styleId="Style_127" w:type="paragraph">
    <w:name w:val="ListLabel 30"/>
    <w:link w:val="Style_127_ch"/>
    <w:rPr>
      <w:sz w:val="26"/>
    </w:rPr>
  </w:style>
  <w:style w:styleId="Style_127_ch" w:type="character">
    <w:name w:val="ListLabel 30"/>
    <w:link w:val="Style_127"/>
    <w:rPr>
      <w:sz w:val="26"/>
    </w:rPr>
  </w:style>
  <w:style w:styleId="Style_128" w:type="paragraph">
    <w:name w:val="ListLabel 42"/>
    <w:link w:val="Style_128_ch"/>
    <w:rPr>
      <w:sz w:val="20"/>
    </w:rPr>
  </w:style>
  <w:style w:styleId="Style_128_ch" w:type="character">
    <w:name w:val="ListLabel 42"/>
    <w:link w:val="Style_128"/>
    <w:rPr>
      <w:sz w:val="20"/>
    </w:rPr>
  </w:style>
  <w:style w:styleId="Style_129" w:type="paragraph">
    <w:name w:val="ListLabel 13"/>
    <w:link w:val="Style_129_ch"/>
    <w:rPr>
      <w:b w:val="1"/>
      <w:sz w:val="24"/>
    </w:rPr>
  </w:style>
  <w:style w:styleId="Style_129_ch" w:type="character">
    <w:name w:val="ListLabel 13"/>
    <w:link w:val="Style_129"/>
    <w:rPr>
      <w:b w:val="1"/>
      <w:sz w:val="24"/>
    </w:rPr>
  </w:style>
  <w:style w:styleId="Style_130" w:type="paragraph">
    <w:name w:val="toc 8"/>
    <w:next w:val="Style_10"/>
    <w:link w:val="Style_130_ch"/>
    <w:uiPriority w:val="39"/>
    <w:pPr>
      <w:ind w:firstLine="0" w:left="1400"/>
      <w:jc w:val="left"/>
    </w:pPr>
    <w:rPr>
      <w:rFonts w:ascii="XO Thames" w:hAnsi="XO Thames"/>
      <w:sz w:val="28"/>
    </w:rPr>
  </w:style>
  <w:style w:styleId="Style_130_ch" w:type="character">
    <w:name w:val="toc 8"/>
    <w:link w:val="Style_130"/>
    <w:rPr>
      <w:rFonts w:ascii="XO Thames" w:hAnsi="XO Thames"/>
      <w:sz w:val="28"/>
    </w:rPr>
  </w:style>
  <w:style w:styleId="Style_131" w:type="paragraph">
    <w:name w:val="ListLabel 16"/>
    <w:link w:val="Style_131_ch"/>
  </w:style>
  <w:style w:styleId="Style_131_ch" w:type="character">
    <w:name w:val="ListLabel 16"/>
    <w:link w:val="Style_131"/>
  </w:style>
  <w:style w:styleId="Style_2" w:type="paragraph">
    <w:name w:val="Body Text Indent"/>
    <w:basedOn w:val="Style_10"/>
    <w:link w:val="Style_2_ch"/>
    <w:pPr>
      <w:widowControl w:val="0"/>
      <w:spacing w:after="120" w:line="240" w:lineRule="auto"/>
      <w:ind w:firstLine="0" w:left="283"/>
    </w:pPr>
    <w:rPr>
      <w:rFonts w:ascii="Arial" w:hAnsi="Arial"/>
      <w:sz w:val="18"/>
    </w:rPr>
  </w:style>
  <w:style w:styleId="Style_2_ch" w:type="character">
    <w:name w:val="Body Text Indent"/>
    <w:basedOn w:val="Style_10_ch"/>
    <w:link w:val="Style_2"/>
    <w:rPr>
      <w:rFonts w:ascii="Arial" w:hAnsi="Arial"/>
      <w:sz w:val="18"/>
    </w:rPr>
  </w:style>
  <w:style w:styleId="Style_132" w:type="paragraph">
    <w:name w:val="ListLabel 66"/>
    <w:link w:val="Style_132_ch"/>
    <w:rPr>
      <w:rFonts w:ascii="Times New Roman" w:hAnsi="Times New Roman"/>
      <w:sz w:val="24"/>
    </w:rPr>
  </w:style>
  <w:style w:styleId="Style_132_ch" w:type="character">
    <w:name w:val="ListLabel 66"/>
    <w:link w:val="Style_132"/>
    <w:rPr>
      <w:rFonts w:ascii="Times New Roman" w:hAnsi="Times New Roman"/>
      <w:sz w:val="24"/>
    </w:rPr>
  </w:style>
  <w:style w:styleId="Style_133" w:type="paragraph">
    <w:name w:val="ListLabel 12"/>
    <w:link w:val="Style_133_ch"/>
    <w:rPr>
      <w:color w:val="000000"/>
    </w:rPr>
  </w:style>
  <w:style w:styleId="Style_133_ch" w:type="character">
    <w:name w:val="ListLabel 12"/>
    <w:link w:val="Style_133"/>
    <w:rPr>
      <w:color w:val="000000"/>
    </w:rPr>
  </w:style>
  <w:style w:styleId="Style_134" w:type="paragraph">
    <w:name w:val="Текст выноски Знак"/>
    <w:link w:val="Style_134_ch"/>
    <w:rPr>
      <w:rFonts w:ascii="Tahoma" w:hAnsi="Tahoma"/>
      <w:sz w:val="16"/>
    </w:rPr>
  </w:style>
  <w:style w:styleId="Style_134_ch" w:type="character">
    <w:name w:val="Текст выноски Знак"/>
    <w:link w:val="Style_134"/>
    <w:rPr>
      <w:rFonts w:ascii="Tahoma" w:hAnsi="Tahoma"/>
      <w:sz w:val="16"/>
    </w:rPr>
  </w:style>
  <w:style w:styleId="Style_135" w:type="paragraph">
    <w:name w:val="b-productparamslist__item"/>
    <w:basedOn w:val="Style_10"/>
    <w:link w:val="Style_135_ch"/>
    <w:pPr>
      <w:spacing w:afterAutospacing="on" w:beforeAutospacing="on" w:line="240" w:lineRule="auto"/>
      <w:ind/>
    </w:pPr>
    <w:rPr>
      <w:rFonts w:ascii="Times New Roman" w:hAnsi="Times New Roman"/>
      <w:sz w:val="24"/>
    </w:rPr>
  </w:style>
  <w:style w:styleId="Style_135_ch" w:type="character">
    <w:name w:val="b-productparamslist__item"/>
    <w:basedOn w:val="Style_10_ch"/>
    <w:link w:val="Style_135"/>
    <w:rPr>
      <w:rFonts w:ascii="Times New Roman" w:hAnsi="Times New Roman"/>
      <w:sz w:val="24"/>
    </w:rPr>
  </w:style>
  <w:style w:styleId="Style_136" w:type="paragraph">
    <w:name w:val="ListLabel 7"/>
    <w:link w:val="Style_136_ch"/>
    <w:rPr>
      <w:color w:val="000000"/>
    </w:rPr>
  </w:style>
  <w:style w:styleId="Style_136_ch" w:type="character">
    <w:name w:val="ListLabel 7"/>
    <w:link w:val="Style_136"/>
    <w:rPr>
      <w:color w:val="000000"/>
    </w:rPr>
  </w:style>
  <w:style w:styleId="Style_137" w:type="paragraph">
    <w:name w:val="toc 5"/>
    <w:next w:val="Style_10"/>
    <w:link w:val="Style_137_ch"/>
    <w:uiPriority w:val="39"/>
    <w:pPr>
      <w:ind w:firstLine="0" w:left="800"/>
      <w:jc w:val="left"/>
    </w:pPr>
    <w:rPr>
      <w:rFonts w:ascii="XO Thames" w:hAnsi="XO Thames"/>
      <w:sz w:val="28"/>
    </w:rPr>
  </w:style>
  <w:style w:styleId="Style_137_ch" w:type="character">
    <w:name w:val="toc 5"/>
    <w:link w:val="Style_137"/>
    <w:rPr>
      <w:rFonts w:ascii="XO Thames" w:hAnsi="XO Thames"/>
      <w:sz w:val="28"/>
    </w:rPr>
  </w:style>
  <w:style w:styleId="Style_138" w:type="paragraph">
    <w:name w:val="ListLabel 40"/>
    <w:link w:val="Style_138_ch"/>
  </w:style>
  <w:style w:styleId="Style_138_ch" w:type="character">
    <w:name w:val="ListLabel 40"/>
    <w:link w:val="Style_138"/>
  </w:style>
  <w:style w:styleId="Style_44" w:type="paragraph">
    <w:name w:val="Default Paragraph Font"/>
    <w:link w:val="Style_44_ch"/>
  </w:style>
  <w:style w:styleId="Style_44_ch" w:type="character">
    <w:name w:val="Default Paragraph Font"/>
    <w:link w:val="Style_44"/>
  </w:style>
  <w:style w:styleId="Style_5" w:type="paragraph">
    <w:name w:val="ListLabel 59"/>
    <w:link w:val="Style_5_ch"/>
    <w:rPr>
      <w:rFonts w:ascii="Times New Roman" w:hAnsi="Times New Roman"/>
      <w:sz w:val="24"/>
    </w:rPr>
  </w:style>
  <w:style w:styleId="Style_5_ch" w:type="character">
    <w:name w:val="ListLabel 59"/>
    <w:link w:val="Style_5"/>
    <w:rPr>
      <w:rFonts w:ascii="Times New Roman" w:hAnsi="Times New Roman"/>
      <w:sz w:val="24"/>
    </w:rPr>
  </w:style>
  <w:style w:styleId="Style_139" w:type="paragraph">
    <w:name w:val="footer"/>
    <w:basedOn w:val="Style_10"/>
    <w:link w:val="Style_139_ch"/>
    <w:pPr>
      <w:tabs>
        <w:tab w:leader="none" w:pos="4677" w:val="center"/>
        <w:tab w:leader="none" w:pos="9355" w:val="right"/>
      </w:tabs>
      <w:spacing w:after="0" w:line="240" w:lineRule="auto"/>
      <w:ind/>
    </w:pPr>
  </w:style>
  <w:style w:styleId="Style_139_ch" w:type="character">
    <w:name w:val="footer"/>
    <w:basedOn w:val="Style_10_ch"/>
    <w:link w:val="Style_139"/>
  </w:style>
  <w:style w:styleId="Style_140" w:type="paragraph">
    <w:name w:val="xl71"/>
    <w:basedOn w:val="Style_10"/>
    <w:link w:val="Style_140_ch"/>
    <w:pPr>
      <w:spacing w:afterAutospacing="on" w:beforeAutospacing="on" w:line="240" w:lineRule="auto"/>
      <w:ind/>
    </w:pPr>
    <w:rPr>
      <w:rFonts w:ascii="Times New Roman" w:hAnsi="Times New Roman"/>
      <w:sz w:val="24"/>
    </w:rPr>
  </w:style>
  <w:style w:styleId="Style_140_ch" w:type="character">
    <w:name w:val="xl71"/>
    <w:basedOn w:val="Style_10_ch"/>
    <w:link w:val="Style_140"/>
    <w:rPr>
      <w:rFonts w:ascii="Times New Roman" w:hAnsi="Times New Roman"/>
      <w:sz w:val="24"/>
    </w:rPr>
  </w:style>
  <w:style w:styleId="Style_4" w:type="paragraph">
    <w:name w:val="No Spacing"/>
    <w:link w:val="Style_4_ch"/>
    <w:rPr>
      <w:sz w:val="22"/>
    </w:rPr>
  </w:style>
  <w:style w:styleId="Style_4_ch" w:type="character">
    <w:name w:val="No Spacing"/>
    <w:link w:val="Style_4"/>
    <w:rPr>
      <w:sz w:val="22"/>
    </w:rPr>
  </w:style>
  <w:style w:styleId="Style_141" w:type="paragraph">
    <w:name w:val="xl66"/>
    <w:basedOn w:val="Style_10"/>
    <w:link w:val="Style_141_ch"/>
    <w:pPr>
      <w:spacing w:afterAutospacing="on" w:beforeAutospacing="on" w:line="240" w:lineRule="auto"/>
      <w:ind/>
    </w:pPr>
    <w:rPr>
      <w:rFonts w:ascii="Times New Roman" w:hAnsi="Times New Roman"/>
      <w:sz w:val="24"/>
    </w:rPr>
  </w:style>
  <w:style w:styleId="Style_141_ch" w:type="character">
    <w:name w:val="xl66"/>
    <w:basedOn w:val="Style_10_ch"/>
    <w:link w:val="Style_141"/>
    <w:rPr>
      <w:rFonts w:ascii="Times New Roman" w:hAnsi="Times New Roman"/>
      <w:sz w:val="24"/>
    </w:rPr>
  </w:style>
  <w:style w:styleId="Style_142" w:type="paragraph">
    <w:name w:val="Пункты"/>
    <w:basedOn w:val="Style_143"/>
    <w:link w:val="Style_142_ch"/>
    <w:pPr>
      <w:keepLines w:val="0"/>
      <w:tabs>
        <w:tab w:leader="none" w:pos="1134" w:val="left"/>
      </w:tabs>
      <w:spacing w:before="120" w:line="240" w:lineRule="auto"/>
      <w:ind w:firstLine="567" w:left="0"/>
      <w:jc w:val="both"/>
    </w:pPr>
    <w:rPr>
      <w:rFonts w:ascii="Times New Roman" w:hAnsi="Times New Roman"/>
      <w:b w:val="0"/>
      <w:color w:val="000000"/>
      <w:sz w:val="24"/>
    </w:rPr>
  </w:style>
  <w:style w:styleId="Style_142_ch" w:type="character">
    <w:name w:val="Пункты"/>
    <w:basedOn w:val="Style_143_ch"/>
    <w:link w:val="Style_142"/>
    <w:rPr>
      <w:rFonts w:ascii="Times New Roman" w:hAnsi="Times New Roman"/>
      <w:b w:val="0"/>
      <w:color w:val="000000"/>
      <w:sz w:val="24"/>
    </w:rPr>
  </w:style>
  <w:style w:styleId="Style_144" w:type="paragraph">
    <w:name w:val="Верхний колонтитул Знак"/>
    <w:link w:val="Style_144_ch"/>
    <w:rPr>
      <w:rFonts w:ascii="Calibri" w:hAnsi="Calibri"/>
    </w:rPr>
  </w:style>
  <w:style w:styleId="Style_144_ch" w:type="character">
    <w:name w:val="Верхний колонтитул Знак"/>
    <w:link w:val="Style_144"/>
    <w:rPr>
      <w:rFonts w:ascii="Calibri" w:hAnsi="Calibri"/>
    </w:rPr>
  </w:style>
  <w:style w:styleId="Style_145" w:type="paragraph">
    <w:name w:val="ListLabel 70"/>
    <w:link w:val="Style_145_ch"/>
    <w:rPr>
      <w:rFonts w:ascii="Times New Roman" w:hAnsi="Times New Roman"/>
      <w:sz w:val="24"/>
    </w:rPr>
  </w:style>
  <w:style w:styleId="Style_145_ch" w:type="character">
    <w:name w:val="ListLabel 70"/>
    <w:link w:val="Style_145"/>
    <w:rPr>
      <w:rFonts w:ascii="Times New Roman" w:hAnsi="Times New Roman"/>
      <w:sz w:val="24"/>
    </w:rPr>
  </w:style>
  <w:style w:styleId="Style_146" w:type="paragraph">
    <w:name w:val="xl76"/>
    <w:basedOn w:val="Style_10"/>
    <w:link w:val="Style_146_ch"/>
    <w:pPr>
      <w:spacing w:afterAutospacing="on" w:beforeAutospacing="on" w:line="240" w:lineRule="auto"/>
      <w:ind/>
      <w:jc w:val="center"/>
    </w:pPr>
    <w:rPr>
      <w:rFonts w:ascii="Times New Roman" w:hAnsi="Times New Roman"/>
      <w:sz w:val="24"/>
    </w:rPr>
  </w:style>
  <w:style w:styleId="Style_146_ch" w:type="character">
    <w:name w:val="xl76"/>
    <w:basedOn w:val="Style_10_ch"/>
    <w:link w:val="Style_146"/>
    <w:rPr>
      <w:rFonts w:ascii="Times New Roman" w:hAnsi="Times New Roman"/>
      <w:sz w:val="24"/>
    </w:rPr>
  </w:style>
  <w:style w:styleId="Style_147" w:type="paragraph">
    <w:name w:val="Subtitle"/>
    <w:next w:val="Style_10"/>
    <w:link w:val="Style_147_ch"/>
    <w:uiPriority w:val="11"/>
    <w:qFormat/>
    <w:pPr>
      <w:ind/>
      <w:jc w:val="both"/>
    </w:pPr>
    <w:rPr>
      <w:rFonts w:ascii="XO Thames" w:hAnsi="XO Thames"/>
      <w:i w:val="1"/>
      <w:sz w:val="24"/>
    </w:rPr>
  </w:style>
  <w:style w:styleId="Style_147_ch" w:type="character">
    <w:name w:val="Subtitle"/>
    <w:link w:val="Style_147"/>
    <w:rPr>
      <w:rFonts w:ascii="XO Thames" w:hAnsi="XO Thames"/>
      <w:i w:val="1"/>
      <w:sz w:val="24"/>
    </w:rPr>
  </w:style>
  <w:style w:styleId="Style_148" w:type="paragraph">
    <w:name w:val="ListLabel 55"/>
    <w:link w:val="Style_148_ch"/>
    <w:rPr>
      <w:sz w:val="20"/>
    </w:rPr>
  </w:style>
  <w:style w:styleId="Style_148_ch" w:type="character">
    <w:name w:val="ListLabel 55"/>
    <w:link w:val="Style_148"/>
    <w:rPr>
      <w:sz w:val="20"/>
    </w:rPr>
  </w:style>
  <w:style w:styleId="Style_149" w:type="paragraph">
    <w:name w:val="ListLabel 53"/>
    <w:link w:val="Style_149_ch"/>
    <w:rPr>
      <w:sz w:val="20"/>
    </w:rPr>
  </w:style>
  <w:style w:styleId="Style_149_ch" w:type="character">
    <w:name w:val="ListLabel 53"/>
    <w:link w:val="Style_149"/>
    <w:rPr>
      <w:sz w:val="20"/>
    </w:rPr>
  </w:style>
  <w:style w:styleId="Style_150" w:type="paragraph">
    <w:name w:val="Title"/>
    <w:basedOn w:val="Style_10"/>
    <w:next w:val="Style_13"/>
    <w:link w:val="Style_150_ch"/>
    <w:uiPriority w:val="10"/>
    <w:qFormat/>
    <w:pPr>
      <w:keepNext w:val="1"/>
      <w:spacing w:after="120" w:before="240"/>
      <w:ind/>
    </w:pPr>
    <w:rPr>
      <w:rFonts w:ascii="Liberation Sans" w:hAnsi="Liberation Sans"/>
      <w:sz w:val="28"/>
    </w:rPr>
  </w:style>
  <w:style w:styleId="Style_150_ch" w:type="character">
    <w:name w:val="Title"/>
    <w:basedOn w:val="Style_10_ch"/>
    <w:link w:val="Style_150"/>
    <w:rPr>
      <w:rFonts w:ascii="Liberation Sans" w:hAnsi="Liberation Sans"/>
      <w:sz w:val="28"/>
    </w:rPr>
  </w:style>
  <w:style w:styleId="Style_151" w:type="paragraph">
    <w:name w:val="ListLabel 34"/>
    <w:link w:val="Style_151_ch"/>
    <w:rPr>
      <w:color w:val="000000"/>
      <w:sz w:val="16"/>
    </w:rPr>
  </w:style>
  <w:style w:styleId="Style_151_ch" w:type="character">
    <w:name w:val="ListLabel 34"/>
    <w:link w:val="Style_151"/>
    <w:rPr>
      <w:color w:val="000000"/>
      <w:sz w:val="16"/>
    </w:rPr>
  </w:style>
  <w:style w:styleId="Style_152" w:type="paragraph">
    <w:name w:val="heading 4"/>
    <w:basedOn w:val="Style_10"/>
    <w:next w:val="Style_10"/>
    <w:link w:val="Style_152_ch"/>
    <w:uiPriority w:val="9"/>
    <w:qFormat/>
    <w:pPr>
      <w:keepNext w:val="1"/>
      <w:spacing w:after="60" w:before="240"/>
      <w:ind/>
      <w:outlineLvl w:val="3"/>
    </w:pPr>
    <w:rPr>
      <w:rFonts w:ascii="Calibri" w:hAnsi="Calibri"/>
      <w:b w:val="1"/>
      <w:sz w:val="28"/>
    </w:rPr>
  </w:style>
  <w:style w:styleId="Style_152_ch" w:type="character">
    <w:name w:val="heading 4"/>
    <w:basedOn w:val="Style_10_ch"/>
    <w:link w:val="Style_152"/>
    <w:rPr>
      <w:rFonts w:ascii="Calibri" w:hAnsi="Calibri"/>
      <w:b w:val="1"/>
      <w:sz w:val="28"/>
    </w:rPr>
  </w:style>
  <w:style w:styleId="Style_153" w:type="paragraph">
    <w:name w:val="ListLabel 10"/>
    <w:link w:val="Style_153_ch"/>
    <w:rPr>
      <w:color w:val="000000"/>
    </w:rPr>
  </w:style>
  <w:style w:styleId="Style_153_ch" w:type="character">
    <w:name w:val="ListLabel 10"/>
    <w:link w:val="Style_153"/>
    <w:rPr>
      <w:color w:val="000000"/>
    </w:rPr>
  </w:style>
  <w:style w:styleId="Style_143" w:type="paragraph">
    <w:name w:val="heading 2"/>
    <w:basedOn w:val="Style_10"/>
    <w:next w:val="Style_10"/>
    <w:link w:val="Style_143_ch"/>
    <w:uiPriority w:val="9"/>
    <w:qFormat/>
    <w:pPr>
      <w:keepNext w:val="1"/>
      <w:keepLines w:val="1"/>
      <w:spacing w:after="0" w:before="200"/>
      <w:ind/>
      <w:outlineLvl w:val="1"/>
    </w:pPr>
    <w:rPr>
      <w:rFonts w:ascii="Cambria" w:hAnsi="Cambria"/>
      <w:b w:val="1"/>
      <w:color w:val="4F81BD"/>
      <w:sz w:val="26"/>
    </w:rPr>
  </w:style>
  <w:style w:styleId="Style_143_ch" w:type="character">
    <w:name w:val="heading 2"/>
    <w:basedOn w:val="Style_10_ch"/>
    <w:link w:val="Style_143"/>
    <w:rPr>
      <w:rFonts w:ascii="Cambria" w:hAnsi="Cambria"/>
      <w:b w:val="1"/>
      <w:color w:val="4F81BD"/>
      <w:sz w:val="26"/>
    </w:rPr>
  </w:style>
  <w:style w:styleId="Style_154" w:type="paragraph">
    <w:name w:val="ListLabel 22"/>
    <w:link w:val="Style_154_ch"/>
    <w:rPr>
      <w:sz w:val="26"/>
    </w:rPr>
  </w:style>
  <w:style w:styleId="Style_154_ch" w:type="character">
    <w:name w:val="ListLabel 22"/>
    <w:link w:val="Style_154"/>
    <w:rPr>
      <w:sz w:val="26"/>
    </w:rPr>
  </w:style>
  <w:style w:styleId="Style_155" w:type="paragraph">
    <w:name w:val="xl72"/>
    <w:basedOn w:val="Style_10"/>
    <w:link w:val="Style_155_ch"/>
    <w:pPr>
      <w:spacing w:afterAutospacing="on" w:beforeAutospacing="on" w:line="240" w:lineRule="auto"/>
      <w:ind/>
    </w:pPr>
    <w:rPr>
      <w:rFonts w:ascii="Times New Roman" w:hAnsi="Times New Roman"/>
      <w:sz w:val="24"/>
    </w:rPr>
  </w:style>
  <w:style w:styleId="Style_155_ch" w:type="character">
    <w:name w:val="xl72"/>
    <w:basedOn w:val="Style_10_ch"/>
    <w:link w:val="Style_155"/>
    <w:rPr>
      <w:rFonts w:ascii="Times New Roman" w:hAnsi="Times New Roman"/>
      <w:sz w:val="24"/>
    </w:rPr>
  </w:style>
  <w:style w:styleId="Style_6" w:type="paragraph">
    <w:name w:val="Основной текст с отступом 2 Знак1"/>
    <w:basedOn w:val="Style_10"/>
    <w:next w:val="Style_10"/>
    <w:link w:val="Style_6_ch"/>
    <w:pPr>
      <w:spacing w:after="0" w:line="240" w:lineRule="auto"/>
      <w:ind/>
      <w:jc w:val="center"/>
    </w:pPr>
    <w:rPr>
      <w:rFonts w:ascii="Times New Roman" w:hAnsi="Times New Roman"/>
      <w:b w:val="1"/>
      <w:sz w:val="24"/>
    </w:rPr>
  </w:style>
  <w:style w:styleId="Style_6_ch" w:type="character">
    <w:name w:val="Основной текст с отступом 2 Знак1"/>
    <w:basedOn w:val="Style_10_ch"/>
    <w:link w:val="Style_6"/>
    <w:rPr>
      <w:rFonts w:ascii="Times New Roman" w:hAnsi="Times New Roman"/>
      <w:b w:val="1"/>
      <w:sz w:val="24"/>
    </w:rPr>
  </w:style>
  <w:style w:styleId="Style_156" w:type="paragraph">
    <w:name w:val="xl69"/>
    <w:basedOn w:val="Style_10"/>
    <w:link w:val="Style_156_ch"/>
    <w:pPr>
      <w:spacing w:afterAutospacing="on" w:beforeAutospacing="on" w:line="240" w:lineRule="auto"/>
      <w:ind/>
    </w:pPr>
    <w:rPr>
      <w:rFonts w:ascii="Times New Roman" w:hAnsi="Times New Roman"/>
      <w:sz w:val="24"/>
    </w:rPr>
  </w:style>
  <w:style w:styleId="Style_156_ch" w:type="character">
    <w:name w:val="xl69"/>
    <w:basedOn w:val="Style_10_ch"/>
    <w:link w:val="Style_156"/>
    <w:rPr>
      <w:rFonts w:ascii="Times New Roman" w:hAnsi="Times New Roman"/>
      <w:sz w:val="24"/>
    </w:rPr>
  </w:style>
  <w:style w:styleId="Style_157" w:type="paragraph">
    <w:name w:val="xl75"/>
    <w:basedOn w:val="Style_10"/>
    <w:link w:val="Style_157_ch"/>
    <w:pPr>
      <w:spacing w:afterAutospacing="on" w:beforeAutospacing="on" w:line="240" w:lineRule="auto"/>
      <w:ind/>
      <w:jc w:val="center"/>
    </w:pPr>
    <w:rPr>
      <w:rFonts w:ascii="Times New Roman" w:hAnsi="Times New Roman"/>
      <w:sz w:val="24"/>
    </w:rPr>
  </w:style>
  <w:style w:styleId="Style_157_ch" w:type="character">
    <w:name w:val="xl75"/>
    <w:basedOn w:val="Style_10_ch"/>
    <w:link w:val="Style_157"/>
    <w:rPr>
      <w:rFonts w:ascii="Times New Roman" w:hAnsi="Times New Roman"/>
      <w:sz w:val="24"/>
    </w:rPr>
  </w:style>
  <w:style w:styleId="Style_158" w:type="paragraph">
    <w:name w:val="ListLabel 5"/>
    <w:link w:val="Style_158_ch"/>
    <w:rPr>
      <w:color w:val="000000"/>
    </w:rPr>
  </w:style>
  <w:style w:styleId="Style_158_ch" w:type="character">
    <w:name w:val="ListLabel 5"/>
    <w:link w:val="Style_158"/>
    <w:rPr>
      <w:color w:val="000000"/>
    </w:rPr>
  </w:style>
  <w:style w:styleId="Style_159" w:type="paragraph">
    <w:name w:val="ListLabel 62"/>
    <w:link w:val="Style_159_ch"/>
    <w:rPr>
      <w:rFonts w:ascii="Times New Roman" w:hAnsi="Times New Roman"/>
      <w:sz w:val="24"/>
    </w:rPr>
  </w:style>
  <w:style w:styleId="Style_159_ch" w:type="character">
    <w:name w:val="ListLabel 62"/>
    <w:link w:val="Style_159"/>
    <w:rPr>
      <w:rFonts w:ascii="Times New Roman" w:hAnsi="Times New Roman"/>
      <w:sz w:val="24"/>
    </w:rPr>
  </w:style>
  <w:style w:styleId="Style_160" w:type="paragraph">
    <w:name w:val="ListLabel 9"/>
    <w:link w:val="Style_160_ch"/>
    <w:rPr>
      <w:color w:val="000000"/>
    </w:rPr>
  </w:style>
  <w:style w:styleId="Style_160_ch" w:type="character">
    <w:name w:val="ListLabel 9"/>
    <w:link w:val="Style_160"/>
    <w:rPr>
      <w:color w:val="000000"/>
    </w:rPr>
  </w:style>
  <w:style w:styleId="Style_161" w:type="table">
    <w:name w:val="Table Grid"/>
    <w:basedOn w:val="Style_9"/>
    <w:tblPr>
      <w:tblBorders>
        <w:top w:color="000000" w:sz="4" w:val="single"/>
        <w:left w:color="000000" w:sz="4" w:val="single"/>
        <w:bottom w:color="000000" w:sz="4" w:val="single"/>
        <w:right w:color="000000" w:sz="4" w:val="single"/>
        <w:insideH w:color="000000" w:sz="4" w:val="single"/>
        <w:insideV w:color="000000" w:sz="4" w:val="single"/>
      </w:tblBorders>
    </w:tblPr>
  </w:style>
  <w:style w:styleId="Style_162" w:type="table">
    <w:name w:val="Сетка таблицы1"/>
    <w:basedOn w:val="Style_9"/>
    <w:tblPr>
      <w:tblBorders>
        <w:top w:color="000000" w:sz="4" w:val="single"/>
        <w:left w:color="000000" w:sz="4" w:val="single"/>
        <w:bottom w:color="000000" w:sz="4" w:val="single"/>
        <w:right w:color="000000" w:sz="4" w:val="single"/>
        <w:insideH w:color="000000" w:sz="4" w:val="single"/>
        <w:insideV w:color="000000" w:sz="4" w:val="single"/>
      </w:tblBorders>
    </w:tblPr>
  </w:style>
  <w:style w:default="1" w:styleId="Style_9"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1" Target="fontTable.xml" Type="http://schemas.openxmlformats.org/officeDocument/2006/relationships/fontTable"/>
  <Relationship Id="rId2" Target="settings.xml" Type="http://schemas.openxmlformats.org/officeDocument/2006/relationships/settings"/>
  <Relationship Id="rId3" Target="styles.xml" Type="http://schemas.openxmlformats.org/officeDocument/2006/relationships/styles"/>
  <Relationship Id="rId4" Target="stylesWithEffects.xml" Type="http://schemas.microsoft.com/office/2007/relationships/stylesWithEffects"/>
  <Relationship Id="rId7" Target="numbering.xml" Type="http://schemas.openxmlformats.org/officeDocument/2006/relationships/numbering"/>
  <Relationship Id="rId5" Target="webSettings.xml" Type="http://schemas.openxmlformats.org/officeDocument/2006/relationships/webSetting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MyOffice-CoreFramework-Windows/31</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2026-06-15T06:30:05Z</dcterms:modified>
</cp:coreProperties>
</file>