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tabs>
          <w:tab w:val="left" w:pos="540"/>
        </w:tabs>
        <w:suppressAutoHyphens w:val="0"/>
        <w:autoSpaceDE w:val="0"/>
        <w:autoSpaceDN w:val="0"/>
        <w:adjustRightInd w:val="0"/>
        <w:spacing w:before="120" w:after="60"/>
        <w:jc w:val="center"/>
        <w:outlineLvl w:val="2"/>
        <w:rPr>
          <w:rFonts w:ascii="Arial" w:eastAsia="Times New Roman" w:hAnsi="Arial" w:cs="Arial"/>
          <w:bCs/>
          <w:color w:val="auto"/>
          <w:sz w:val="16"/>
          <w:szCs w:val="16"/>
          <w:lang w:bidi="ar-SA"/>
        </w:rPr>
      </w:pPr>
      <w:r>
        <w:rPr>
          <w:rFonts w:ascii="Times New Roman" w:eastAsia="Calibri" w:hAnsi="Times New Roman" w:cs="Times New Roman"/>
          <w:b/>
          <w:noProof/>
          <w:color w:val="auto"/>
          <w:sz w:val="20"/>
          <w:szCs w:val="20"/>
          <w:lang w:bidi="ar-SA"/>
        </w:rPr>
        <w:drawing>
          <wp:anchor distT="36195" distB="36195" distL="36195" distR="36195" simplePos="0" relativeHeight="251659264" behindDoc="0" locked="0" layoutInCell="1" allowOverlap="1">
            <wp:simplePos x="0" y="0"/>
            <wp:positionH relativeFrom="column">
              <wp:posOffset>2897505</wp:posOffset>
            </wp:positionH>
            <wp:positionV relativeFrom="paragraph">
              <wp:posOffset>211455</wp:posOffset>
            </wp:positionV>
            <wp:extent cx="466725" cy="41910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19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widowControl/>
        <w:suppressAutoHyphens w:val="0"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>
      <w:pPr>
        <w:widowControl/>
        <w:suppressAutoHyphens w:val="0"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>
      <w:pPr>
        <w:widowControl/>
        <w:suppressAutoHyphens w:val="0"/>
        <w:spacing w:line="276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>
      <w:pPr>
        <w:keepNext/>
        <w:keepLines/>
        <w:widowControl/>
        <w:suppressAutoHyphens w:val="0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ar-SA" w:bidi="ar-SA"/>
        </w:rPr>
      </w:pPr>
    </w:p>
    <w:p>
      <w:pPr>
        <w:keepNext/>
        <w:keepLines/>
        <w:widowControl/>
        <w:suppressAutoHyphens w:val="0"/>
        <w:jc w:val="center"/>
        <w:rPr>
          <w:rFonts w:ascii="Times New Roman" w:eastAsia="Calibri" w:hAnsi="Times New Roman" w:cs="Times New Roman"/>
          <w:b/>
          <w:color w:val="auto"/>
          <w:lang w:eastAsia="ar-SA" w:bidi="ar-SA"/>
        </w:rPr>
      </w:pPr>
      <w:r>
        <w:rPr>
          <w:rFonts w:ascii="Times New Roman" w:eastAsia="Calibri" w:hAnsi="Times New Roman" w:cs="Times New Roman"/>
          <w:b/>
          <w:color w:val="auto"/>
          <w:lang w:eastAsia="ar-SA" w:bidi="ar-SA"/>
        </w:rPr>
        <w:t>КОМИТЕТ ПО КУЛЬТУРЕ САНКТ-ПЕТЕРБУРГА</w:t>
      </w:r>
    </w:p>
    <w:p>
      <w:pPr>
        <w:keepNext/>
        <w:keepLines/>
        <w:widowControl/>
        <w:suppressAutoHyphens w:val="0"/>
        <w:jc w:val="center"/>
        <w:rPr>
          <w:rFonts w:ascii="Times New Roman" w:eastAsia="Calibri" w:hAnsi="Times New Roman" w:cs="Times New Roman"/>
          <w:b/>
          <w:color w:val="auto"/>
          <w:lang w:eastAsia="ar-SA" w:bidi="ar-SA"/>
        </w:rPr>
      </w:pPr>
    </w:p>
    <w:p>
      <w:pPr>
        <w:keepNext/>
        <w:keepLines/>
        <w:widowControl/>
        <w:suppressAutoHyphens w:val="0"/>
        <w:jc w:val="center"/>
        <w:rPr>
          <w:rFonts w:ascii="Times New Roman" w:eastAsia="Calibri" w:hAnsi="Times New Roman" w:cs="Times New Roman"/>
          <w:b/>
          <w:color w:val="auto"/>
          <w:lang w:eastAsia="ar-SA" w:bidi="ar-SA"/>
        </w:rPr>
      </w:pPr>
      <w:r>
        <w:rPr>
          <w:rFonts w:ascii="Times New Roman" w:eastAsia="Calibri" w:hAnsi="Times New Roman" w:cs="Times New Roman"/>
          <w:b/>
          <w:color w:val="auto"/>
          <w:lang w:eastAsia="ar-SA" w:bidi="ar-SA"/>
        </w:rPr>
        <w:t xml:space="preserve">САНКТ-ПЕТЕРБУРГСКОЕ ГОСУДАРСТВЕННОЕ БЮДЖЕТНОЕ УЧРЕЖДЕНИЕ КУЛЬТУРЫ  </w:t>
      </w:r>
    </w:p>
    <w:p>
      <w:pPr>
        <w:keepNext/>
        <w:keepLines/>
        <w:widowControl/>
        <w:suppressAutoHyphens w:val="0"/>
        <w:jc w:val="center"/>
        <w:rPr>
          <w:rFonts w:ascii="Times New Roman" w:eastAsia="Calibri" w:hAnsi="Times New Roman" w:cs="Times New Roman"/>
          <w:b/>
          <w:color w:val="auto"/>
          <w:lang w:eastAsia="ar-SA" w:bidi="ar-SA"/>
        </w:rPr>
      </w:pPr>
      <w:r>
        <w:rPr>
          <w:rFonts w:ascii="Times New Roman" w:eastAsia="Calibri" w:hAnsi="Times New Roman" w:cs="Times New Roman"/>
          <w:b/>
          <w:color w:val="auto"/>
          <w:lang w:eastAsia="ar-SA" w:bidi="ar-SA"/>
        </w:rPr>
        <w:t>«Детский драматический «Театр у Нарвских ворот»»</w:t>
      </w:r>
    </w:p>
    <w:p>
      <w:pPr>
        <w:autoSpaceDE w:val="0"/>
        <w:autoSpaceDN w:val="0"/>
        <w:adjustRightInd w:val="0"/>
        <w:ind w:firstLine="142"/>
        <w:jc w:val="center"/>
        <w:outlineLvl w:val="2"/>
        <w:rPr>
          <w:rFonts w:ascii="Times New Roman" w:hAnsi="Times New Roman"/>
          <w:b/>
        </w:rPr>
      </w:pPr>
    </w:p>
    <w:p>
      <w:pPr>
        <w:autoSpaceDE w:val="0"/>
        <w:autoSpaceDN w:val="0"/>
        <w:adjustRightInd w:val="0"/>
        <w:ind w:left="5529"/>
        <w:outlineLvl w:val="2"/>
        <w:rPr>
          <w:rFonts w:ascii="Times New Roman" w:hAnsi="Times New Roman"/>
          <w:b/>
        </w:rPr>
      </w:pPr>
    </w:p>
    <w:p>
      <w:pPr>
        <w:autoSpaceDE w:val="0"/>
        <w:autoSpaceDN w:val="0"/>
        <w:adjustRightInd w:val="0"/>
        <w:ind w:left="5529"/>
        <w:outlineLvl w:val="2"/>
        <w:rPr>
          <w:rFonts w:ascii="Times New Roman" w:hAnsi="Times New Roman"/>
        </w:rPr>
      </w:pPr>
      <w:r>
        <w:rPr>
          <w:rFonts w:ascii="Times New Roman" w:hAnsi="Times New Roman"/>
          <w:b/>
        </w:rPr>
        <w:t>УТВЕРЖДАЮ</w:t>
      </w:r>
    </w:p>
    <w:p>
      <w:pPr>
        <w:autoSpaceDE w:val="0"/>
        <w:autoSpaceDN w:val="0"/>
        <w:adjustRightInd w:val="0"/>
        <w:ind w:left="5529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Художественный руководитель</w:t>
      </w:r>
    </w:p>
    <w:p>
      <w:pPr>
        <w:autoSpaceDE w:val="0"/>
        <w:autoSpaceDN w:val="0"/>
        <w:adjustRightInd w:val="0"/>
        <w:ind w:left="5529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СПБ ГБУК "Театр у Нарвских ворот"                                                                                       </w:t>
      </w:r>
    </w:p>
    <w:p>
      <w:pPr>
        <w:autoSpaceDE w:val="0"/>
        <w:autoSpaceDN w:val="0"/>
        <w:adjustRightInd w:val="0"/>
        <w:ind w:left="5529"/>
        <w:outlineLvl w:val="2"/>
        <w:rPr>
          <w:rFonts w:ascii="Times New Roman" w:hAnsi="Times New Roman"/>
        </w:rPr>
      </w:pPr>
    </w:p>
    <w:p>
      <w:pPr>
        <w:autoSpaceDE w:val="0"/>
        <w:autoSpaceDN w:val="0"/>
        <w:adjustRightInd w:val="0"/>
        <w:ind w:left="5529"/>
        <w:outlineLvl w:val="2"/>
        <w:rPr>
          <w:rFonts w:ascii="Times New Roman" w:hAnsi="Times New Roman"/>
        </w:rPr>
      </w:pPr>
    </w:p>
    <w:p>
      <w:pPr>
        <w:autoSpaceDE w:val="0"/>
        <w:autoSpaceDN w:val="0"/>
        <w:adjustRightInd w:val="0"/>
        <w:ind w:left="5529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 В.М. </w:t>
      </w:r>
      <w:proofErr w:type="spellStart"/>
      <w:r>
        <w:rPr>
          <w:rFonts w:ascii="Times New Roman" w:hAnsi="Times New Roman"/>
        </w:rPr>
        <w:t>Лутц</w:t>
      </w:r>
      <w:proofErr w:type="spellEnd"/>
    </w:p>
    <w:p>
      <w:pPr>
        <w:autoSpaceDE w:val="0"/>
        <w:autoSpaceDN w:val="0"/>
        <w:adjustRightInd w:val="0"/>
        <w:ind w:left="5529"/>
        <w:outlineLvl w:val="2"/>
        <w:rPr>
          <w:rFonts w:ascii="Times New Roman" w:hAnsi="Times New Roman"/>
          <w:bCs/>
        </w:rPr>
      </w:pPr>
    </w:p>
    <w:p>
      <w:pPr>
        <w:autoSpaceDE w:val="0"/>
        <w:autoSpaceDN w:val="0"/>
        <w:adjustRightInd w:val="0"/>
        <w:ind w:left="5529"/>
        <w:outlineLvl w:val="2"/>
        <w:rPr>
          <w:rFonts w:ascii="Times New Roman" w:hAnsi="Times New Roman"/>
        </w:rPr>
      </w:pPr>
      <w:r>
        <w:rPr>
          <w:rFonts w:ascii="Times New Roman" w:hAnsi="Times New Roman"/>
          <w:bCs/>
        </w:rPr>
        <w:t>«20» мая 2026 год</w:t>
      </w:r>
    </w:p>
    <w:p>
      <w:pPr>
        <w:autoSpaceDE w:val="0"/>
        <w:autoSpaceDN w:val="0"/>
        <w:adjustRightInd w:val="0"/>
        <w:ind w:left="5529"/>
        <w:outlineLvl w:val="2"/>
        <w:rPr>
          <w:rFonts w:ascii="Times New Roman" w:hAnsi="Times New Roman"/>
        </w:rPr>
      </w:pPr>
    </w:p>
    <w:p>
      <w:pPr>
        <w:autoSpaceDE w:val="0"/>
        <w:autoSpaceDN w:val="0"/>
        <w:adjustRightInd w:val="0"/>
        <w:ind w:left="5529"/>
        <w:outlineLvl w:val="2"/>
        <w:rPr>
          <w:rFonts w:ascii="Times New Roman" w:hAnsi="Times New Roman"/>
        </w:rPr>
      </w:pPr>
    </w:p>
    <w:p>
      <w:pPr>
        <w:ind w:right="-144" w:firstLine="567"/>
        <w:jc w:val="center"/>
        <w:rPr>
          <w:rFonts w:ascii="Times New Roman" w:hAnsi="Times New Roman"/>
          <w:b/>
          <w:caps/>
        </w:rPr>
      </w:pPr>
    </w:p>
    <w:p>
      <w:pPr>
        <w:ind w:right="-144" w:firstLine="567"/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caps/>
        </w:rPr>
        <w:t xml:space="preserve">ТЕХНИЧЕСКОЕ ЗАДАНИЕ      </w:t>
      </w:r>
      <w:r>
        <w:rPr>
          <w:rFonts w:ascii="Times New Roman" w:hAnsi="Times New Roman"/>
          <w:b/>
          <w:bCs/>
          <w:caps/>
        </w:rPr>
        <w:t xml:space="preserve"> ТЗ-260521-332278</w:t>
      </w:r>
    </w:p>
    <w:p>
      <w:pPr>
        <w:ind w:right="-144" w:firstLine="567"/>
        <w:jc w:val="center"/>
        <w:rPr>
          <w:rFonts w:ascii="Times New Roman" w:hAnsi="Times New Roman"/>
          <w:b/>
          <w:bCs/>
          <w:caps/>
        </w:rPr>
      </w:pPr>
    </w:p>
    <w:p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 xml:space="preserve">Оказание услуг на право использования сервиса для рассылки писем по базе подписчиков для нужд СПБ ГБУК «Театр у Нарвских ворот» в 2026 году. </w:t>
      </w:r>
    </w:p>
    <w:p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  <w:bCs/>
          <w:caps/>
        </w:rPr>
      </w:pPr>
    </w:p>
    <w:p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для нужд Санкт-Петербургского государственного бюджетного учреждения культуры «Детский драматический «Театр у Нарвских ворот»</w:t>
      </w:r>
      <w:r>
        <w:rPr>
          <w:rFonts w:ascii="Times New Roman" w:hAnsi="Times New Roman"/>
          <w:b/>
          <w:bCs/>
          <w:caps/>
        </w:rPr>
        <w:tab/>
      </w:r>
    </w:p>
    <w:p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  <w:bCs/>
          <w:caps/>
        </w:rPr>
      </w:pPr>
    </w:p>
    <w:p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  <w:bCs/>
          <w:caps/>
        </w:rPr>
      </w:pPr>
    </w:p>
    <w:p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  <w:bCs/>
          <w:caps/>
        </w:rPr>
      </w:pPr>
    </w:p>
    <w:p>
      <w:pPr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  <w:bCs/>
          <w:caps/>
        </w:rPr>
      </w:pPr>
    </w:p>
    <w:p>
      <w:pPr>
        <w:autoSpaceDE w:val="0"/>
        <w:autoSpaceDN w:val="0"/>
        <w:adjustRightInd w:val="0"/>
        <w:outlineLvl w:val="2"/>
        <w:rPr>
          <w:rFonts w:ascii="Times New Roman" w:hAnsi="Times New Roman"/>
        </w:rPr>
      </w:pPr>
    </w:p>
    <w:p>
      <w:pPr>
        <w:autoSpaceDE w:val="0"/>
        <w:autoSpaceDN w:val="0"/>
        <w:adjustRightInd w:val="0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СОГЛАСОВАНО:</w:t>
      </w:r>
    </w:p>
    <w:p>
      <w:pPr>
        <w:autoSpaceDE w:val="0"/>
        <w:autoSpaceDN w:val="0"/>
        <w:adjustRightInd w:val="0"/>
        <w:outlineLvl w:val="2"/>
        <w:rPr>
          <w:rFonts w:ascii="Times New Roman" w:hAnsi="Times New Roman"/>
        </w:rPr>
      </w:pPr>
    </w:p>
    <w:p>
      <w:pPr>
        <w:autoSpaceDE w:val="0"/>
        <w:autoSpaceDN w:val="0"/>
        <w:adjustRightInd w:val="0"/>
        <w:outlineLvl w:val="2"/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Заместитель художественного руководителя                                                  А.А. </w:t>
      </w:r>
      <w:proofErr w:type="spellStart"/>
      <w:r>
        <w:rPr>
          <w:rFonts w:ascii="Times New Roman" w:hAnsi="Times New Roman"/>
        </w:rPr>
        <w:t>Арнет</w:t>
      </w:r>
      <w:proofErr w:type="spellEnd"/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eastAsia="Times New Roman" w:hAnsi="Times New Roman"/>
        </w:rPr>
      </w:pPr>
      <w:r>
        <w:rPr>
          <w:rFonts w:ascii="Times New Roman" w:hAnsi="Times New Roman"/>
        </w:rPr>
        <w:t xml:space="preserve">Контрактный управляющий                                                                              </w:t>
      </w:r>
      <w:r>
        <w:rPr>
          <w:rFonts w:ascii="Times New Roman" w:eastAsia="Times New Roman" w:hAnsi="Times New Roman"/>
        </w:rPr>
        <w:t>А.И. Кондратюк</w:t>
      </w:r>
    </w:p>
    <w:p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lang w:val="x-none"/>
        </w:rPr>
      </w:pPr>
    </w:p>
    <w:p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lang w:val="x-none"/>
        </w:rPr>
      </w:pPr>
    </w:p>
    <w:p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lang w:val="x-none"/>
        </w:rPr>
      </w:pPr>
    </w:p>
    <w:p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lang w:val="x-none"/>
        </w:rPr>
      </w:pPr>
    </w:p>
    <w:p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lang w:val="x-none"/>
        </w:rPr>
      </w:pPr>
    </w:p>
    <w:p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lang w:val="x-none"/>
        </w:rPr>
      </w:pPr>
    </w:p>
    <w:p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lang w:val="x-none"/>
        </w:rPr>
      </w:pPr>
      <w:r>
        <w:rPr>
          <w:rFonts w:ascii="Times New Roman" w:eastAsia="Times New Roman" w:hAnsi="Times New Roman"/>
          <w:b/>
          <w:lang w:val="x-none"/>
        </w:rPr>
        <w:t>Санкт-Петербург</w:t>
      </w:r>
    </w:p>
    <w:p>
      <w:pPr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</w:rPr>
        <w:t>2026</w:t>
      </w:r>
      <w:r>
        <w:rPr>
          <w:rFonts w:ascii="Times New Roman" w:eastAsia="Times New Roman" w:hAnsi="Times New Roman"/>
          <w:b/>
          <w:lang w:val="x-none"/>
        </w:rPr>
        <w:t xml:space="preserve"> год</w:t>
      </w:r>
    </w:p>
    <w:p>
      <w:pPr>
        <w:pStyle w:val="affc"/>
        <w:rPr>
          <w:i/>
        </w:rPr>
      </w:pPr>
    </w:p>
    <w:p>
      <w:pPr>
        <w:pStyle w:val="aff"/>
        <w:jc w:val="center"/>
        <w:rPr>
          <w:lang w:eastAsia="zh-CN"/>
        </w:rPr>
      </w:pPr>
    </w:p>
    <w:p>
      <w:pPr>
        <w:pStyle w:val="affc"/>
        <w:rPr>
          <w:i/>
        </w:rPr>
      </w:pPr>
      <w:r>
        <w:lastRenderedPageBreak/>
        <w:t>Раздел 1. Общие требования.</w:t>
      </w:r>
    </w:p>
    <w:p>
      <w:pPr>
        <w:pStyle w:val="aff"/>
        <w:rPr>
          <w:lang w:eastAsia="zh-CN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6555"/>
      </w:tblGrid>
      <w:tr>
        <w:trPr>
          <w:trHeight w:val="296"/>
        </w:trPr>
        <w:tc>
          <w:tcPr>
            <w:tcW w:w="10065" w:type="dxa"/>
            <w:gridSpan w:val="3"/>
            <w:shd w:val="clear" w:color="auto" w:fill="auto"/>
          </w:tcPr>
          <w:p>
            <w:pPr>
              <w:pStyle w:val="aff3"/>
              <w:widowControl/>
              <w:numPr>
                <w:ilvl w:val="0"/>
                <w:numId w:val="10"/>
              </w:numPr>
              <w:suppressAutoHyphens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Информация о получателе </w:t>
            </w: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организации Получателя</w:t>
            </w:r>
          </w:p>
        </w:tc>
        <w:tc>
          <w:tcPr>
            <w:tcW w:w="6555" w:type="dxa"/>
            <w:shd w:val="clear" w:color="auto" w:fill="auto"/>
          </w:tcPr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Санкт-Петербургское государственное бюджетное учреждение культуры «Детский драматический «Театр у Нарвских ворот»</w:t>
            </w: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Получателя</w:t>
            </w:r>
          </w:p>
        </w:tc>
        <w:tc>
          <w:tcPr>
            <w:tcW w:w="6555" w:type="dxa"/>
            <w:shd w:val="clear" w:color="auto" w:fill="auto"/>
          </w:tcPr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7805026935</w:t>
            </w:r>
          </w:p>
        </w:tc>
      </w:tr>
      <w:tr>
        <w:trPr>
          <w:trHeight w:val="481"/>
        </w:trP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Получателя</w:t>
            </w:r>
          </w:p>
        </w:tc>
        <w:tc>
          <w:tcPr>
            <w:tcW w:w="6555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198095, Санкт-Петербург, ул. Зои Космодемьянской, дом 3</w:t>
            </w: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оказания услуг</w:t>
            </w:r>
          </w:p>
        </w:tc>
        <w:tc>
          <w:tcPr>
            <w:tcW w:w="6555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198095, Санкт-Петербург, ул. Зои Космодемьянской, дом 3</w:t>
            </w:r>
          </w:p>
        </w:tc>
      </w:tr>
      <w:tr>
        <w:trPr>
          <w:trHeight w:val="70"/>
        </w:trP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контактного лица Получателя</w:t>
            </w:r>
          </w:p>
        </w:tc>
        <w:tc>
          <w:tcPr>
            <w:tcW w:w="6555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А.А. </w:t>
            </w:r>
            <w:proofErr w:type="spellStart"/>
            <w:r>
              <w:rPr>
                <w:rFonts w:ascii="Times New Roman" w:hAnsi="Times New Roman" w:cs="Times New Roman"/>
              </w:rPr>
              <w:t>Арнет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 Получателя</w:t>
            </w:r>
          </w:p>
        </w:tc>
        <w:tc>
          <w:tcPr>
            <w:tcW w:w="6555" w:type="dxa"/>
            <w:shd w:val="clear" w:color="auto" w:fill="auto"/>
          </w:tcPr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(812) 786-52-00</w:t>
            </w:r>
          </w:p>
        </w:tc>
      </w:tr>
      <w:tr>
        <w:trPr>
          <w:trHeight w:val="304"/>
        </w:trPr>
        <w:tc>
          <w:tcPr>
            <w:tcW w:w="10065" w:type="dxa"/>
            <w:gridSpan w:val="3"/>
            <w:shd w:val="clear" w:color="auto" w:fill="auto"/>
          </w:tcPr>
          <w:p>
            <w:pPr>
              <w:pStyle w:val="aff3"/>
              <w:widowControl/>
              <w:numPr>
                <w:ilvl w:val="0"/>
                <w:numId w:val="10"/>
              </w:numPr>
              <w:suppressAutoHyphens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Информация о финансировании </w:t>
            </w: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6555" w:type="dxa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Санкт-Петербургское государственное бюджетное учреждение культуры «Детский драматический «Театр у Нарвских ворот»</w:t>
            </w:r>
          </w:p>
        </w:tc>
      </w:tr>
      <w:tr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Начальная (максимальная) цена</w:t>
            </w:r>
          </w:p>
        </w:tc>
        <w:tc>
          <w:tcPr>
            <w:tcW w:w="6555" w:type="dxa"/>
            <w:shd w:val="clear" w:color="auto" w:fill="auto"/>
            <w:vAlign w:val="center"/>
          </w:tcPr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27 720,00 рублей</w:t>
            </w: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для оказания услуг</w:t>
            </w:r>
          </w:p>
        </w:tc>
        <w:tc>
          <w:tcPr>
            <w:tcW w:w="6555" w:type="dxa"/>
            <w:shd w:val="clear" w:color="auto" w:fill="auto"/>
          </w:tcPr>
          <w:p>
            <w:pPr>
              <w:pStyle w:val="aff1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Закон Санкт-Петербурга от 26.11.2025 № 659-124 "О бюджете Санкт-Петербурга на 2026 год и на плановый период 2027 и 2028 годов"</w:t>
            </w:r>
          </w:p>
          <w:p>
            <w:pPr>
              <w:pStyle w:val="aff1"/>
              <w:jc w:val="both"/>
              <w:rPr>
                <w:rFonts w:cs="Times New Roman"/>
                <w:b/>
              </w:rPr>
            </w:pPr>
          </w:p>
        </w:tc>
      </w:tr>
      <w:tr>
        <w:trPr>
          <w:trHeight w:val="1023"/>
        </w:trP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6555" w:type="dxa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Внебюджетные средства, средства бюджетных учреждений, код вида расходов 244, код ОСГУ 226</w:t>
            </w:r>
          </w:p>
        </w:tc>
      </w:tr>
      <w:tr>
        <w:trPr>
          <w:trHeight w:val="304"/>
        </w:trPr>
        <w:tc>
          <w:tcPr>
            <w:tcW w:w="10065" w:type="dxa"/>
            <w:gridSpan w:val="3"/>
            <w:shd w:val="clear" w:color="auto" w:fill="auto"/>
          </w:tcPr>
          <w:p>
            <w:pPr>
              <w:pStyle w:val="aff3"/>
              <w:widowControl/>
              <w:numPr>
                <w:ilvl w:val="0"/>
                <w:numId w:val="10"/>
              </w:numPr>
              <w:suppressAutoHyphens w:val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br w:type="page"/>
            </w:r>
            <w:r>
              <w:rPr>
                <w:rFonts w:ascii="Times New Roman" w:hAnsi="Times New Roman" w:cs="Times New Roman"/>
                <w:b/>
              </w:rPr>
              <w:t>Предмет, условия и сроки поставки товара (оказания услуг, выполнения работ)</w:t>
            </w: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 закупки</w:t>
            </w:r>
          </w:p>
        </w:tc>
        <w:tc>
          <w:tcPr>
            <w:tcW w:w="6555" w:type="dxa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Оказание услуг на право использования сервиса для рассылки писем по базе подписчиков для нужд СПБ ГБУК «Театр у Нарвских ворот» в 2026 году.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6555" w:type="dxa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 момента подписания контракта (договора), по 30.06.2027 г (включительно).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Гарантийный срок</w:t>
            </w:r>
          </w:p>
        </w:tc>
        <w:tc>
          <w:tcPr>
            <w:tcW w:w="6555" w:type="dxa"/>
            <w:shd w:val="clear" w:color="auto" w:fill="auto"/>
          </w:tcPr>
          <w:p>
            <w:pPr>
              <w:pStyle w:val="aff1"/>
              <w:suppressLineNumbers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Гарантийные обязательства на услуги распространяются на весь период оказания услуг и также действуют 3 (три) месяца с даты окончания оказания услуг по контракту (договору).</w:t>
            </w:r>
          </w:p>
          <w:p>
            <w:pPr>
              <w:pStyle w:val="aff1"/>
              <w:suppressLineNumbers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      </w:r>
          </w:p>
          <w:p>
            <w:pPr>
              <w:pStyle w:val="aff1"/>
              <w:suppressLineNumbers w:val="0"/>
              <w:jc w:val="both"/>
              <w:rPr>
                <w:rFonts w:cs="Times New Roman"/>
              </w:rPr>
            </w:pP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данной закупки</w:t>
            </w:r>
          </w:p>
        </w:tc>
        <w:tc>
          <w:tcPr>
            <w:tcW w:w="6555" w:type="dxa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выполнения учреждением своей уставной деятельности.</w:t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ОКПД2</w:t>
            </w:r>
          </w:p>
        </w:tc>
        <w:tc>
          <w:tcPr>
            <w:tcW w:w="6555" w:type="dxa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63.11.19.000 Услуги прочие по размещению и предоставлению инфраструктуры информационных технологий</w:t>
            </w:r>
          </w:p>
        </w:tc>
      </w:tr>
      <w:tr>
        <w:tc>
          <w:tcPr>
            <w:tcW w:w="534" w:type="dxa"/>
            <w:shd w:val="clear" w:color="auto" w:fill="auto"/>
          </w:tcPr>
          <w:p>
            <w:pPr>
              <w:pStyle w:val="aff3"/>
              <w:widowControl/>
              <w:numPr>
                <w:ilvl w:val="1"/>
                <w:numId w:val="10"/>
              </w:numPr>
              <w:suppressAutoHyphens w:val="0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shd w:val="clear" w:color="auto" w:fill="auto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КТРУ / ККН</w:t>
            </w:r>
          </w:p>
        </w:tc>
        <w:tc>
          <w:tcPr>
            <w:tcW w:w="6555" w:type="dxa"/>
            <w:shd w:val="clear" w:color="auto" w:fill="auto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>
      <w:pPr>
        <w:pStyle w:val="aff"/>
        <w:rPr>
          <w:lang w:eastAsia="zh-CN"/>
        </w:rPr>
      </w:pPr>
    </w:p>
    <w:p>
      <w:pPr>
        <w:pStyle w:val="affc"/>
      </w:pPr>
    </w:p>
    <w:p>
      <w:pPr>
        <w:pStyle w:val="affc"/>
      </w:pPr>
    </w:p>
    <w:p>
      <w:pPr>
        <w:pStyle w:val="affc"/>
      </w:pPr>
    </w:p>
    <w:p>
      <w:pPr>
        <w:pStyle w:val="affc"/>
      </w:pPr>
    </w:p>
    <w:p>
      <w:pPr>
        <w:pStyle w:val="affc"/>
        <w:rPr>
          <w:b w:val="0"/>
        </w:rPr>
      </w:pPr>
      <w:r>
        <w:t>Раздел 2. Описание объекта закупки и условий контракта в соответствии со статьей 33 Закона</w:t>
      </w:r>
    </w:p>
    <w:p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>
      <w:pPr>
        <w:pStyle w:val="aff3"/>
        <w:widowControl/>
        <w:numPr>
          <w:ilvl w:val="0"/>
          <w:numId w:val="4"/>
        </w:numPr>
        <w:tabs>
          <w:tab w:val="left" w:pos="993"/>
        </w:tabs>
        <w:suppressAutoHyphens w:val="0"/>
        <w:autoSpaceDE w:val="0"/>
        <w:autoSpaceDN w:val="0"/>
        <w:adjustRightInd w:val="0"/>
        <w:ind w:left="0" w:firstLine="567"/>
        <w:contextualSpacing w:val="0"/>
        <w:jc w:val="center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>Требования к функциональным, техническим и эксплуатационным характеристикам объекта закупки</w:t>
      </w:r>
    </w:p>
    <w:p>
      <w:pPr>
        <w:pStyle w:val="aff3"/>
        <w:tabs>
          <w:tab w:val="left" w:pos="993"/>
        </w:tabs>
        <w:autoSpaceDE w:val="0"/>
        <w:autoSpaceDN w:val="0"/>
        <w:adjustRightInd w:val="0"/>
        <w:ind w:left="567"/>
        <w:contextualSpacing w:val="0"/>
        <w:rPr>
          <w:rFonts w:ascii="Times New Roman" w:hAnsi="Times New Roman" w:cs="Times New Roman"/>
          <w:bCs/>
        </w:rPr>
      </w:pPr>
    </w:p>
    <w:p>
      <w:pPr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1.1. </w:t>
      </w:r>
      <w:r>
        <w:rPr>
          <w:rFonts w:ascii="Times New Roman" w:eastAsia="Times New Roman" w:hAnsi="Times New Roman" w:cs="Times New Roman"/>
          <w:b/>
        </w:rPr>
        <w:t>Предметом контракта</w:t>
      </w:r>
      <w:r>
        <w:rPr>
          <w:rFonts w:ascii="Times New Roman" w:eastAsia="Times New Roman" w:hAnsi="Times New Roman" w:cs="Times New Roman"/>
        </w:rPr>
        <w:t xml:space="preserve"> (договора) является </w:t>
      </w:r>
      <w:bookmarkStart w:id="0" w:name="_GoBack"/>
      <w:r>
        <w:rPr>
          <w:rFonts w:ascii="Times New Roman" w:eastAsia="Times New Roman" w:hAnsi="Times New Roman" w:cs="Times New Roman"/>
          <w:b/>
        </w:rPr>
        <w:t>оказание услуг на право использования сервиса для рассылки писем по базе подписчиков для нужд СПБ ГБУК «Театр у Нарвских ворот» в 2026 году.</w:t>
      </w:r>
    </w:p>
    <w:bookmarkEnd w:id="0"/>
    <w:p>
      <w:pPr>
        <w:pStyle w:val="aff3"/>
        <w:numPr>
          <w:ilvl w:val="1"/>
          <w:numId w:val="4"/>
        </w:numPr>
        <w:autoSpaceDE w:val="0"/>
        <w:autoSpaceDN w:val="0"/>
        <w:ind w:left="0" w:firstLine="53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по Общероссийскому классификатору продукции по видам экономической деятельности (ОКПД2) ОК 034-2014 с указанием вида услуги, соответствующей предмету закупки: 63.11.19.000 Услуги прочие по размещению и предоставлению инфраструктуры информационных технологий.</w:t>
      </w:r>
    </w:p>
    <w:p>
      <w:pPr>
        <w:pStyle w:val="aff3"/>
        <w:numPr>
          <w:ilvl w:val="1"/>
          <w:numId w:val="4"/>
        </w:numPr>
        <w:autoSpaceDE w:val="0"/>
        <w:autoSpaceDN w:val="0"/>
        <w:ind w:left="0" w:firstLine="53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Основной государственный регистрационный номер</w:t>
      </w:r>
      <w:r>
        <w:t xml:space="preserve"> (с</w:t>
      </w:r>
      <w:r>
        <w:rPr>
          <w:rFonts w:ascii="Times New Roman" w:eastAsia="Times New Roman" w:hAnsi="Times New Roman" w:cs="Times New Roman"/>
        </w:rPr>
        <w:t>ведения о государственной регистрации программного обеспечения):</w:t>
      </w:r>
    </w:p>
    <w:p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</w:p>
    <w:p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Порядковый номер реестровой записи: 2020618882 от 06.08.2020</w:t>
      </w:r>
    </w:p>
    <w:p>
      <w:pPr>
        <w:autoSpaceDE w:val="0"/>
        <w:autoSpaceDN w:val="0"/>
        <w:jc w:val="both"/>
        <w:rPr>
          <w:rFonts w:ascii="Times New Roman" w:eastAsia="Times New Roman" w:hAnsi="Times New Roman" w:cs="Times New Roman"/>
          <w:b/>
        </w:rPr>
      </w:pPr>
    </w:p>
    <w:p>
      <w:pPr>
        <w:pStyle w:val="aff3"/>
        <w:numPr>
          <w:ilvl w:val="1"/>
          <w:numId w:val="4"/>
        </w:numPr>
        <w:autoSpaceDE w:val="0"/>
        <w:autoSpaceDN w:val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Место оказания услуг</w:t>
      </w:r>
      <w:r>
        <w:rPr>
          <w:rFonts w:ascii="Times New Roman" w:eastAsia="Times New Roman" w:hAnsi="Times New Roman" w:cs="Times New Roman"/>
        </w:rPr>
        <w:t xml:space="preserve">: 198095, </w:t>
      </w:r>
      <w:proofErr w:type="spellStart"/>
      <w:r>
        <w:rPr>
          <w:rFonts w:ascii="Times New Roman" w:eastAsia="Times New Roman" w:hAnsi="Times New Roman" w:cs="Times New Roman"/>
        </w:rPr>
        <w:t>г.Санкт</w:t>
      </w:r>
      <w:proofErr w:type="spellEnd"/>
      <w:r>
        <w:rPr>
          <w:rFonts w:ascii="Times New Roman" w:eastAsia="Times New Roman" w:hAnsi="Times New Roman" w:cs="Times New Roman"/>
        </w:rPr>
        <w:t>-Петербург, ул. Зои Космодемьянской, дом 3.</w:t>
      </w:r>
    </w:p>
    <w:p>
      <w:pPr>
        <w:pStyle w:val="aff3"/>
        <w:numPr>
          <w:ilvl w:val="1"/>
          <w:numId w:val="4"/>
        </w:numPr>
        <w:autoSpaceDE w:val="0"/>
        <w:autoSpaceDN w:val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Сроки проведения закупки</w:t>
      </w:r>
      <w:r>
        <w:rPr>
          <w:rFonts w:ascii="Times New Roman" w:eastAsia="Times New Roman" w:hAnsi="Times New Roman" w:cs="Times New Roman"/>
        </w:rPr>
        <w:t>: июнь 2026 г.</w:t>
      </w:r>
    </w:p>
    <w:p>
      <w:pPr>
        <w:pStyle w:val="aff3"/>
        <w:numPr>
          <w:ilvl w:val="1"/>
          <w:numId w:val="4"/>
        </w:numPr>
        <w:autoSpaceDE w:val="0"/>
        <w:autoSpaceDN w:val="0"/>
        <w:ind w:left="0" w:firstLine="53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Требования к качеству и безопасности оказания услуг</w:t>
      </w:r>
      <w:r>
        <w:rPr>
          <w:rFonts w:ascii="Times New Roman" w:eastAsia="Times New Roman" w:hAnsi="Times New Roman" w:cs="Times New Roman"/>
        </w:rPr>
        <w:t>: все услуги должны оказываться в полном соответствии с действующим законодательством Российской Федерации. Их качество и безопасность должны соответствовать всем установленным нормам и правилам, регулирующим правоотношения Сторон в сфере исполнения настоящего контракта (договора).</w:t>
      </w:r>
    </w:p>
    <w:p>
      <w:pPr>
        <w:pStyle w:val="aff3"/>
        <w:numPr>
          <w:ilvl w:val="1"/>
          <w:numId w:val="4"/>
        </w:numPr>
        <w:autoSpaceDE w:val="0"/>
        <w:autoSpaceDN w:val="0"/>
        <w:ind w:left="0" w:firstLine="53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Требования к сроку и объему предоставления гарантий качества: </w:t>
      </w:r>
      <w:r>
        <w:rPr>
          <w:rFonts w:ascii="Times New Roman" w:eastAsia="Times New Roman" w:hAnsi="Times New Roman" w:cs="Times New Roman"/>
        </w:rPr>
        <w:t>гарантийные обязательства на услуги распространяются на весь период оказания услуг и также действуют 3 (три) месяца с даты окончания оказания услуг по контракту (договору).</w:t>
      </w:r>
    </w:p>
    <w:p>
      <w:pPr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</w:rPr>
      </w:pPr>
    </w:p>
    <w:p>
      <w:pPr>
        <w:pStyle w:val="aff3"/>
        <w:numPr>
          <w:ilvl w:val="0"/>
          <w:numId w:val="4"/>
        </w:numPr>
        <w:autoSpaceDE w:val="0"/>
        <w:autoSpaceDN w:val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Требования к техническим и функциональным характеристикам услуг</w:t>
      </w:r>
    </w:p>
    <w:p>
      <w:pPr>
        <w:autoSpaceDE w:val="0"/>
        <w:autoSpaceDN w:val="0"/>
        <w:jc w:val="center"/>
        <w:rPr>
          <w:rFonts w:ascii="Times New Roman" w:eastAsia="Times New Roman" w:hAnsi="Times New Roman" w:cs="Times New Roman"/>
          <w:b/>
        </w:rPr>
      </w:pPr>
    </w:p>
    <w:p>
      <w:pPr>
        <w:widowControl/>
        <w:numPr>
          <w:ilvl w:val="0"/>
          <w:numId w:val="14"/>
        </w:numPr>
        <w:suppressAutoHyphens w:val="0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Общая информация об объекте закупки</w:t>
      </w:r>
    </w:p>
    <w:p>
      <w:pPr>
        <w:widowControl/>
        <w:numPr>
          <w:ilvl w:val="1"/>
          <w:numId w:val="14"/>
        </w:numPr>
        <w:suppressAutoHyphens w:val="0"/>
        <w:ind w:left="0" w:firstLine="568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Объект закупки: право использования сервиса для рассылки писем по базе подписчиков (лицензия на использование сервиса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email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-рассылок), </w:t>
      </w:r>
      <w:r>
        <w:rPr>
          <w:rFonts w:ascii="Times New Roman" w:hAnsi="Times New Roman" w:cs="Times New Roman"/>
          <w:shd w:val="clear" w:color="auto" w:fill="FFFFFF"/>
        </w:rPr>
        <w:t>база подписчиков - 4 000 (четыре тысячи) подписчиков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>
      <w:pPr>
        <w:widowControl/>
        <w:numPr>
          <w:ilvl w:val="1"/>
          <w:numId w:val="14"/>
        </w:numPr>
        <w:suppressAutoHyphens w:val="0"/>
        <w:ind w:left="0" w:firstLine="567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Срок лицензии: 12 месяцев.</w:t>
      </w:r>
    </w:p>
    <w:p>
      <w:pPr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>
      <w:pPr>
        <w:widowControl/>
        <w:numPr>
          <w:ilvl w:val="0"/>
          <w:numId w:val="14"/>
        </w:numPr>
        <w:suppressAutoHyphens w:val="0"/>
        <w:ind w:left="567" w:firstLine="0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Условия предоставления лицензии</w:t>
      </w:r>
    </w:p>
    <w:p>
      <w:pPr>
        <w:widowControl/>
        <w:tabs>
          <w:tab w:val="left" w:pos="993"/>
          <w:tab w:val="left" w:pos="1560"/>
        </w:tabs>
        <w:spacing w:before="8" w:after="8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2.1. Правообладатель сервиса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email</w:t>
      </w:r>
      <w:r>
        <w:rPr>
          <w:rFonts w:ascii="Times New Roman" w:eastAsia="Times New Roman" w:hAnsi="Times New Roman" w:cs="Times New Roman"/>
          <w:color w:val="auto"/>
          <w:lang w:bidi="ar-SA"/>
        </w:rPr>
        <w:t>-рассылок предоставляет Пользователю право использования сервиса, обеспечивающего формирование, редактирование, доставку, подтверждение о доставке сообщений, статистические данные по открытию и прочтению сообщений, атрибутах попадания в спам, отписки и причинах отписки от рассылки и архив отправленных сообщений в течение срока действия Контракта.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2.2. Использование сервиса Пользователем осуществляется посредством удаленного доступа к Личному кабинету. Пользователь получает доступ к Личному Кабинету с помощью данных авторизации (логин, пароль).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2.3. Правообладатель в течение 3 рабочих дней предоставляет Пользователю данные авторизации и инструкцию по работе с сервисом рассылки сообщений.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2.4. Пользователю предоставляется техническая поддержка по техническим и организационным вопросам обеспечения формирования и рассылки сообщений с 09:00 до 18:00 по 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мск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>, за исключением праздничных и выходных дней. Связь Пользователя со службой технической поддержки осуществляется по электронной почте, через чат на сайте.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2.5. Правообладатель обеспечивает возможность отправки писем максимально на 5 000 уникальных адресов в отчётном периоде. Отчётный период составляет 1 месяц, в течение которого Пользователь имеет возможность добавлять и удалять адреса из базы. Так если на начало отчётного периода в базе были максимальные 5 000 адресов, но в течение месяца из базы были удалены 3 000 адресов, то в следующем отчётном периоде Пользователь имеет право добавить в базу 3 000 новых адресов. То есть фактическое значение используемых в рассылке адресов не превышает 5 000, но состав базы каждый месяц может меняться. 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Скорость отправки рассылок должна быть не менее 500 писем в минуту.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Количество писем 1 адресату и частота отправляемых писем – не ограничено. </w:t>
      </w:r>
    </w:p>
    <w:p>
      <w:pPr>
        <w:widowControl/>
        <w:spacing w:before="8" w:after="8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>
      <w:pPr>
        <w:widowControl/>
        <w:numPr>
          <w:ilvl w:val="0"/>
          <w:numId w:val="14"/>
        </w:numPr>
        <w:suppressAutoHyphens w:val="0"/>
        <w:ind w:left="567" w:firstLine="0"/>
        <w:contextualSpacing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Порядок предоставления лицензии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3.1. Все вопросы, возникающие у Правообладателя в процессе исполнения Контракта, Правообладатель должен решать с представителем Пользователя и обеспечивать надлежащее исполнение обязательств по Контракту.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3.2. Правообладатель обязан выполнять требования Пользователя, указанные в Техническом задании, не противоречащие действующему законодательству Российской Федерации.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3.3. В сервисе рассылок должен быть открытый API с доступом к технической документации.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В сервисе должна быть возможность редактирования технических заголовков писем: задать SPF и DKIM. 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3.4. В сервисе предусмотрен сбор и хранение дополнительной информации: ФИО, пол, город проживания, номер телефона, ИНН (всего до 30 полей), а также есть возможность использования этих данных для персонализации содержания письма. Например, «имя подписчика» должно подставляться автоматически, используя данные соответствующего дополнительного поля в данных подписчика. Должно быть предусмотрено добавление дополнительных полей по требованию Пользователя.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3.5. Данные дополнительных полей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Email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адреса, должны быть доступны для просмотра и сегментации во всех списках рассылки, вне зависимости от списка, в который они были изначально загружены. А также данные должны автоматически обновляться при повторном импорте из файла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Excel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или через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API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3.6. Наличие у подписчика доступа к странице управления подпиской на разные списки рассылки: подписчик может подписаться на определённые списки рассылок, а также отписаться от одного конкретного списка или от всех рассылок.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Сервис транзакционных писем (писем в ответ на действия пользователя: регистрация на сайте, регистрация на мероприятие, отправка заявки через онлайн-сервис, подписка на новости) с полной интеграцией между сервисом рассылок и системой управления сайтом.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Встроенный функционал визуального конструктора (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Drag</w:t>
      </w:r>
      <w:r>
        <w:rPr>
          <w:rFonts w:ascii="Times New Roman" w:eastAsia="Times New Roman" w:hAnsi="Times New Roman" w:cs="Times New Roman"/>
          <w:color w:val="auto"/>
          <w:lang w:bidi="ar-SA"/>
        </w:rPr>
        <w:t>&amp;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Drop</w:t>
      </w:r>
      <w:r>
        <w:rPr>
          <w:rFonts w:ascii="Times New Roman" w:eastAsia="Times New Roman" w:hAnsi="Times New Roman" w:cs="Times New Roman"/>
          <w:color w:val="auto"/>
          <w:lang w:bidi="ar-SA"/>
        </w:rPr>
        <w:t>) сценариев отправки автоматических рассылок. В визуальном конструкторе должны быть предусмотрены следующие модули для построения сценариев отправки писем: проверка прочтения письма или ряда писем, проверка перехода по ссылке (в том числе по конкретной ссылке из конкретного письма), проверка наличия или отсутствия в одном или нескольких списках контактов, проверка наличия или отсутствия контакта в определённом сегменте, проверка изменений значений дополнительных полей в данных пользователя, отслеживание активности пользователя в рассылках (читал\ не читал конкретные письма, проявлял \ не проявлял активность более указанного периода).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Возможность настройки отправки автоматических рассылок, при наступлении определённых событий: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-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>добавление в список рассылки;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>активность контакта в определённой рассылке: открытие письма, переход по определенной ссылке;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>статус электронного адреса в определенном списке контактов: добавлен, удалён, находится в списке более определенного количества дней;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>изменение статуса контакта: активен, отключен, отказался от рассылок, блокирован, не открывал письма более определённого количества дней;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добавление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Email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адреса в определенный сегмент или удаление из сегмента;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>добавление или изменение данных дополнительных полей контакта;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>доступность контакта: доступен, недоступен, временно недоступен, почтовый ящик переполнен;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день рождения подписчика.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При этом, скорость реакции сервиса на наступление события не должно превышать 5 минут.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3.7. Поддержка использования в письмах условных блоков, т.е. таких, которые показываются только определенным пользователям, в зависимости от данных дополнительных полей подписчика. 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Загрузка 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email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-адресов в базу из файла формата 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excel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 (.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xls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>, .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csv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) и выгрузки (экспорта) 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email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-адресов из базы контактов в файл формата 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excel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 (.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xls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>, .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csv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>).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Встроенный функционал для размещения статичных и всплывающих (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pop</w:t>
      </w:r>
      <w:r>
        <w:rPr>
          <w:rFonts w:ascii="Times New Roman" w:eastAsia="Times New Roman" w:hAnsi="Times New Roman" w:cs="Times New Roman"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up</w:t>
      </w:r>
      <w:r>
        <w:rPr>
          <w:rFonts w:ascii="Times New Roman" w:eastAsia="Times New Roman" w:hAnsi="Times New Roman" w:cs="Times New Roman"/>
          <w:color w:val="auto"/>
          <w:lang w:bidi="ar-SA"/>
        </w:rPr>
        <w:t>) форм подписок на любой странице сайта Пользователя.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3.8. Рассылка писем осуществляется 24 часа в сутки, 7 дней в неделю.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3.9. Выделение сегментов базы контактов по следующим признакам: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>дата добавления в список рассылки;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>активность контакта в рассылке: открытие письма, переход по ссылке из письма, переход по конкретной ссылке из конкретного письма, наличие или отсутствие активности за определённый период (открытия писем, переходы по ссылкам);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>наличие контакта вне основного списка контактов;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>статус контакта: активен, отключен, отказался от рассылок, блокирован;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</w:t>
      </w:r>
      <w:r>
        <w:rPr>
          <w:rFonts w:ascii="Times New Roman" w:eastAsia="Times New Roman" w:hAnsi="Times New Roman" w:cs="Times New Roman"/>
          <w:color w:val="auto"/>
          <w:lang w:bidi="ar-SA"/>
        </w:rPr>
        <w:tab/>
        <w:t>доступность контакта: доступен, недоступен, временно недоступен, почтовый ящик переполнен;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 - 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гео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>-сегмент: регион контакта, страна контакта, город контакта.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Возможность задавать сложные комбинированных условий и групп условий для сегментации, а также сохранять настроенные сегменты для более быстрого доступа.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3.10. Возможность копировать контакты, выбранные по любому сегменту, в другой список рассылки, без необходимости экспорта в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excel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. При этом возможность выгрузки сегмента в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Excel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должна быть доступна.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3.11. Возможность просматривать историю отправленных писем как по конкретному адресату, так и по конкретному списку рассылки непосредственно в личном кабинете сервиса рассылок, без необходимости выгружать данные в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excel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. При этом возможность выгрузки отчёта в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Excel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должна быть доступна.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3.12. Встроенный функционал графического отображения сводной статистики по нескольким отправленным рассылкам за определенный период (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открываемость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, переходы по ссылкам). 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3.13. Возможность формирования и просмотра сводных отчётов непосредственно в личном кабинете сервиса рассылок, без необходимости выгрузки в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Excel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. В отчёте должны быть отражены результаты рассылок за определённый период времени: 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открываемость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, количество переходов по ссылкам, прирост базы подписчиков, число отписок. 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3.14. Карта кликов, на которой можно увидеть количество кликов по определенной ссылке в определенной части письма.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3.15. Интеграция с 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постмастером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Mail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  <w:proofErr w:type="spellStart"/>
      <w:r>
        <w:rPr>
          <w:rFonts w:ascii="Times New Roman" w:eastAsia="Times New Roman" w:hAnsi="Times New Roman" w:cs="Times New Roman"/>
          <w:color w:val="auto"/>
          <w:lang w:val="en-US" w:bidi="ar-SA"/>
        </w:rPr>
        <w:t>ru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 для просмотра статистики по рассылке: в какую папку попало, сколько писем было удалено после прочтения или без прочтения.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3.16. Предоставление статистики в разрезе базы подписчиков: вовлеченность, динамика аудитории, 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когортный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 анализ статистики открытий, средние показатели открытий и кликов.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3.17. Возможность просматривать и копировать в другие списки рассылки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Email</w:t>
      </w:r>
      <w:r>
        <w:rPr>
          <w:rFonts w:ascii="Times New Roman" w:eastAsia="Times New Roman" w:hAnsi="Times New Roman" w:cs="Times New Roman"/>
          <w:color w:val="auto"/>
          <w:lang w:bidi="ar-SA"/>
        </w:rPr>
        <w:t>-адреса, открывшие письмо или открывшие определенную ссылку в письме.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3.18. Инструмент для создания тем рассылок с применением искусственного интеллекта.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3.19. Инструмент автоматического исключения из базы подписчиков, не открывавших заданное количество писем подряд или не открывавших рассылки в течение заданного времени.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3.20. Мастер добавления аннотации для папки </w:t>
      </w:r>
      <w:proofErr w:type="spellStart"/>
      <w:r>
        <w:rPr>
          <w:rFonts w:ascii="Times New Roman" w:eastAsia="Times New Roman" w:hAnsi="Times New Roman" w:cs="Times New Roman"/>
          <w:color w:val="auto"/>
          <w:lang w:bidi="ar-SA"/>
        </w:rPr>
        <w:t>Промоакции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 в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Gmail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3.21. Возможность настройки и автоматического добавления </w:t>
      </w:r>
      <w:proofErr w:type="spellStart"/>
      <w:r>
        <w:rPr>
          <w:rFonts w:ascii="Times New Roman" w:eastAsia="Times New Roman" w:hAnsi="Times New Roman" w:cs="Times New Roman"/>
          <w:color w:val="auto"/>
          <w:lang w:val="en-US" w:bidi="ar-SA"/>
        </w:rPr>
        <w:t>utm</w:t>
      </w:r>
      <w:proofErr w:type="spellEnd"/>
      <w:r>
        <w:rPr>
          <w:rFonts w:ascii="Times New Roman" w:eastAsia="Times New Roman" w:hAnsi="Times New Roman" w:cs="Times New Roman"/>
          <w:color w:val="auto"/>
          <w:lang w:bidi="ar-SA"/>
        </w:rPr>
        <w:t>-метки ко всем ссылкам в письме.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3.22. Возможность проверить отображение письма на различных устройствах и почтовых клиентах до отправки рассылки.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3.23. Возможность планирования отправки на определенный день и время, а также с учетом часового пояса подписчика.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3.24. Инструмент для проведения сплит-тестирования рассылки с более чем 2 тестовыми версиями и автоматического определения «победителя» по статистики открытий или кликов.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3.25. Функция автоматического досыла рассылки по непрочитанным с новой темой через заданный промежуток времени.</w:t>
      </w:r>
    </w:p>
    <w:p>
      <w:pPr>
        <w:widowControl/>
        <w:spacing w:before="8" w:after="8"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3.26. Весь функционал сервиса рассылок должен быть доступен непосредственно в личном кабинете, без необходимости подключения сторонних ресурсов. При этом, возможность интеграции с внешними сервисами через </w:t>
      </w:r>
      <w:r>
        <w:rPr>
          <w:rFonts w:ascii="Times New Roman" w:eastAsia="Times New Roman" w:hAnsi="Times New Roman" w:cs="Times New Roman"/>
          <w:color w:val="auto"/>
          <w:lang w:val="en-US" w:bidi="ar-SA"/>
        </w:rPr>
        <w:t>API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должна быть доступна.</w:t>
      </w:r>
    </w:p>
    <w:p>
      <w:pPr>
        <w:widowControl/>
        <w:spacing w:before="8" w:after="8"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>
      <w:pPr>
        <w:widowControl/>
        <w:numPr>
          <w:ilvl w:val="0"/>
          <w:numId w:val="14"/>
        </w:numPr>
        <w:suppressAutoHyphens w:val="0"/>
        <w:ind w:left="567" w:firstLine="0"/>
        <w:contextualSpacing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Требования к сервису</w:t>
      </w:r>
    </w:p>
    <w:p>
      <w:pPr>
        <w:widowControl/>
        <w:numPr>
          <w:ilvl w:val="1"/>
          <w:numId w:val="14"/>
        </w:numPr>
        <w:suppressAutoHyphens w:val="0"/>
        <w:ind w:left="0" w:firstLine="567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Сервис должен быть внесен в Реестр российского программного обеспечения.</w:t>
      </w:r>
    </w:p>
    <w:p>
      <w:pPr>
        <w:widowControl/>
        <w:rPr>
          <w:rFonts w:ascii="Times New Roman" w:eastAsia="Times New Roman" w:hAnsi="Times New Roman" w:cs="Times New Roman"/>
          <w:color w:val="1A1A1A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Сервера сервиса должны располагаться на территории РФ.</w:t>
      </w:r>
    </w:p>
    <w:p>
      <w:pPr>
        <w:widowControl/>
        <w:jc w:val="both"/>
        <w:outlineLvl w:val="1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</w:p>
    <w:p>
      <w:pPr>
        <w:widowControl/>
        <w:autoSpaceDE w:val="0"/>
        <w:autoSpaceDN w:val="0"/>
        <w:adjustRightInd w:val="0"/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5. Требования к качеству и безопасности услуг.</w:t>
      </w:r>
    </w:p>
    <w:p>
      <w:pPr>
        <w:widowControl/>
        <w:autoSpaceDE w:val="0"/>
        <w:autoSpaceDN w:val="0"/>
        <w:adjustRightInd w:val="0"/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>
      <w:pPr>
        <w:widowControl/>
        <w:tabs>
          <w:tab w:val="left" w:pos="426"/>
          <w:tab w:val="left" w:pos="567"/>
        </w:tabs>
        <w:ind w:right="-144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bookmarkStart w:id="1" w:name="_Hlk46222387"/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5.1. </w:t>
      </w:r>
      <w:r>
        <w:rPr>
          <w:rFonts w:ascii="Times New Roman" w:eastAsia="Times New Roman" w:hAnsi="Times New Roman" w:cs="Times New Roman"/>
          <w:color w:val="auto"/>
          <w:lang w:bidi="ar-SA"/>
        </w:rPr>
        <w:t>Качество и безопасность оказываемых услуг должны соответствовать требованиям действующего законодательства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 Российской Федерации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,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Исполнитель обязан обеспечить соответствие оказываемых услуг требованиям к их качеству, предусмотренным настоящим описанием объекта закупки в течение всего срока оказания услуг. </w:t>
      </w:r>
    </w:p>
    <w:bookmarkEnd w:id="1"/>
    <w:p>
      <w:pPr>
        <w:widowControl/>
        <w:autoSpaceDE w:val="0"/>
        <w:autoSpaceDN w:val="0"/>
        <w:adjustRightInd w:val="0"/>
        <w:ind w:right="-144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5.2. Услуги, являющиеся предметом закупки, должны соответствовать действующим нормативно-правовым актам Российской Федерации и иным правовым актам федеральных органов государственной власти.</w:t>
      </w:r>
    </w:p>
    <w:p>
      <w:pPr>
        <w:widowControl/>
        <w:ind w:firstLine="11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6. Требования к гарантийному сроку услуг </w:t>
      </w:r>
    </w:p>
    <w:p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proofErr w:type="gramStart"/>
      <w:r>
        <w:rPr>
          <w:rFonts w:ascii="Times New Roman" w:eastAsia="Times New Roman" w:hAnsi="Times New Roman" w:cs="Times New Roman"/>
          <w:b/>
          <w:color w:val="auto"/>
          <w:lang w:bidi="ar-SA"/>
        </w:rPr>
        <w:t>и</w:t>
      </w:r>
      <w:proofErr w:type="gramEnd"/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объему предоставления гарантий качества</w:t>
      </w:r>
    </w:p>
    <w:p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6.1.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6.2. Исполнитель обязуется предоставлять по запросу Заказчика всю необходимую информацию и документы об условиях оказания услуг.</w:t>
      </w:r>
    </w:p>
    <w:p>
      <w:pPr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6.3. Гарантии качества гарантируются Исполнителем на весь срок действия контракта и </w:t>
      </w: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распространяются на все услуги, оказанные Исполнителем по контракту. </w:t>
      </w:r>
    </w:p>
    <w:p>
      <w:pPr>
        <w:pStyle w:val="aff3"/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6.4. В случае обнаружения Заказчиком недостатков услуг Исполнителя, Исполнитель обязан устранить все обнаруженные недостатки оказанных услуг своими силами и за свой счет в срок не более 1 (Одного) рабочего дня с даты получения замечаний Заказчика по качеству и (или) объему оказанных Исполнителем услуг, если иные сроки не установлены Заказчиком.</w:t>
      </w:r>
    </w:p>
    <w:p>
      <w:pPr>
        <w:suppressAutoHyphens w:val="0"/>
        <w:autoSpaceDE w:val="0"/>
        <w:autoSpaceDN w:val="0"/>
        <w:ind w:firstLine="567"/>
        <w:contextualSpacing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>
      <w:pPr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bookmarkStart w:id="2" w:name="AD_TZ_SECTION_4"/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7. Т</w:t>
      </w:r>
      <w:r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ребования энергетической эффективности </w:t>
      </w:r>
      <w:bookmarkEnd w:id="2"/>
    </w:p>
    <w:p>
      <w:pPr>
        <w:jc w:val="center"/>
        <w:outlineLvl w:val="1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>
      <w:pPr>
        <w:pStyle w:val="afff5"/>
        <w:widowControl w:val="0"/>
        <w:suppressAutoHyphens/>
        <w:rPr>
          <w:bCs/>
          <w:lang w:val="ru-RU"/>
        </w:rPr>
      </w:pPr>
      <w:r>
        <w:rPr>
          <w:lang w:val="ru-RU" w:eastAsia="ru-RU"/>
        </w:rPr>
        <w:t xml:space="preserve">7.1. </w:t>
      </w:r>
      <w:r>
        <w:rPr>
          <w:bCs/>
          <w:lang w:val="ru-RU"/>
        </w:rPr>
        <w:t>Требования не установлены.</w:t>
      </w:r>
    </w:p>
    <w:sectPr>
      <w:headerReference w:type="default" r:id="rId9"/>
      <w:pgSz w:w="11906" w:h="16838"/>
      <w:pgMar w:top="766" w:right="851" w:bottom="426" w:left="1276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V Bol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1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0B8C"/>
    <w:multiLevelType w:val="hybridMultilevel"/>
    <w:tmpl w:val="D1C86A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F12209F"/>
    <w:multiLevelType w:val="multilevel"/>
    <w:tmpl w:val="6C9E6A6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3790D22"/>
    <w:multiLevelType w:val="multilevel"/>
    <w:tmpl w:val="02DE60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5C4604D"/>
    <w:multiLevelType w:val="hybridMultilevel"/>
    <w:tmpl w:val="84FE74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BCC47C9"/>
    <w:multiLevelType w:val="multilevel"/>
    <w:tmpl w:val="548E502E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4B0425B4"/>
    <w:multiLevelType w:val="multilevel"/>
    <w:tmpl w:val="801C1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508C48CC"/>
    <w:multiLevelType w:val="hybridMultilevel"/>
    <w:tmpl w:val="E3E2E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090B97"/>
    <w:multiLevelType w:val="hybridMultilevel"/>
    <w:tmpl w:val="06D46FC4"/>
    <w:lvl w:ilvl="0" w:tplc="B22E3696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6CFEA970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9E3032FE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C7DE41FC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D1D681DA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0A8751A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C152E952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89C0F526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45DEE87E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5B727B73"/>
    <w:multiLevelType w:val="multilevel"/>
    <w:tmpl w:val="641CE99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9">
    <w:nsid w:val="5F656995"/>
    <w:multiLevelType w:val="hybridMultilevel"/>
    <w:tmpl w:val="E8FC9790"/>
    <w:lvl w:ilvl="0" w:tplc="BE7423BA">
      <w:start w:val="1"/>
      <w:numFmt w:val="bullet"/>
      <w:lvlText w:val=""/>
      <w:lvlJc w:val="left"/>
      <w:pPr>
        <w:ind w:left="927" w:hanging="360"/>
      </w:pPr>
      <w:rPr>
        <w:rFonts w:ascii="Symbol" w:eastAsiaTheme="minorEastAsia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65CC7EF2"/>
    <w:multiLevelType w:val="multilevel"/>
    <w:tmpl w:val="DD2445FA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7C3B3A4A"/>
    <w:multiLevelType w:val="multilevel"/>
    <w:tmpl w:val="DBDAEBD2"/>
    <w:lvl w:ilvl="0">
      <w:start w:val="1"/>
      <w:numFmt w:val="decimal"/>
      <w:pStyle w:val="11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lowerLetter"/>
      <w:pStyle w:val="21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decimal"/>
      <w:pStyle w:val="41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lowerRoman"/>
      <w:pStyle w:val="61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1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lowerRoman"/>
      <w:pStyle w:val="91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7E736072"/>
    <w:multiLevelType w:val="hybridMultilevel"/>
    <w:tmpl w:val="6C429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8"/>
  </w:num>
  <w:num w:numId="5">
    <w:abstractNumId w:val="11"/>
  </w:num>
  <w:num w:numId="6">
    <w:abstractNumId w:val="7"/>
  </w:num>
  <w:num w:numId="7">
    <w:abstractNumId w:val="9"/>
  </w:num>
  <w:num w:numId="8">
    <w:abstractNumId w:val="3"/>
  </w:num>
  <w:num w:numId="9">
    <w:abstractNumId w:val="13"/>
  </w:num>
  <w:num w:numId="10">
    <w:abstractNumId w:val="10"/>
  </w:num>
  <w:num w:numId="11">
    <w:abstractNumId w:val="6"/>
  </w:num>
  <w:num w:numId="12">
    <w:abstractNumId w:val="1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78231A-DA0C-46DD-B562-A13C76174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aliases w:val="1,h1,H1,app heading 1,ITT t1,II+,I,H11,H12,H13,H14,H15,H16,H17,H18,H111,H121,H131,H141,H151,H161,H171,H19,H112,H122,H132,H142,H152,H162,H172,H181,H1111,H1211,H1311,H1411,H1511,H1611,H1711,H110,H113,H123,H133,H143,H153,H163,H173,H114,g,Глава"/>
    <w:basedOn w:val="a"/>
    <w:next w:val="a"/>
    <w:link w:val="12"/>
    <w:qFormat/>
    <w:pPr>
      <w:keepNext/>
      <w:widowControl/>
      <w:numPr>
        <w:numId w:val="6"/>
      </w:numPr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">
    <w:name w:val="heading 2"/>
    <w:aliases w:val="H2,h2,2,Heading 2 Hidden,CHS,H2-Heading 2,l2,Header2,22,heading2,list2,A,A.B.C.,list 2,Heading2,Heading Indent No L2,UNDERRUBRIK 1-2,Fonctionnalité,Titre 21,t2.T2,Table2,ITT t2,H2-Heading 21,Header 21,l21,Header21,h21,221,heading21,heading 2"/>
    <w:basedOn w:val="a"/>
    <w:next w:val="a"/>
    <w:link w:val="20"/>
    <w:qFormat/>
    <w:pPr>
      <w:keepNext/>
      <w:widowControl/>
      <w:numPr>
        <w:ilvl w:val="1"/>
        <w:numId w:val="6"/>
      </w:numPr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4">
    <w:name w:val="heading 4"/>
    <w:aliases w:val="4,I4,l4,heading4,I41,41,l41,heading41,(Shift Ctrl 4),Titre 41,t4.T4,4heading,h4,a.,4 dash,d,4 dash1,d1,31,h41,a.1,4 dash2,d2,32,h42,a.2,4 dash3,d3,33,h43,a.3,4 dash4,d4,34,h44,a.4,Sub sub heading,4 dash5,d5,35,h45,a.5,Sub sub heading1,H4"/>
    <w:basedOn w:val="a"/>
    <w:next w:val="a"/>
    <w:link w:val="410"/>
    <w:qFormat/>
    <w:pPr>
      <w:keepNext/>
      <w:widowControl/>
      <w:numPr>
        <w:ilvl w:val="3"/>
        <w:numId w:val="6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6">
    <w:name w:val="heading 6"/>
    <w:aliases w:val="PIM 6"/>
    <w:basedOn w:val="a"/>
    <w:next w:val="a"/>
    <w:link w:val="610"/>
    <w:qFormat/>
    <w:pPr>
      <w:widowControl/>
      <w:numPr>
        <w:ilvl w:val="5"/>
        <w:numId w:val="6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aliases w:val="PIM 7"/>
    <w:basedOn w:val="a"/>
    <w:next w:val="a"/>
    <w:link w:val="710"/>
    <w:qFormat/>
    <w:pPr>
      <w:widowControl/>
      <w:numPr>
        <w:ilvl w:val="6"/>
        <w:numId w:val="6"/>
      </w:numPr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6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qFormat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customStyle="1" w:styleId="21">
    <w:name w:val="Заголовок 21"/>
    <w:basedOn w:val="a"/>
    <w:next w:val="a"/>
    <w:qFormat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customStyle="1" w:styleId="31">
    <w:name w:val="Заголовок 31"/>
    <w:basedOn w:val="a"/>
    <w:next w:val="a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customStyle="1" w:styleId="41">
    <w:name w:val="Заголовок 41"/>
    <w:basedOn w:val="a"/>
    <w:next w:val="a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51">
    <w:name w:val="Заголовок 51"/>
    <w:basedOn w:val="a"/>
    <w:next w:val="a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customStyle="1" w:styleId="61">
    <w:name w:val="Заголовок 61"/>
    <w:basedOn w:val="a"/>
    <w:next w:val="a"/>
    <w:qFormat/>
    <w:pPr>
      <w:widowControl/>
      <w:numPr>
        <w:ilvl w:val="5"/>
        <w:numId w:val="1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customStyle="1" w:styleId="71">
    <w:name w:val="Заголовок 71"/>
    <w:basedOn w:val="a"/>
    <w:next w:val="a"/>
    <w:qFormat/>
    <w:pPr>
      <w:widowControl/>
      <w:numPr>
        <w:ilvl w:val="6"/>
        <w:numId w:val="1"/>
      </w:numPr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81">
    <w:name w:val="Заголовок 81"/>
    <w:basedOn w:val="a"/>
    <w:next w:val="a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customStyle="1" w:styleId="91">
    <w:name w:val="Заголовок 91"/>
    <w:basedOn w:val="a"/>
    <w:next w:val="a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5">
    <w:name w:val="Заголовок 5 Знак"/>
    <w:basedOn w:val="a0"/>
    <w:qFormat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">
    <w:name w:val="Заголовок 8 Знак"/>
    <w:basedOn w:val="a0"/>
    <w:qFormat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annotation reference"/>
    <w:uiPriority w:val="99"/>
    <w:qFormat/>
    <w:rPr>
      <w:sz w:val="16"/>
      <w:szCs w:val="16"/>
    </w:rPr>
  </w:style>
  <w:style w:type="character" w:customStyle="1" w:styleId="-">
    <w:name w:val="Интернет-ссылка"/>
    <w:uiPriority w:val="99"/>
    <w:rPr>
      <w:rFonts w:cs="Times New Roman"/>
      <w:color w:val="0000FF"/>
      <w:u w:val="single"/>
    </w:rPr>
  </w:style>
  <w:style w:type="character" w:customStyle="1" w:styleId="a5">
    <w:name w:val="Текст выноски Знак"/>
    <w:basedOn w:val="a0"/>
    <w:uiPriority w:val="99"/>
    <w:qFormat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6">
    <w:name w:val="Нижний колонтитул Знак"/>
    <w:basedOn w:val="a0"/>
    <w:uiPriority w:val="99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onsPlusNormal">
    <w:name w:val="ConsPlusNormal Знак"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Heading1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2">
    <w:name w:val="Основной текст с отступом 2 Знак2"/>
    <w:basedOn w:val="a0"/>
    <w:link w:val="23"/>
    <w:qFormat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">
    <w:name w:val="Заголовок 3 Знак"/>
    <w:basedOn w:val="a0"/>
    <w:qFormat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24">
    <w:name w:val="Основной текст с отступом 2 Знак"/>
    <w:basedOn w:val="a0"/>
    <w:link w:val="210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Стиль3 Знак Знак Знак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сноски Знак"/>
    <w:basedOn w:val="a0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qFormat/>
    <w:rPr>
      <w:vertAlign w:val="superscript"/>
    </w:rPr>
  </w:style>
  <w:style w:type="character" w:customStyle="1" w:styleId="a9">
    <w:name w:val="Основной текст Знак"/>
    <w:basedOn w:val="a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WW8Num5z0">
    <w:name w:val="WW8Num5z0"/>
    <w:qFormat/>
    <w:rPr>
      <w:b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  <w:rPr>
      <w:i w:val="0"/>
    </w:rPr>
  </w:style>
  <w:style w:type="character" w:customStyle="1" w:styleId="WW8Num6z0">
    <w:name w:val="WW8Num6z0"/>
    <w:qFormat/>
    <w:rPr>
      <w:rFonts w:ascii="Symbol" w:hAnsi="Symbol" w:cs="Symbol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Times New Roman" w:hAnsi="Times New Roman" w:cs="Times New Roman"/>
      <w:b/>
      <w:bCs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qFormat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10">
    <w:name w:val="Основной текст с отступом 2 Знак1"/>
    <w:link w:val="24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  <w:rPr>
      <w:i w:val="0"/>
    </w:rPr>
  </w:style>
  <w:style w:type="character" w:customStyle="1" w:styleId="13">
    <w:name w:val="Основной шрифт абзаца1"/>
    <w:qFormat/>
  </w:style>
  <w:style w:type="character" w:customStyle="1" w:styleId="14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2">
    <w:name w:val="Знак Знак3"/>
    <w:link w:val="33"/>
    <w:qFormat/>
    <w:rPr>
      <w:rFonts w:ascii="Courier New" w:hAnsi="Courier New" w:cs="Courier New"/>
      <w:lang w:val="ru-RU" w:bidi="ar-SA"/>
    </w:rPr>
  </w:style>
  <w:style w:type="character" w:customStyle="1" w:styleId="aa">
    <w:name w:val="Знак Знак"/>
    <w:qFormat/>
    <w:rPr>
      <w:b/>
      <w:sz w:val="28"/>
      <w:lang w:val="ru-RU" w:bidi="ar-SA"/>
    </w:rPr>
  </w:style>
  <w:style w:type="character" w:customStyle="1" w:styleId="ab">
    <w:name w:val="Символ сноски"/>
    <w:qFormat/>
    <w:rPr>
      <w:vertAlign w:val="superscript"/>
    </w:rPr>
  </w:style>
  <w:style w:type="character" w:customStyle="1" w:styleId="42">
    <w:name w:val="Знак Знак4"/>
    <w:qFormat/>
    <w:rPr>
      <w:sz w:val="24"/>
      <w:lang w:val="ru-RU" w:bidi="ar-SA"/>
    </w:rPr>
  </w:style>
  <w:style w:type="character" w:customStyle="1" w:styleId="25">
    <w:name w:val="Знак Знак2"/>
    <w:qFormat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link w:val="10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2">
    <w:name w:val="Знак Знак9"/>
    <w:qFormat/>
    <w:rPr>
      <w:sz w:val="24"/>
      <w:szCs w:val="24"/>
      <w:lang w:val="ru-RU" w:bidi="ar-SA"/>
    </w:rPr>
  </w:style>
  <w:style w:type="character" w:customStyle="1" w:styleId="15">
    <w:name w:val="Знак сноски1"/>
    <w:qFormat/>
    <w:rPr>
      <w:vertAlign w:val="superscript"/>
    </w:rPr>
  </w:style>
  <w:style w:type="character" w:customStyle="1" w:styleId="ac">
    <w:name w:val="Посещённая гиперссылка"/>
    <w:rPr>
      <w:color w:val="0000FF"/>
      <w:u w:val="single"/>
    </w:rPr>
  </w:style>
  <w:style w:type="character" w:customStyle="1" w:styleId="ad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e">
    <w:name w:val="Маркеры списка"/>
    <w:qFormat/>
    <w:rPr>
      <w:rFonts w:ascii="OpenSymbol" w:eastAsia="OpenSymbol" w:hAnsi="OpenSymbol" w:cs="OpenSymbol"/>
    </w:rPr>
  </w:style>
  <w:style w:type="character" w:customStyle="1" w:styleId="16">
    <w:name w:val="Знак концевой сноски1"/>
    <w:qFormat/>
    <w:rPr>
      <w:vertAlign w:val="superscript"/>
    </w:rPr>
  </w:style>
  <w:style w:type="character" w:customStyle="1" w:styleId="af">
    <w:name w:val="Привязка концевой сноски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af0">
    <w:name w:val="Основной текст с отступом Знак"/>
    <w:basedOn w:val="a0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1">
    <w:name w:val="Подзаголовок Знак"/>
    <w:basedOn w:val="a0"/>
    <w:uiPriority w:val="9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ConsNormal">
    <w:name w:val="ConsNormal Знак"/>
    <w:qFormat/>
    <w:locked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2">
    <w:name w:val="Основной текст_"/>
    <w:link w:val="26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3">
    <w:name w:val="Подпись к таблице_"/>
    <w:qFormat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4">
    <w:name w:val="Подпись к таблице + Не курсив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7">
    <w:name w:val="Основной текст1"/>
    <w:link w:val="18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10"/>
      <w:w w:val="100"/>
      <w:sz w:val="28"/>
      <w:szCs w:val="28"/>
      <w:u w:val="none"/>
      <w:lang w:val="ru-RU" w:eastAsia="ru-RU" w:bidi="ru-RU"/>
    </w:rPr>
  </w:style>
  <w:style w:type="character" w:customStyle="1" w:styleId="af5">
    <w:name w:val="Основной текст + Курсив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af6">
    <w:name w:val="Колонтитул_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7">
    <w:name w:val="Колонтитул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customStyle="1" w:styleId="26">
    <w:name w:val="Основной текст (2) + Не курсив"/>
    <w:link w:val="af2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9">
    <w:name w:val="Заголовок №1_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a">
    <w:name w:val="Заголовок №1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character" w:customStyle="1" w:styleId="af8">
    <w:name w:val="Текст концевой сноски Знак"/>
    <w:basedOn w:val="a0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Основной текст 3 Знак"/>
    <w:basedOn w:val="a0"/>
    <w:link w:val="310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</w:style>
  <w:style w:type="character" w:styleId="af9">
    <w:name w:val="Placeholder Text"/>
    <w:basedOn w:val="a0"/>
    <w:uiPriority w:val="99"/>
    <w:semiHidden/>
    <w:qFormat/>
    <w:rPr>
      <w:color w:val="808080"/>
    </w:rPr>
  </w:style>
  <w:style w:type="character" w:customStyle="1" w:styleId="afa">
    <w:name w:val="Текст примечания Знак"/>
    <w:basedOn w:val="a0"/>
    <w:uiPriority w:val="99"/>
    <w:qFormat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match">
    <w:name w:val="match"/>
    <w:basedOn w:val="a0"/>
    <w:qFormat/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afc">
    <w:name w:val="Тема примечания Знак"/>
    <w:basedOn w:val="afa"/>
    <w:uiPriority w:val="99"/>
    <w:semiHidden/>
    <w:qFormat/>
    <w:rPr>
      <w:rFonts w:ascii="Times New Roman" w:eastAsia="Courier New" w:hAnsi="Times New Roman" w:cs="Courier New"/>
      <w:b/>
      <w:bCs/>
      <w:color w:val="000000"/>
      <w:sz w:val="20"/>
      <w:szCs w:val="20"/>
      <w:lang w:eastAsia="ru-RU" w:bidi="ru-RU"/>
    </w:rPr>
  </w:style>
  <w:style w:type="character" w:customStyle="1" w:styleId="afd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uiPriority w:val="34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i-pl5">
    <w:name w:val="i-pl5"/>
    <w:basedOn w:val="a0"/>
    <w:qFormat/>
  </w:style>
  <w:style w:type="character" w:customStyle="1" w:styleId="afe">
    <w:name w:val="Символ концевой сноски"/>
    <w:qFormat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ascii="Times New Roman" w:hAnsi="Times New Roman"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ascii="Times New Roman" w:eastAsiaTheme="minorHAnsi" w:hAnsi="Times New Roman" w:cs="Times New Roman"/>
      <w:color w:val="auto"/>
      <w:lang w:eastAsia="en-US" w:bidi="ar-SA"/>
    </w:rPr>
  </w:style>
  <w:style w:type="character" w:customStyle="1" w:styleId="ListLabel17">
    <w:name w:val="ListLabel 17"/>
    <w:qFormat/>
    <w:rPr>
      <w:rFonts w:ascii="Times New Roman" w:eastAsia="Times New Roman" w:hAnsi="Times New Roman" w:cs="Times New Roman"/>
      <w:color w:val="auto"/>
    </w:rPr>
  </w:style>
  <w:style w:type="character" w:customStyle="1" w:styleId="ListLabel18">
    <w:name w:val="ListLabel 18"/>
    <w:qFormat/>
    <w:rPr>
      <w:rFonts w:ascii="Times New Roman" w:hAnsi="Times New Roman" w:cs="Times New Roman"/>
      <w:color w:val="auto"/>
    </w:rPr>
  </w:style>
  <w:style w:type="character" w:customStyle="1" w:styleId="ListLabel19">
    <w:name w:val="ListLabel 19"/>
    <w:qFormat/>
    <w:rPr>
      <w:rFonts w:ascii="Times New Roman" w:hAnsi="Times New Roman"/>
    </w:rPr>
  </w:style>
  <w:style w:type="character" w:customStyle="1" w:styleId="ListLabel20">
    <w:name w:val="ListLabel 20"/>
    <w:qFormat/>
    <w:rPr>
      <w:rFonts w:ascii="Times New Roman" w:hAnsi="Times New Roman" w:cs="Times New Roman"/>
      <w:b/>
      <w:color w:val="auto"/>
    </w:rPr>
  </w:style>
  <w:style w:type="character" w:customStyle="1" w:styleId="ListLabel21">
    <w:name w:val="ListLabel 21"/>
    <w:qFormat/>
    <w:rPr>
      <w:rFonts w:ascii="Times New Roman" w:hAnsi="Times New Roman" w:cs="Times New Roman"/>
      <w:szCs w:val="24"/>
    </w:rPr>
  </w:style>
  <w:style w:type="character" w:customStyle="1" w:styleId="ListLabel188">
    <w:name w:val="ListLabel 188"/>
    <w:qFormat/>
    <w:rPr>
      <w:sz w:val="20"/>
      <w:szCs w:val="20"/>
    </w:rPr>
  </w:style>
  <w:style w:type="paragraph" w:customStyle="1" w:styleId="1b">
    <w:name w:val="Заголовок1"/>
    <w:basedOn w:val="a"/>
    <w:next w:val="aff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ff">
    <w:name w:val="Body Text"/>
    <w:basedOn w:val="a"/>
    <w:unhideWhenUsed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0">
    <w:name w:val="List"/>
    <w:basedOn w:val="aff"/>
    <w:pPr>
      <w:spacing w:after="0"/>
      <w:jc w:val="both"/>
    </w:pPr>
    <w:rPr>
      <w:rFonts w:cs="Mangal"/>
      <w:lang w:eastAsia="zh-CN"/>
    </w:rPr>
  </w:style>
  <w:style w:type="paragraph" w:customStyle="1" w:styleId="1c">
    <w:name w:val="Название объекта1"/>
    <w:basedOn w:val="a"/>
    <w:qFormat/>
    <w:pPr>
      <w:suppressLineNumbers/>
      <w:spacing w:before="120" w:after="120"/>
    </w:pPr>
    <w:rPr>
      <w:rFonts w:ascii="Times New Roman" w:hAnsi="Times New Roman" w:cs="Arial Unicode MS"/>
      <w:i/>
      <w:iCs/>
    </w:rPr>
  </w:style>
  <w:style w:type="paragraph" w:styleId="aff1">
    <w:name w:val="index heading"/>
    <w:basedOn w:val="a"/>
    <w:qFormat/>
    <w:pPr>
      <w:suppressLineNumbers/>
    </w:pPr>
    <w:rPr>
      <w:rFonts w:ascii="Times New Roman" w:hAnsi="Times New Roman" w:cs="Arial Unicode MS"/>
    </w:rPr>
  </w:style>
  <w:style w:type="paragraph" w:customStyle="1" w:styleId="aff2">
    <w:name w:val="Верхний и нижний колонтитулы"/>
    <w:basedOn w:val="a"/>
    <w:qFormat/>
  </w:style>
  <w:style w:type="paragraph" w:customStyle="1" w:styleId="1d">
    <w:name w:val="Верхний колонтитул1"/>
    <w:basedOn w:val="a"/>
    <w:uiPriority w:val="99"/>
    <w:qFormat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f3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pPr>
      <w:ind w:left="720"/>
      <w:contextualSpacing/>
    </w:pPr>
  </w:style>
  <w:style w:type="paragraph" w:styleId="aff4">
    <w:name w:val="No Spacing"/>
    <w:uiPriority w:val="1"/>
    <w:qFormat/>
    <w:pPr>
      <w:suppressAutoHyphens/>
    </w:pPr>
    <w:rPr>
      <w:sz w:val="24"/>
    </w:rPr>
  </w:style>
  <w:style w:type="paragraph" w:styleId="aff5">
    <w:name w:val="Balloon Text"/>
    <w:basedOn w:val="a"/>
    <w:uiPriority w:val="99"/>
    <w:unhideWhenUsed/>
    <w:qFormat/>
    <w:rPr>
      <w:rFonts w:ascii="Segoe UI" w:hAnsi="Segoe UI" w:cs="Segoe UI"/>
      <w:sz w:val="18"/>
      <w:szCs w:val="18"/>
    </w:rPr>
  </w:style>
  <w:style w:type="paragraph" w:customStyle="1" w:styleId="1e">
    <w:name w:val="Нижний колонтитул1"/>
    <w:basedOn w:val="a"/>
    <w:uiPriority w:val="99"/>
    <w:unhideWhenUsed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qFormat/>
    <w:pPr>
      <w:widowControl w:val="0"/>
      <w:suppressAutoHyphens/>
    </w:pPr>
    <w:rPr>
      <w:rFonts w:eastAsia="Times New Roman" w:cs="Calibri"/>
      <w:sz w:val="24"/>
      <w:szCs w:val="20"/>
      <w:lang w:eastAsia="ru-RU"/>
    </w:rPr>
  </w:style>
  <w:style w:type="paragraph" w:customStyle="1" w:styleId="ConsPlusTitle">
    <w:name w:val="ConsPlusTitle"/>
    <w:qFormat/>
    <w:pPr>
      <w:suppressAutoHyphens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f">
    <w:name w:val="Абзац списка1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3">
    <w:name w:val="Стиль3 Знак Знак"/>
    <w:basedOn w:val="23"/>
    <w:link w:val="32"/>
    <w:qFormat/>
    <w:pPr>
      <w:widowControl w:val="0"/>
      <w:tabs>
        <w:tab w:val="left" w:pos="227"/>
      </w:tabs>
      <w:spacing w:after="0" w:line="240" w:lineRule="auto"/>
      <w:ind w:left="0"/>
      <w:jc w:val="both"/>
      <w:textAlignment w:val="baseline"/>
    </w:pPr>
  </w:style>
  <w:style w:type="paragraph" w:styleId="23">
    <w:name w:val="Body Text Indent 2"/>
    <w:basedOn w:val="a"/>
    <w:link w:val="22"/>
    <w:uiPriority w:val="99"/>
    <w:semiHidden/>
    <w:unhideWhenUsed/>
    <w:qFormat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1f0">
    <w:name w:val="Текст сноски1"/>
    <w:basedOn w:val="a"/>
    <w:uiPriority w:val="99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1f1">
    <w:name w:val="Заголовок1"/>
    <w:basedOn w:val="a"/>
    <w:next w:val="aff"/>
    <w:qFormat/>
    <w:pPr>
      <w:widowControl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f6">
    <w:name w:val="caption"/>
    <w:basedOn w:val="1f1"/>
    <w:next w:val="aff"/>
    <w:qFormat/>
    <w:rPr>
      <w:bCs/>
      <w:sz w:val="56"/>
      <w:szCs w:val="56"/>
    </w:rPr>
  </w:style>
  <w:style w:type="paragraph" w:customStyle="1" w:styleId="27">
    <w:name w:val="Указатель2"/>
    <w:basedOn w:val="a"/>
    <w:qFormat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8">
    <w:name w:val="Название объекта1"/>
    <w:basedOn w:val="a"/>
    <w:link w:val="17"/>
    <w:qFormat/>
    <w:pPr>
      <w:widowControl/>
      <w:suppressLineNumber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f2">
    <w:name w:val="Указатель1"/>
    <w:basedOn w:val="a"/>
    <w:qFormat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3">
    <w:name w:val="çàãîëîâîê 4"/>
    <w:basedOn w:val="a"/>
    <w:next w:val="a"/>
    <w:qFormat/>
    <w:pPr>
      <w:keepNext/>
      <w:widowControl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8">
    <w:name w:val="List Number 2"/>
    <w:basedOn w:val="a"/>
    <w:qFormat/>
    <w:pPr>
      <w:widowControl/>
      <w:tabs>
        <w:tab w:val="left" w:pos="3312"/>
      </w:tabs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9">
    <w:name w:val="Стиль2"/>
    <w:basedOn w:val="28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1">
    <w:name w:val="Основной текст с отступом 31"/>
    <w:basedOn w:val="a"/>
    <w:qFormat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3">
    <w:name w:val="Знак Знак9 Знак Знак"/>
    <w:basedOn w:val="a"/>
    <w:qFormat/>
    <w:pPr>
      <w:widowControl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7">
    <w:name w:val="Знак Знак Знак Знак Знак Знак Знак"/>
    <w:basedOn w:val="a"/>
    <w:qFormat/>
    <w:pPr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pPr>
      <w:widowControl w:val="0"/>
      <w:suppressAutoHyphens/>
      <w:ind w:right="19772"/>
    </w:pPr>
    <w:rPr>
      <w:rFonts w:ascii="Courier New" w:eastAsia="Times New Roman" w:hAnsi="Courier New" w:cs="Courier New"/>
      <w:sz w:val="24"/>
      <w:szCs w:val="20"/>
      <w:lang w:eastAsia="zh-CN"/>
    </w:rPr>
  </w:style>
  <w:style w:type="paragraph" w:customStyle="1" w:styleId="320">
    <w:name w:val="Основной текст 3 Знак2"/>
    <w:basedOn w:val="a"/>
    <w:link w:val="35"/>
    <w:qFormat/>
    <w:pPr>
      <w:widowControl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1">
    <w:name w:val="Основной текст 21"/>
    <w:basedOn w:val="a"/>
    <w:qFormat/>
    <w:pPr>
      <w:widowControl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0">
    <w:name w:val="ConsNormal"/>
    <w:qFormat/>
    <w:pPr>
      <w:suppressAutoHyphens/>
      <w:ind w:firstLine="720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xl26">
    <w:name w:val="xl26"/>
    <w:basedOn w:val="a"/>
    <w:qFormat/>
    <w:pPr>
      <w:widowControl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f8">
    <w:name w:val="Body Text Indent"/>
    <w:basedOn w:val="a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Cell">
    <w:name w:val="ConsPlusCel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Подпись письма"/>
    <w:basedOn w:val="a"/>
    <w:qFormat/>
    <w:pPr>
      <w:widowControl/>
      <w:tabs>
        <w:tab w:val="left" w:pos="720"/>
        <w:tab w:val="right" w:pos="9639"/>
      </w:tabs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f3">
    <w:name w:val="Текст1"/>
    <w:basedOn w:val="a"/>
    <w:qFormat/>
    <w:pPr>
      <w:widowControl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2">
    <w:name w:val="Основной текст с отступом 21"/>
    <w:basedOn w:val="a"/>
    <w:qFormat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10">
    <w:name w:val="Основной текст 3 Знак1"/>
    <w:basedOn w:val="212"/>
    <w:link w:val="34"/>
    <w:qFormat/>
    <w:pPr>
      <w:widowControl w:val="0"/>
      <w:tabs>
        <w:tab w:val="left" w:pos="360"/>
      </w:tabs>
      <w:spacing w:after="0" w:line="240" w:lineRule="auto"/>
      <w:jc w:val="both"/>
      <w:textAlignment w:val="baseline"/>
    </w:pPr>
  </w:style>
  <w:style w:type="paragraph" w:customStyle="1" w:styleId="Normal1">
    <w:name w:val="Normal1"/>
    <w:qFormat/>
    <w:pPr>
      <w:widowControl w:val="0"/>
      <w:suppressAutoHyphens/>
      <w:ind w:firstLine="72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ffa">
    <w:name w:val="Normal (Web)"/>
    <w:basedOn w:val="a"/>
    <w:qFormat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qFormat/>
    <w:pPr>
      <w:keepNext/>
      <w:widowControl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pPr>
      <w:widowControl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  <w:suppressAutoHyphens/>
    </w:pPr>
    <w:rPr>
      <w:rFonts w:ascii="Courier New" w:eastAsia="Times New Roman" w:hAnsi="Courier New" w:cs="Courier New"/>
      <w:sz w:val="24"/>
      <w:szCs w:val="20"/>
      <w:lang w:eastAsia="zh-CN"/>
    </w:rPr>
  </w:style>
  <w:style w:type="paragraph" w:customStyle="1" w:styleId="affb">
    <w:name w:val="Таблицы (моноширинный)"/>
    <w:basedOn w:val="a"/>
    <w:next w:val="a"/>
    <w:qFormat/>
    <w:pPr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f4">
    <w:name w:val="Стиль1"/>
    <w:basedOn w:val="a"/>
    <w:qFormat/>
    <w:pPr>
      <w:keepNext/>
      <w:keepLines/>
      <w:suppressLineNumbers/>
      <w:tabs>
        <w:tab w:val="left" w:pos="720"/>
        <w:tab w:val="left" w:pos="3312"/>
      </w:tabs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c">
    <w:name w:val="Subtitle"/>
    <w:basedOn w:val="a"/>
    <w:next w:val="aff"/>
    <w:uiPriority w:val="99"/>
    <w:qFormat/>
    <w:pPr>
      <w:widowControl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paragraph" w:customStyle="1" w:styleId="Heading10">
    <w:name w:val="Heading #1"/>
    <w:basedOn w:val="a"/>
    <w:qFormat/>
    <w:pPr>
      <w:widowControl/>
      <w:shd w:val="clear" w:color="auto" w:fill="FFFFFF"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d">
    <w:name w:val="Содержимое таблицы"/>
    <w:basedOn w:val="a"/>
    <w:qFormat/>
    <w:pPr>
      <w:widowControl/>
      <w:suppressLineNumber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e">
    <w:name w:val="Заголовок таблицы"/>
    <w:basedOn w:val="affd"/>
    <w:qFormat/>
    <w:pPr>
      <w:jc w:val="center"/>
    </w:pPr>
    <w:rPr>
      <w:b/>
      <w:bCs/>
    </w:rPr>
  </w:style>
  <w:style w:type="paragraph" w:customStyle="1" w:styleId="afff">
    <w:name w:val="Содержимое врезки"/>
    <w:basedOn w:val="a"/>
    <w:qFormat/>
    <w:pPr>
      <w:widowControl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0">
    <w:name w:val="Блочная цитата"/>
    <w:basedOn w:val="a"/>
    <w:qFormat/>
    <w:pPr>
      <w:widowControl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f5">
    <w:name w:val="Обычный1"/>
    <w:qFormat/>
    <w:pPr>
      <w:suppressAutoHyphens/>
      <w:snapToGrid w:val="0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a">
    <w:name w:val="Обычный2"/>
    <w:qFormat/>
    <w:pPr>
      <w:widowControl w:val="0"/>
      <w:suppressAutoHyphens/>
      <w:snapToGrid w:val="0"/>
      <w:ind w:firstLine="720"/>
    </w:pPr>
    <w:rPr>
      <w:rFonts w:ascii="Times New Roman" w:eastAsia="Times New Roman" w:hAnsi="Times New Roman" w:cs="Times New Roman"/>
      <w:sz w:val="24"/>
      <w:szCs w:val="20"/>
      <w:lang w:eastAsia="zh-CN" w:bidi="hi-IN"/>
    </w:rPr>
  </w:style>
  <w:style w:type="paragraph" w:customStyle="1" w:styleId="pj">
    <w:name w:val="pj"/>
    <w:basedOn w:val="a"/>
    <w:qFormat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b">
    <w:name w:val="Основной текст2"/>
    <w:basedOn w:val="a"/>
    <w:qFormat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f1">
    <w:name w:val="Подпись к таблице"/>
    <w:basedOn w:val="a"/>
    <w:qFormat/>
    <w:pPr>
      <w:shd w:val="clear" w:color="auto" w:fill="FFFFFF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f6">
    <w:name w:val="Колонтитул1"/>
    <w:basedOn w:val="a"/>
    <w:qFormat/>
    <w:pPr>
      <w:shd w:val="clear" w:color="auto" w:fill="FFFFFF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112">
    <w:name w:val="Заголовок №11"/>
    <w:basedOn w:val="a"/>
    <w:qFormat/>
    <w:pPr>
      <w:shd w:val="clear" w:color="auto" w:fill="FFFFFF"/>
      <w:spacing w:before="300" w:after="300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2c">
    <w:name w:val="Абзац списка2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1f7">
    <w:name w:val="Текст концевой сноски1"/>
    <w:basedOn w:val="a"/>
    <w:uiPriority w:val="99"/>
    <w:semiHidden/>
    <w:unhideWhenUsed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35">
    <w:name w:val="Body Text 3"/>
    <w:basedOn w:val="a"/>
    <w:link w:val="320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afff2">
    <w:name w:val="annotation text"/>
    <w:basedOn w:val="a"/>
    <w:uiPriority w:val="99"/>
    <w:unhideWhenUsed/>
    <w:qFormat/>
    <w:rPr>
      <w:sz w:val="20"/>
      <w:szCs w:val="20"/>
    </w:rPr>
  </w:style>
  <w:style w:type="paragraph" w:customStyle="1" w:styleId="formattext">
    <w:name w:val="formattext"/>
    <w:basedOn w:val="a"/>
    <w:qFormat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6">
    <w:name w:val="Абзац списка3"/>
    <w:basedOn w:val="a"/>
    <w:qFormat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0">
    <w:name w:val="Контракт-раздел"/>
    <w:basedOn w:val="a"/>
    <w:next w:val="-1"/>
    <w:qFormat/>
    <w:pPr>
      <w:keepNext/>
      <w:widowControl/>
      <w:tabs>
        <w:tab w:val="left" w:pos="540"/>
      </w:tabs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smallCaps/>
      <w:color w:val="auto"/>
      <w:lang w:bidi="ar-SA"/>
    </w:rPr>
  </w:style>
  <w:style w:type="paragraph" w:customStyle="1" w:styleId="-1">
    <w:name w:val="Контракт-пункт"/>
    <w:basedOn w:val="a"/>
    <w:qFormat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ункт"/>
    <w:basedOn w:val="a"/>
    <w:qFormat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3">
    <w:name w:val="Контракт-подподпункт"/>
    <w:basedOn w:val="a"/>
    <w:qFormat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3">
    <w:name w:val="annotation subject"/>
    <w:basedOn w:val="afff2"/>
    <w:next w:val="afff2"/>
    <w:uiPriority w:val="99"/>
    <w:semiHidden/>
    <w:unhideWhenUsed/>
    <w:qFormat/>
    <w:pPr>
      <w:widowControl/>
      <w:ind w:firstLine="539"/>
      <w:jc w:val="both"/>
    </w:pPr>
    <w:rPr>
      <w:rFonts w:ascii="Times New Roman" w:eastAsiaTheme="minorHAnsi" w:hAnsi="Times New Roman" w:cstheme="minorBidi"/>
      <w:b/>
      <w:bCs/>
      <w:color w:val="auto"/>
      <w:lang w:eastAsia="en-US" w:bidi="ar-SA"/>
    </w:rPr>
  </w:style>
  <w:style w:type="table" w:styleId="afff4">
    <w:name w:val="Table Grid"/>
    <w:basedOn w:val="a1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8">
    <w:name w:val="Сетка таблицы1"/>
    <w:basedOn w:val="a1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Заголовок 1 Знак2"/>
    <w:aliases w:val="1 Знак,h1 Знак,H1 Знак,app heading 1 Знак,ITT t1 Знак,II+ Знак,I Знак,H11 Знак,H12 Знак,H13 Знак,H14 Знак,H15 Знак,H16 Знак,H17 Знак,H18 Знак,H111 Знак,H121 Знак,H131 Знак,H141 Знак,H151 Знак,H161 Знак,H171 Знак,H19 Знак,H112 Знак"/>
    <w:basedOn w:val="a0"/>
    <w:link w:val="1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H2 Знак,h2 Знак,2 Знак,Heading 2 Hidden Знак,CHS Знак,H2-Heading 2 Знак,l2 Знак,Header2 Знак,22 Знак,heading2 Знак,list2 Знак,A Знак,A.B.C. Знак,list 2 Знак,Heading2 Знак,Heading Indent No L2 Знак,UNDERRUBRIK 1-2 Знак,Titre 21 Знак"/>
    <w:basedOn w:val="a0"/>
    <w:link w:val="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10">
    <w:name w:val="Заголовок 4 Знак1"/>
    <w:aliases w:val="4 Знак,I4 Знак,l4 Знак,heading4 Знак,I41 Знак,41 Знак,l41 Знак,heading41 Знак,(Shift Ctrl 4) Знак,Titre 41 Знак,t4.T4 Знак,4heading Знак,h4 Знак,a. Знак,4 dash Знак,d Знак,4 dash1 Знак,d1 Знак,31 Знак,h41 Знак,a.1 Знак,4 dash2 Знак"/>
    <w:basedOn w:val="a0"/>
    <w:link w:val="4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10">
    <w:name w:val="Заголовок 6 Знак1"/>
    <w:aliases w:val="PIM 6 Знак"/>
    <w:basedOn w:val="a0"/>
    <w:link w:val="6"/>
    <w:rPr>
      <w:rFonts w:ascii="Times New Roman" w:eastAsia="Times New Roman" w:hAnsi="Times New Roman" w:cs="Times New Roman"/>
      <w:b/>
      <w:bCs/>
      <w:sz w:val="22"/>
      <w:lang w:eastAsia="zh-CN"/>
    </w:rPr>
  </w:style>
  <w:style w:type="character" w:customStyle="1" w:styleId="710">
    <w:name w:val="Заголовок 7 Знак1"/>
    <w:aliases w:val="PIM 7 Знак"/>
    <w:basedOn w:val="a0"/>
    <w:link w:val="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10">
    <w:name w:val="Заголовок 9 Знак1"/>
    <w:basedOn w:val="a0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 w:bidi="ru-RU"/>
    </w:rPr>
  </w:style>
  <w:style w:type="paragraph" w:customStyle="1" w:styleId="afff5">
    <w:name w:val="АД_Основной текст"/>
    <w:basedOn w:val="a"/>
    <w:link w:val="afff6"/>
    <w:qFormat/>
    <w:pPr>
      <w:widowControl/>
      <w:suppressAutoHyphens w:val="0"/>
      <w:ind w:firstLine="567"/>
      <w:jc w:val="both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6">
    <w:name w:val="АД_Основной текст Знак"/>
    <w:link w:val="afff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ntstyle11">
    <w:name w:val="fontstyle11"/>
    <w:basedOn w:val="a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37">
    <w:name w:val="Body Text Indent 3"/>
    <w:basedOn w:val="a"/>
    <w:link w:val="38"/>
    <w:uiPriority w:val="99"/>
    <w:unhideWhenUsed/>
    <w:pPr>
      <w:autoSpaceDE w:val="0"/>
      <w:autoSpaceDN w:val="0"/>
      <w:adjustRightInd w:val="0"/>
      <w:spacing w:line="276" w:lineRule="auto"/>
      <w:ind w:firstLine="426"/>
      <w:jc w:val="both"/>
    </w:pPr>
    <w:rPr>
      <w:rFonts w:ascii="Times New Roman" w:eastAsia="Times New Roman" w:hAnsi="Times New Roman" w:cs="Times New Roman"/>
      <w:bCs/>
    </w:rPr>
  </w:style>
  <w:style w:type="character" w:customStyle="1" w:styleId="38">
    <w:name w:val="Основной текст с отступом 3 Знак"/>
    <w:basedOn w:val="a0"/>
    <w:link w:val="37"/>
    <w:uiPriority w:val="99"/>
    <w:rPr>
      <w:rFonts w:ascii="Times New Roman" w:eastAsia="Times New Roman" w:hAnsi="Times New Roman" w:cs="Times New Roman"/>
      <w:bCs/>
      <w:color w:val="000000"/>
      <w:sz w:val="24"/>
      <w:szCs w:val="24"/>
      <w:lang w:eastAsia="ru-RU" w:bidi="ru-RU"/>
    </w:rPr>
  </w:style>
  <w:style w:type="character" w:customStyle="1" w:styleId="layout">
    <w:name w:val="layou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9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5526E-6E77-4B0D-BCB4-4E4BB960C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7</Pages>
  <Words>2350</Words>
  <Characters>13400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Пользователь Windows</cp:lastModifiedBy>
  <cp:revision>532</cp:revision>
  <cp:lastPrinted>2022-04-01T10:15:00Z</cp:lastPrinted>
  <dcterms:created xsi:type="dcterms:W3CDTF">2022-03-31T12:42:00Z</dcterms:created>
  <dcterms:modified xsi:type="dcterms:W3CDTF">2026-06-15T08:06:00Z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