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3" Target="docProps/core.xml" Type="http://schemas.openxmlformats.org/package/2006/relationships/metadata/core-properties"/>
  <Relationship Id="rId2" Target="docProps/app.xml" Type="http://schemas.openxmlformats.org/officeDocument/2006/relationships/extended-properties"/>
</Relationships>

</file>

<file path=word/document.xml><?xml version="1.0" encoding="utf-8"?>
<w:document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3000000">
      <w:pPr>
        <w:pStyle w:val="Style_2"/>
        <w:widowControl w:val="1"/>
        <w:spacing w:after="0"/>
        <w:ind/>
        <w:jc w:val="center"/>
        <w:rPr>
          <w:b w:val="1"/>
          <w:sz w:val="20"/>
        </w:rPr>
      </w:pPr>
    </w:p>
    <w:p w14:paraId="04000000">
      <w:pPr>
        <w:widowControl w:val="1"/>
        <w:ind/>
        <w:jc w:val="center"/>
        <w:rPr>
          <w:sz w:val="22"/>
        </w:rPr>
      </w:pPr>
      <w:r>
        <w:rPr>
          <w:sz w:val="22"/>
        </w:rPr>
        <w:t>Контракт № _</w:t>
      </w:r>
    </w:p>
    <w:p w14:paraId="05000000">
      <w:pPr>
        <w:widowControl w:val="1"/>
        <w:ind/>
        <w:jc w:val="center"/>
        <w:rPr>
          <w:sz w:val="22"/>
        </w:rPr>
      </w:pPr>
      <w:r>
        <w:rPr>
          <w:sz w:val="22"/>
        </w:rPr>
        <w:t>Санкт – Петербург</w:t>
      </w:r>
      <w:r>
        <w:rPr>
          <w:sz w:val="22"/>
        </w:rPr>
        <w:tab/>
      </w:r>
      <w:r>
        <w:rPr>
          <w:sz w:val="22"/>
        </w:rPr>
        <w:tab/>
      </w:r>
      <w:r>
        <w:rPr>
          <w:sz w:val="22"/>
        </w:rPr>
        <w:tab/>
      </w:r>
      <w:r>
        <w:rPr>
          <w:sz w:val="22"/>
        </w:rPr>
        <w:tab/>
      </w:r>
      <w:r>
        <w:rPr>
          <w:sz w:val="22"/>
        </w:rPr>
        <w:tab/>
      </w:r>
      <w:r>
        <w:rPr>
          <w:sz w:val="22"/>
        </w:rPr>
        <w:tab/>
      </w:r>
      <w:r>
        <w:rPr>
          <w:sz w:val="22"/>
        </w:rPr>
        <w:tab/>
      </w:r>
      <w:r>
        <w:rPr>
          <w:sz w:val="22"/>
        </w:rPr>
        <w:t>«_» июня</w:t>
      </w:r>
      <w:r>
        <w:rPr>
          <w:sz w:val="22"/>
        </w:rPr>
        <w:t xml:space="preserve"> </w:t>
      </w:r>
      <w:r>
        <w:rPr>
          <w:sz w:val="22"/>
        </w:rPr>
        <w:t>2026</w:t>
      </w:r>
      <w:r>
        <w:rPr>
          <w:sz w:val="22"/>
        </w:rPr>
        <w:t xml:space="preserve"> г.</w:t>
      </w:r>
    </w:p>
    <w:p w14:paraId="06000000">
      <w:pPr>
        <w:widowControl w:val="1"/>
        <w:ind/>
        <w:jc w:val="both"/>
        <w:rPr>
          <w:sz w:val="22"/>
        </w:rPr>
      </w:pPr>
    </w:p>
    <w:p w14:paraId="07000000">
      <w:pPr>
        <w:widowControl w:val="1"/>
        <w:ind w:firstLine="709"/>
        <w:jc w:val="both"/>
        <w:rPr>
          <w:sz w:val="22"/>
        </w:rPr>
      </w:pPr>
      <w:r>
        <w:rPr>
          <w:sz w:val="22"/>
        </w:rPr>
        <w:t>Государственное бюджетное дошкольное образовательное учреждение детский сад № 41 Фрунзенского района Санкт-Петербурга</w:t>
      </w:r>
      <w:r>
        <w:rPr>
          <w:sz w:val="22"/>
        </w:rPr>
        <w:t>,</w:t>
      </w:r>
      <w:r>
        <w:rPr>
          <w:sz w:val="22"/>
        </w:rPr>
        <w:t xml:space="preserve"> в лице Заведующего Колесниковой Натальи Генриховны, действующего на основании Устава, именуемое в дальнейшем Заказчик, с одной стороны, и</w:t>
      </w:r>
      <w:r>
        <w:rPr>
          <w:sz w:val="22"/>
        </w:rPr>
        <w:t xml:space="preserve"> </w:t>
      </w:r>
      <w:r>
        <w:rPr>
          <w:sz w:val="22"/>
          <w:highlight w:val="white"/>
        </w:rPr>
        <w:t>_</w:t>
      </w:r>
      <w:r>
        <w:rPr>
          <w:sz w:val="22"/>
        </w:rPr>
        <w:t>,</w:t>
      </w:r>
      <w:r>
        <w:rPr>
          <w:sz w:val="22"/>
        </w:rPr>
        <w:t xml:space="preserve"> </w:t>
      </w:r>
      <w:r>
        <w:rPr>
          <w:sz w:val="22"/>
        </w:rPr>
        <w:t xml:space="preserve">в лице </w:t>
      </w:r>
      <w:r>
        <w:rPr>
          <w:sz w:val="22"/>
        </w:rPr>
        <w:t>_,</w:t>
      </w:r>
      <w:r>
        <w:rPr>
          <w:sz w:val="22"/>
        </w:rPr>
        <w:t xml:space="preserve"> </w:t>
      </w:r>
      <w:r>
        <w:rPr>
          <w:sz w:val="22"/>
        </w:rPr>
        <w:t>действующего на основании</w:t>
      </w:r>
      <w:r>
        <w:rPr>
          <w:sz w:val="22"/>
        </w:rPr>
        <w:t xml:space="preserve"> </w:t>
      </w:r>
      <w:r>
        <w:rPr>
          <w:sz w:val="22"/>
        </w:rPr>
        <w:t>_</w:t>
      </w:r>
      <w:r>
        <w:rPr>
          <w:sz w:val="22"/>
        </w:rPr>
        <w:t xml:space="preserve">, именуемое в дальнейшем Исполнитель, с другой стороны (далее именуемые - стороны), заключили </w:t>
      </w:r>
      <w:r>
        <w:rPr>
          <w:sz w:val="22"/>
        </w:rPr>
        <w:t>настоящий контракт (далее – Контракт) о нижеследующем:</w:t>
      </w:r>
    </w:p>
    <w:p w14:paraId="08000000">
      <w:pPr>
        <w:pStyle w:val="Style_3"/>
        <w:widowControl w:val="1"/>
        <w:ind/>
        <w:jc w:val="center"/>
        <w:rPr>
          <w:rFonts w:ascii="Times New Roman" w:hAnsi="Times New Roman"/>
          <w:b w:val="0"/>
          <w:color w:val="000000"/>
        </w:rPr>
      </w:pPr>
      <w:r>
        <w:rPr>
          <w:rFonts w:ascii="Times New Roman" w:hAnsi="Times New Roman"/>
          <w:b w:val="0"/>
          <w:color w:val="000000"/>
        </w:rPr>
        <w:t>1. Предмет контракта</w:t>
      </w:r>
    </w:p>
    <w:p w14:paraId="09000000">
      <w:pPr>
        <w:widowControl w:val="0"/>
        <w:ind w:firstLine="709"/>
        <w:jc w:val="both"/>
        <w:rPr>
          <w:rFonts w:ascii="Times New Roman" w:hAnsi="Times New Roman"/>
          <w:color w:themeColor="text1" w:val="000000"/>
          <w:sz w:val="22"/>
        </w:rPr>
      </w:pPr>
      <w:r>
        <w:rPr>
          <w:color w:val="000000"/>
          <w:sz w:val="22"/>
        </w:rPr>
        <w:t xml:space="preserve">1.1. </w:t>
      </w:r>
      <w:r>
        <w:rPr>
          <w:color w:themeColor="text1" w:val="000000"/>
          <w:sz w:val="22"/>
        </w:rPr>
        <w:t>Исполнитель обязуется оказать услуги по</w:t>
      </w:r>
      <w:r>
        <w:rPr>
          <w:color w:themeColor="text1" w:val="000000"/>
          <w:sz w:val="22"/>
        </w:rPr>
        <w:t xml:space="preserve"> предоставлению доступа к сети интернет </w:t>
      </w:r>
      <w:r>
        <w:rPr>
          <w:color w:themeColor="text1" w:val="000000"/>
          <w:sz w:val="22"/>
        </w:rPr>
        <w:t>(далее – услуги) по адрес</w:t>
      </w:r>
      <w:r>
        <w:rPr>
          <w:color w:themeColor="text1" w:val="000000"/>
          <w:sz w:val="22"/>
        </w:rPr>
        <w:t>ам</w:t>
      </w:r>
      <w:r>
        <w:rPr>
          <w:color w:themeColor="text1" w:val="000000"/>
          <w:sz w:val="22"/>
        </w:rPr>
        <w:t xml:space="preserve">: Санкт-Петербург, улица Малая Бухарестская, дом 12, корпус 2, стр.1 </w:t>
      </w:r>
      <w:r>
        <w:rPr>
          <w:color w:themeColor="text1" w:val="000000"/>
          <w:sz w:val="22"/>
        </w:rPr>
        <w:t xml:space="preserve">и </w:t>
      </w:r>
      <w:r>
        <w:rPr>
          <w:color w:themeColor="text1" w:val="000000"/>
          <w:sz w:val="22"/>
        </w:rPr>
        <w:t>Санкт-Петербург, улица Буха</w:t>
      </w:r>
      <w:r>
        <w:rPr>
          <w:rFonts w:ascii="Times New Roman" w:hAnsi="Times New Roman"/>
          <w:color w:themeColor="text1" w:val="000000"/>
          <w:sz w:val="22"/>
        </w:rPr>
        <w:t>рестская, дом 114, корпус 3, литера А</w:t>
      </w:r>
      <w:r>
        <w:rPr>
          <w:rFonts w:ascii="Times New Roman" w:hAnsi="Times New Roman"/>
          <w:color w:themeColor="text1" w:val="000000"/>
          <w:sz w:val="22"/>
        </w:rPr>
        <w:t xml:space="preserve"> </w:t>
      </w:r>
      <w:r>
        <w:rPr>
          <w:rFonts w:ascii="Times New Roman" w:hAnsi="Times New Roman"/>
          <w:color w:themeColor="text1" w:val="000000"/>
          <w:sz w:val="22"/>
        </w:rPr>
        <w:t>в соответствии с Приложениями №№ 1-2, а Заказчик обязуется обеспечить оплату оказанных услуг.</w:t>
      </w:r>
    </w:p>
    <w:p w14:paraId="0A000000">
      <w:pPr>
        <w:widowControl w:val="1"/>
        <w:ind/>
        <w:jc w:val="both"/>
        <w:rPr>
          <w:rFonts w:ascii="Times New Roman" w:hAnsi="Times New Roman"/>
          <w:color w:val="000000"/>
          <w:sz w:val="22"/>
        </w:rPr>
      </w:pPr>
      <w:r>
        <w:rPr>
          <w:rFonts w:ascii="Times New Roman" w:hAnsi="Times New Roman"/>
          <w:color w:themeColor="text1" w:val="000000"/>
          <w:sz w:val="22"/>
        </w:rPr>
        <w:t xml:space="preserve">             1.2. </w:t>
      </w:r>
      <w:r>
        <w:rPr>
          <w:rFonts w:ascii="Times New Roman" w:hAnsi="Times New Roman"/>
          <w:color w:themeColor="text1" w:val="000000"/>
          <w:sz w:val="22"/>
        </w:rPr>
        <w:t xml:space="preserve">ИКЗ – </w:t>
      </w:r>
      <w:r>
        <w:rPr>
          <w:rFonts w:ascii="Times New Roman" w:hAnsi="Times New Roman"/>
          <w:b w:val="0"/>
          <w:i w:val="0"/>
          <w:caps w:val="0"/>
          <w:color w:val="000000"/>
          <w:spacing w:val="0"/>
          <w:sz w:val="22"/>
        </w:rPr>
        <w:t>262781615741878160100100020000000244</w:t>
      </w:r>
      <w:r>
        <w:rPr>
          <w:rFonts w:ascii="Times New Roman" w:hAnsi="Times New Roman"/>
          <w:color w:val="000000"/>
          <w:sz w:val="22"/>
        </w:rPr>
        <w:t>.</w:t>
      </w:r>
    </w:p>
    <w:p w14:paraId="0B000000">
      <w:pPr>
        <w:widowControl w:val="1"/>
        <w:ind/>
        <w:jc w:val="both"/>
        <w:rPr>
          <w:rFonts w:ascii="Times New Roman" w:hAnsi="Times New Roman"/>
          <w:color w:val="000000"/>
          <w:sz w:val="22"/>
        </w:rPr>
      </w:pPr>
    </w:p>
    <w:p w14:paraId="0C000000">
      <w:pPr>
        <w:widowControl w:val="1"/>
        <w:ind w:firstLine="709"/>
        <w:jc w:val="center"/>
        <w:rPr>
          <w:sz w:val="22"/>
        </w:rPr>
      </w:pPr>
      <w:r>
        <w:rPr>
          <w:sz w:val="22"/>
        </w:rPr>
        <w:t>2. Срок оказания услуг</w:t>
      </w:r>
    </w:p>
    <w:p w14:paraId="0D000000">
      <w:pPr>
        <w:pStyle w:val="Style_2"/>
        <w:widowControl w:val="1"/>
        <w:spacing w:after="0"/>
        <w:ind w:firstLine="709" w:left="0"/>
        <w:jc w:val="both"/>
        <w:rPr>
          <w:sz w:val="22"/>
        </w:rPr>
      </w:pPr>
      <w:r>
        <w:rPr>
          <w:sz w:val="22"/>
        </w:rPr>
        <w:t xml:space="preserve">2.1. Срок оказания услуг: с </w:t>
      </w:r>
      <w:r>
        <w:rPr>
          <w:sz w:val="22"/>
        </w:rPr>
        <w:t>1 июля</w:t>
      </w:r>
      <w:r>
        <w:rPr>
          <w:sz w:val="22"/>
        </w:rPr>
        <w:t xml:space="preserve"> 2026</w:t>
      </w:r>
      <w:r>
        <w:rPr>
          <w:sz w:val="22"/>
        </w:rPr>
        <w:t xml:space="preserve"> года</w:t>
      </w:r>
      <w:r>
        <w:rPr>
          <w:sz w:val="22"/>
        </w:rPr>
        <w:t xml:space="preserve">  по 31 декабря</w:t>
      </w:r>
      <w:r>
        <w:rPr>
          <w:sz w:val="22"/>
        </w:rPr>
        <w:t xml:space="preserve"> 20</w:t>
      </w:r>
      <w:r>
        <w:rPr>
          <w:sz w:val="22"/>
        </w:rPr>
        <w:t>26</w:t>
      </w:r>
      <w:r>
        <w:rPr>
          <w:sz w:val="22"/>
        </w:rPr>
        <w:t xml:space="preserve"> г.  (включительно). </w:t>
      </w:r>
    </w:p>
    <w:p w14:paraId="0E000000">
      <w:pPr>
        <w:pStyle w:val="Style_3"/>
        <w:widowControl w:val="1"/>
        <w:ind/>
        <w:jc w:val="center"/>
        <w:rPr>
          <w:rFonts w:ascii="Times New Roman" w:hAnsi="Times New Roman"/>
          <w:b w:val="0"/>
          <w:color w:val="000000"/>
        </w:rPr>
      </w:pPr>
    </w:p>
    <w:p w14:paraId="0F000000">
      <w:pPr>
        <w:pStyle w:val="Style_3"/>
        <w:widowControl w:val="1"/>
        <w:ind/>
        <w:jc w:val="center"/>
        <w:rPr>
          <w:rFonts w:ascii="Times New Roman" w:hAnsi="Times New Roman"/>
          <w:b w:val="0"/>
          <w:color w:val="000000"/>
        </w:rPr>
      </w:pPr>
      <w:r>
        <w:rPr>
          <w:rFonts w:ascii="Times New Roman" w:hAnsi="Times New Roman"/>
          <w:b w:val="0"/>
          <w:color w:val="000000"/>
        </w:rPr>
        <w:t>3. Цена контракта и порядок расчетов</w:t>
      </w:r>
    </w:p>
    <w:p w14:paraId="10000000">
      <w:pPr>
        <w:widowControl w:val="1"/>
        <w:ind w:firstLine="709"/>
        <w:jc w:val="both"/>
        <w:rPr>
          <w:sz w:val="22"/>
        </w:rPr>
      </w:pPr>
      <w:r>
        <w:rPr>
          <w:sz w:val="22"/>
        </w:rPr>
        <w:t>3.1. Цена контракта составляет _</w:t>
      </w:r>
      <w:r>
        <w:rPr>
          <w:sz w:val="22"/>
        </w:rPr>
        <w:t xml:space="preserve"> </w:t>
      </w:r>
      <w:r>
        <w:rPr>
          <w:sz w:val="22"/>
        </w:rPr>
        <w:t>(_) рублей _ копеек, в том числе _,</w:t>
      </w:r>
      <w:r>
        <w:rPr>
          <w:sz w:val="22"/>
        </w:rPr>
        <w:t xml:space="preserve"> </w:t>
      </w:r>
      <w:r>
        <w:rPr>
          <w:sz w:val="22"/>
        </w:rPr>
        <w:t>(</w:t>
      </w:r>
      <w:r>
        <w:rPr>
          <w:sz w:val="22"/>
        </w:rPr>
        <w:t xml:space="preserve">если </w:t>
      </w:r>
      <w:r>
        <w:rPr>
          <w:sz w:val="22"/>
        </w:rPr>
        <w:t>НДС не облагается на основании</w:t>
      </w:r>
      <w:r>
        <w:rPr>
          <w:sz w:val="22"/>
        </w:rPr>
        <w:t xml:space="preserve"> </w:t>
      </w:r>
      <w:r>
        <w:rPr>
          <w:sz w:val="22"/>
        </w:rPr>
        <w:t>_)</w:t>
      </w:r>
      <w:r>
        <w:rPr>
          <w:sz w:val="22"/>
        </w:rPr>
        <w:t xml:space="preserve">. </w:t>
      </w:r>
      <w:r>
        <w:rPr>
          <w:sz w:val="22"/>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настоящего Контракта. </w:t>
      </w:r>
    </w:p>
    <w:p w14:paraId="11000000">
      <w:pPr>
        <w:widowControl w:val="1"/>
        <w:ind w:firstLine="709"/>
        <w:jc w:val="both"/>
        <w:rPr>
          <w:sz w:val="22"/>
        </w:rPr>
      </w:pPr>
      <w:r>
        <w:rPr>
          <w:sz w:val="22"/>
        </w:rPr>
        <w:t>3.2. Цена контракта является твердой и определяется на весь срок исполнения контракта.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2000000">
      <w:pPr>
        <w:pStyle w:val="Style_4"/>
        <w:widowControl w:val="1"/>
        <w:spacing w:after="0" w:line="240" w:lineRule="auto"/>
        <w:ind w:firstLine="709" w:left="0"/>
        <w:jc w:val="both"/>
        <w:rPr>
          <w:color w:val="FF0000"/>
          <w:sz w:val="22"/>
        </w:rPr>
      </w:pPr>
      <w:r>
        <w:rPr>
          <w:sz w:val="22"/>
        </w:rPr>
        <w:t xml:space="preserve">3.3. Оплата услуг по настоящему Контракту производится Заказчиком ежемесячно на основании счета, представленных Исполнителем, акта оказанных услуг, подписанного сторонами в порядке, предусмотренном Разделом 6 настоящего контракта, в течение </w:t>
      </w:r>
      <w:r>
        <w:rPr>
          <w:sz w:val="22"/>
        </w:rPr>
        <w:t>десяти</w:t>
      </w:r>
      <w:r>
        <w:rPr>
          <w:sz w:val="22"/>
        </w:rPr>
        <w:t xml:space="preserve"> рабочих дней с даты подписания Заказчиком акта оказанных услуг. </w:t>
      </w:r>
    </w:p>
    <w:p w14:paraId="13000000">
      <w:pPr>
        <w:widowControl w:val="1"/>
        <w:ind w:firstLine="709"/>
        <w:jc w:val="both"/>
        <w:rPr>
          <w:sz w:val="22"/>
        </w:rPr>
      </w:pPr>
      <w:r>
        <w:rPr>
          <w:sz w:val="22"/>
        </w:rPr>
        <w:t xml:space="preserve">3.4. Оплата оказанных Исполнителем услуг подлежит уменьшению на сумму пени, штрафа, исчисленную в соответствии с пунктом 7.2 -7.3.2 настоящего контракта. </w:t>
      </w:r>
    </w:p>
    <w:p w14:paraId="14000000">
      <w:pPr>
        <w:widowControl w:val="1"/>
        <w:ind w:firstLine="709"/>
        <w:jc w:val="both"/>
        <w:rPr>
          <w:sz w:val="22"/>
        </w:rPr>
      </w:pPr>
      <w:r>
        <w:rPr>
          <w:sz w:val="22"/>
        </w:rPr>
        <w:t xml:space="preserve">3.5. Основанием для уменьшения размера оплаты является заявление Заказчика о прекращении обязательства зачетом встречного однородного требования, соответствующее п. 7.5 настоящего контракта, направляемое Исполнителю (при наличии обстоятельств, предусмотренных разделом 7 настоящего контракта).  </w:t>
      </w:r>
    </w:p>
    <w:p w14:paraId="15000000">
      <w:pPr>
        <w:widowControl w:val="1"/>
        <w:ind w:firstLine="709"/>
        <w:jc w:val="both"/>
        <w:rPr>
          <w:sz w:val="22"/>
        </w:rPr>
      </w:pPr>
      <w:r>
        <w:rPr>
          <w:sz w:val="22"/>
        </w:rPr>
        <w:t>3.6.</w:t>
      </w:r>
      <w:r>
        <w:rPr>
          <w:sz w:val="22"/>
        </w:rPr>
        <w:tab/>
      </w:r>
      <w:r>
        <w:rPr>
          <w:sz w:val="22"/>
        </w:rPr>
        <w:t xml:space="preserve">Оплата </w:t>
      </w:r>
      <w:r>
        <w:rPr>
          <w:color w:val="000000"/>
          <w:spacing w:val="-1"/>
          <w:sz w:val="22"/>
        </w:rPr>
        <w:t>по настоящему Контракту</w:t>
      </w:r>
      <w:r>
        <w:rPr>
          <w:sz w:val="22"/>
        </w:rPr>
        <w:t xml:space="preserve"> производится Заказчиком путем перечисления денежных средств на расчетный счет Исполнителя. Авансирование не предусматривается.</w:t>
      </w:r>
    </w:p>
    <w:p w14:paraId="16000000">
      <w:pPr>
        <w:widowControl w:val="1"/>
        <w:ind w:firstLine="709"/>
        <w:jc w:val="both"/>
        <w:rPr>
          <w:sz w:val="22"/>
        </w:rPr>
      </w:pPr>
      <w:r>
        <w:rPr>
          <w:sz w:val="22"/>
        </w:rPr>
        <w:t>3.7. Расчеты по Контракту осуществляются в соответствии с правилами безналичных расчетов платежными поручениями с учетом казначейской системы оплаты.</w:t>
      </w:r>
    </w:p>
    <w:p w14:paraId="17000000">
      <w:pPr>
        <w:widowControl w:val="1"/>
        <w:ind w:firstLine="709"/>
        <w:jc w:val="both"/>
        <w:rPr>
          <w:sz w:val="22"/>
        </w:rPr>
      </w:pPr>
      <w:r>
        <w:rPr>
          <w:sz w:val="22"/>
        </w:rPr>
        <w:t>3.8.</w:t>
      </w:r>
      <w:r>
        <w:rPr>
          <w:sz w:val="22"/>
        </w:rPr>
        <w:t xml:space="preserve"> Источник финансирования: </w:t>
      </w:r>
      <w:r>
        <w:rPr>
          <w:sz w:val="22"/>
        </w:rPr>
        <w:t>в</w:t>
      </w:r>
      <w:r>
        <w:rPr>
          <w:sz w:val="22"/>
        </w:rPr>
        <w:t>небюджетные средства, средства бюджетных учреждений, остатки субсидии на финансовое обеспечение выполнения государственного задания/собственные доходы</w:t>
      </w:r>
      <w:r>
        <w:rPr>
          <w:sz w:val="22"/>
        </w:rPr>
        <w:t>.</w:t>
      </w:r>
    </w:p>
    <w:p w14:paraId="18000000">
      <w:pPr>
        <w:widowControl w:val="1"/>
        <w:ind w:firstLine="709"/>
        <w:jc w:val="both"/>
        <w:rPr>
          <w:sz w:val="22"/>
        </w:rPr>
      </w:pPr>
    </w:p>
    <w:p w14:paraId="19000000">
      <w:pPr>
        <w:pStyle w:val="Style_3"/>
        <w:widowControl w:val="1"/>
        <w:ind/>
        <w:jc w:val="center"/>
        <w:rPr>
          <w:rFonts w:ascii="Times New Roman" w:hAnsi="Times New Roman"/>
          <w:b w:val="0"/>
          <w:color w:val="000000"/>
        </w:rPr>
      </w:pPr>
      <w:r>
        <w:rPr>
          <w:rFonts w:ascii="Times New Roman" w:hAnsi="Times New Roman"/>
          <w:b w:val="0"/>
          <w:color w:val="000000"/>
        </w:rPr>
        <w:t xml:space="preserve">4. Обязанности сторон </w:t>
      </w:r>
    </w:p>
    <w:p w14:paraId="1A000000">
      <w:pPr>
        <w:pStyle w:val="Style_3"/>
        <w:widowControl w:val="1"/>
        <w:ind w:firstLine="709"/>
        <w:rPr>
          <w:rFonts w:ascii="Times New Roman" w:hAnsi="Times New Roman"/>
          <w:b w:val="0"/>
          <w:color w:val="000000"/>
        </w:rPr>
      </w:pPr>
      <w:r>
        <w:rPr>
          <w:rFonts w:ascii="Times New Roman" w:hAnsi="Times New Roman"/>
          <w:b w:val="0"/>
          <w:color w:val="000000"/>
        </w:rPr>
        <w:t>4.1. Заказчик обязан:</w:t>
      </w:r>
    </w:p>
    <w:p w14:paraId="1B000000">
      <w:pPr>
        <w:widowControl w:val="1"/>
        <w:ind/>
        <w:jc w:val="both"/>
        <w:rPr>
          <w:color w:val="000000"/>
          <w:sz w:val="22"/>
        </w:rPr>
      </w:pPr>
      <w:r>
        <w:rPr>
          <w:color w:val="000000"/>
          <w:sz w:val="22"/>
        </w:rPr>
        <w:t xml:space="preserve">           4.1.1. В течение 3-х рабочих дней с момента заключения настоящего контракта сообщить Исполнителю номера телефонов, электронный адрес для связи. </w:t>
      </w:r>
    </w:p>
    <w:p w14:paraId="1C000000">
      <w:pPr>
        <w:widowControl w:val="1"/>
        <w:ind/>
        <w:jc w:val="both"/>
        <w:rPr>
          <w:color w:val="000000"/>
          <w:sz w:val="22"/>
        </w:rPr>
      </w:pPr>
      <w:r>
        <w:rPr>
          <w:color w:val="000000"/>
          <w:sz w:val="22"/>
        </w:rPr>
        <w:t xml:space="preserve">           4.1.2. Осуществлять контроль за ходом оказания услуг Исполнителем </w:t>
      </w:r>
      <w:r>
        <w:rPr>
          <w:color w:val="000000"/>
          <w:sz w:val="22"/>
        </w:rPr>
        <w:br/>
      </w:r>
      <w:r>
        <w:rPr>
          <w:color w:val="000000"/>
          <w:sz w:val="22"/>
        </w:rPr>
        <w:t>по настоящему Контракту, не вмешиваясь при этом в оперативно-хозяйственную деятельность Исполнителя.</w:t>
      </w:r>
    </w:p>
    <w:p w14:paraId="1D000000">
      <w:pPr>
        <w:widowControl w:val="1"/>
        <w:ind w:firstLine="709"/>
        <w:jc w:val="both"/>
        <w:rPr>
          <w:color w:val="000000"/>
          <w:sz w:val="22"/>
        </w:rPr>
      </w:pPr>
      <w:r>
        <w:rPr>
          <w:color w:val="000000"/>
          <w:sz w:val="22"/>
        </w:rPr>
        <w:t xml:space="preserve">4.1.3. Осуществить приемку оказанных услуг на соответствие требованиям настоящего контракта. </w:t>
      </w:r>
    </w:p>
    <w:p w14:paraId="1E000000">
      <w:pPr>
        <w:widowControl w:val="1"/>
        <w:ind w:firstLine="709"/>
        <w:jc w:val="both"/>
        <w:rPr>
          <w:color w:val="000000"/>
          <w:sz w:val="22"/>
        </w:rPr>
      </w:pPr>
      <w:r>
        <w:rPr>
          <w:color w:val="000000"/>
          <w:sz w:val="22"/>
        </w:rPr>
        <w:t>4.1.4. Оплатить услуги в порядке и в сроки, предусмотренные настоящим контрактом.</w:t>
      </w:r>
    </w:p>
    <w:p w14:paraId="1F000000">
      <w:pPr>
        <w:widowControl w:val="1"/>
        <w:ind w:firstLine="709"/>
        <w:jc w:val="both"/>
        <w:rPr>
          <w:sz w:val="22"/>
        </w:rPr>
      </w:pPr>
      <w:r>
        <w:rPr>
          <w:sz w:val="22"/>
        </w:rPr>
        <w:t>4.2. Заказчик обеспечивает проведение экспертизы оказанных услуг.</w:t>
      </w:r>
    </w:p>
    <w:p w14:paraId="20000000">
      <w:pPr>
        <w:widowControl w:val="1"/>
        <w:ind w:firstLine="709"/>
        <w:jc w:val="both"/>
        <w:rPr>
          <w:sz w:val="22"/>
        </w:rPr>
      </w:pPr>
      <w:r>
        <w:rPr>
          <w:color w:val="000000"/>
          <w:sz w:val="22"/>
        </w:rPr>
        <w:t>4.2.1.</w:t>
      </w:r>
      <w:r>
        <w:rPr>
          <w:sz w:val="22"/>
        </w:rPr>
        <w:t xml:space="preserve"> 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w:t>
      </w:r>
    </w:p>
    <w:p w14:paraId="21000000">
      <w:pPr>
        <w:widowControl w:val="1"/>
        <w:ind w:firstLine="709"/>
        <w:jc w:val="both"/>
        <w:rPr>
          <w:color w:val="000000"/>
          <w:sz w:val="22"/>
        </w:rPr>
      </w:pPr>
      <w:r>
        <w:rPr>
          <w:color w:val="000000"/>
          <w:sz w:val="22"/>
        </w:rPr>
        <w:t>4.3. Исполнитель обязан:</w:t>
      </w:r>
    </w:p>
    <w:p w14:paraId="22000000">
      <w:pPr>
        <w:widowControl w:val="1"/>
        <w:ind w:firstLine="709"/>
        <w:jc w:val="both"/>
        <w:rPr>
          <w:color w:val="000000"/>
          <w:sz w:val="22"/>
        </w:rPr>
      </w:pPr>
      <w:r>
        <w:rPr>
          <w:color w:val="000000"/>
          <w:sz w:val="22"/>
        </w:rPr>
        <w:t xml:space="preserve">4.3.1. В течение 3-х рабочих дней с момента заключения настоящего контракта сообщить Заказчику номера телефонов, электронный адрес для связи. </w:t>
      </w:r>
    </w:p>
    <w:p w14:paraId="23000000">
      <w:pPr>
        <w:widowControl w:val="1"/>
        <w:ind w:firstLine="709"/>
        <w:jc w:val="both"/>
        <w:rPr>
          <w:color w:val="000000"/>
          <w:sz w:val="22"/>
        </w:rPr>
      </w:pPr>
      <w:r>
        <w:rPr>
          <w:color w:val="000000"/>
          <w:sz w:val="22"/>
        </w:rPr>
        <w:t>4.3.2. Своевременно и качественно оказать услуги, предусмотренные настоящим контрактом.</w:t>
      </w:r>
    </w:p>
    <w:p w14:paraId="24000000">
      <w:pPr>
        <w:widowControl w:val="1"/>
        <w:ind w:firstLine="709"/>
        <w:jc w:val="both"/>
        <w:rPr>
          <w:color w:val="000000"/>
          <w:sz w:val="22"/>
        </w:rPr>
      </w:pPr>
      <w:r>
        <w:rPr>
          <w:color w:val="000000"/>
          <w:sz w:val="22"/>
        </w:rPr>
        <w:t xml:space="preserve">4.3.3. Устранять все недостатки при оказании услуг в срок, указанный Заказчиком. </w:t>
      </w:r>
    </w:p>
    <w:p w14:paraId="25000000">
      <w:pPr>
        <w:widowControl w:val="1"/>
        <w:ind w:firstLine="709"/>
        <w:jc w:val="both"/>
        <w:rPr>
          <w:color w:val="FF0000"/>
          <w:sz w:val="22"/>
        </w:rPr>
      </w:pPr>
      <w:r>
        <w:rPr>
          <w:color w:val="000000"/>
          <w:sz w:val="22"/>
        </w:rPr>
        <w:t xml:space="preserve">4.3.4. </w:t>
      </w:r>
      <w:r>
        <w:rPr>
          <w:sz w:val="22"/>
        </w:rPr>
        <w:t xml:space="preserve">Ежемесячно сдавать Заказчику оказанные услуги. </w:t>
      </w:r>
    </w:p>
    <w:p w14:paraId="26000000">
      <w:pPr>
        <w:widowControl w:val="1"/>
        <w:ind w:firstLine="540"/>
        <w:jc w:val="both"/>
        <w:rPr>
          <w:sz w:val="22"/>
        </w:rPr>
      </w:pPr>
      <w:r>
        <w:rPr>
          <w:color w:val="FFFFFF"/>
          <w:sz w:val="22"/>
        </w:rPr>
        <w:t xml:space="preserve">. </w:t>
      </w:r>
      <w:r>
        <w:rPr>
          <w:color w:val="000000"/>
          <w:sz w:val="22"/>
        </w:rPr>
        <w:t>4</w:t>
      </w:r>
      <w:r>
        <w:rPr>
          <w:sz w:val="22"/>
        </w:rPr>
        <w:t>.3.5. Предоставлять Заказчику достоверную информацию о ходе исполнения своих обязательств. Данная информация предоставляется Исполнителем в течение 3-х рабочих с момента получения запроса Заказчика. О сложностях, возникающих при исполнении Контракта, Исполнитель обязан незамедлительно уведомить Заказчика.</w:t>
      </w:r>
    </w:p>
    <w:p w14:paraId="27000000">
      <w:pPr>
        <w:widowControl w:val="1"/>
        <w:ind w:firstLine="708"/>
        <w:jc w:val="center"/>
        <w:rPr>
          <w:sz w:val="22"/>
        </w:rPr>
      </w:pPr>
    </w:p>
    <w:p w14:paraId="28000000">
      <w:pPr>
        <w:widowControl w:val="1"/>
        <w:ind/>
        <w:jc w:val="center"/>
        <w:rPr>
          <w:sz w:val="22"/>
        </w:rPr>
      </w:pPr>
      <w:r>
        <w:rPr>
          <w:sz w:val="22"/>
        </w:rPr>
        <w:t>5. Качество и безопасность услуг</w:t>
      </w:r>
    </w:p>
    <w:p w14:paraId="29000000">
      <w:pPr>
        <w:widowControl w:val="1"/>
        <w:ind w:firstLine="709"/>
        <w:jc w:val="both"/>
        <w:rPr>
          <w:sz w:val="22"/>
        </w:rPr>
      </w:pPr>
      <w:r>
        <w:rPr>
          <w:sz w:val="22"/>
        </w:rPr>
        <w:t xml:space="preserve">5.1. Качество и безопасность оказываемых услуг должны соответствовать требованиям действующего законодательства.  </w:t>
      </w:r>
    </w:p>
    <w:p w14:paraId="2A000000">
      <w:pPr>
        <w:widowControl w:val="1"/>
        <w:ind w:firstLine="709"/>
        <w:jc w:val="both"/>
        <w:rPr>
          <w:sz w:val="22"/>
        </w:rPr>
      </w:pPr>
      <w:r>
        <w:rPr>
          <w:sz w:val="22"/>
        </w:rPr>
        <w:t xml:space="preserve">5.2.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14:paraId="2B000000">
      <w:pPr>
        <w:widowControl w:val="1"/>
        <w:ind w:firstLine="2552"/>
        <w:jc w:val="center"/>
        <w:rPr>
          <w:sz w:val="22"/>
        </w:rPr>
      </w:pPr>
    </w:p>
    <w:p w14:paraId="2C000000">
      <w:pPr>
        <w:widowControl w:val="1"/>
        <w:ind/>
        <w:jc w:val="center"/>
        <w:rPr>
          <w:color w:val="000000"/>
          <w:sz w:val="22"/>
        </w:rPr>
      </w:pPr>
      <w:r>
        <w:rPr>
          <w:sz w:val="22"/>
        </w:rPr>
        <w:t>6. Порядок сдачи и приемки услуг</w:t>
      </w:r>
    </w:p>
    <w:p w14:paraId="2D000000">
      <w:pPr>
        <w:widowControl w:val="1"/>
        <w:ind w:firstLine="709"/>
        <w:jc w:val="both"/>
        <w:rPr>
          <w:color w:val="FF0000"/>
          <w:sz w:val="22"/>
        </w:rPr>
      </w:pPr>
      <w:r>
        <w:rPr>
          <w:color w:val="000000"/>
          <w:sz w:val="22"/>
        </w:rPr>
        <w:t>6.1. Ежемесячно, не позднее пятого числа месяца, следующего за месяцем оказания услуг, Исполнитель направляет в адрес Заказчика документы для приемки оказанных услуг (акт оказанных услуг, счет, счет-фактура).</w:t>
      </w:r>
    </w:p>
    <w:p w14:paraId="2E000000">
      <w:pPr>
        <w:widowControl w:val="1"/>
        <w:ind w:firstLine="709"/>
        <w:jc w:val="both"/>
        <w:rPr>
          <w:color w:val="000000"/>
          <w:sz w:val="22"/>
        </w:rPr>
      </w:pPr>
      <w:r>
        <w:rPr>
          <w:color w:val="000000"/>
          <w:sz w:val="22"/>
        </w:rPr>
        <w:t xml:space="preserve">6.2. Заказчик в срок до </w:t>
      </w:r>
      <w:r>
        <w:rPr>
          <w:color w:val="000000"/>
          <w:sz w:val="22"/>
        </w:rPr>
        <w:t>двадцати</w:t>
      </w:r>
      <w:r>
        <w:rPr>
          <w:color w:val="000000"/>
          <w:sz w:val="22"/>
        </w:rPr>
        <w:t xml:space="preserve"> рабочих дней с момента получения представленных документов от Исполнителя, указанных в п. 6.1. Контракта осуществляет приемку оказанных услуг, в том числе в части соответствия их количества, комплектности, объема требованиям, установленным Контрактом, с оформлением результатов такой приемки</w:t>
      </w:r>
      <w:r>
        <w:rPr>
          <w:color w:val="000000"/>
          <w:sz w:val="22"/>
        </w:rPr>
        <w:t>.</w:t>
      </w:r>
    </w:p>
    <w:p w14:paraId="2F000000">
      <w:pPr>
        <w:widowControl w:val="1"/>
        <w:ind w:firstLine="709"/>
        <w:jc w:val="both"/>
        <w:rPr>
          <w:color w:val="000000"/>
          <w:sz w:val="22"/>
        </w:rPr>
      </w:pPr>
      <w:r>
        <w:rPr>
          <w:color w:val="000000"/>
          <w:sz w:val="22"/>
        </w:rPr>
        <w:t>6.3. При обнаружении Заказчиком недостатков в оказанных услугах Исполнитель обязан устранить все обнаруженные недостатки в указанный Заказчиком срок, своими силами и за свой счет.</w:t>
      </w:r>
    </w:p>
    <w:p w14:paraId="30000000">
      <w:pPr>
        <w:widowControl w:val="1"/>
        <w:ind w:firstLine="709"/>
        <w:jc w:val="both"/>
        <w:rPr>
          <w:color w:val="000000"/>
          <w:sz w:val="22"/>
        </w:rPr>
      </w:pPr>
      <w:r>
        <w:rPr>
          <w:color w:val="000000"/>
          <w:sz w:val="22"/>
        </w:rPr>
        <w:t>6.4. В случае отказа Заказчика от приемки услуг Заказчик направляет Исполнителю в срок, установленный п. 6.2 Контракта, письменный мотивированный отказ.</w:t>
      </w:r>
    </w:p>
    <w:p w14:paraId="31000000">
      <w:pPr>
        <w:widowControl w:val="1"/>
        <w:ind w:firstLine="709"/>
        <w:jc w:val="both"/>
        <w:rPr>
          <w:color w:val="000000"/>
          <w:sz w:val="22"/>
        </w:rPr>
      </w:pPr>
      <w:r>
        <w:rPr>
          <w:color w:val="000000"/>
          <w:sz w:val="22"/>
        </w:rPr>
        <w:t>6.5. Датой приемки оказанных услуг является дата подписания Заказчиком акта оказанных услуг.</w:t>
      </w:r>
    </w:p>
    <w:p w14:paraId="32000000">
      <w:pPr>
        <w:widowControl w:val="1"/>
        <w:tabs>
          <w:tab w:leader="none" w:pos="567" w:val="left"/>
        </w:tabs>
        <w:ind w:firstLine="709"/>
        <w:jc w:val="both"/>
        <w:rPr>
          <w:color w:val="000000"/>
          <w:sz w:val="22"/>
        </w:rPr>
      </w:pPr>
      <w:r>
        <w:rPr>
          <w:color w:val="000000"/>
          <w:sz w:val="22"/>
        </w:rPr>
        <w:t>6.6. Стороны признают электронные документы</w:t>
      </w:r>
      <w:r>
        <w:rPr>
          <w:sz w:val="22"/>
        </w:rPr>
        <w:t xml:space="preserve"> </w:t>
      </w:r>
      <w:r>
        <w:rPr>
          <w:color w:val="000000"/>
          <w:sz w:val="22"/>
        </w:rPr>
        <w:t>о приемке оказанных услуг, заверенные электронной подписью, при соблюдении требований Федерального закона от 06.04.2011 N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33000000">
      <w:pPr>
        <w:rPr>
          <w:color w:val="000000"/>
          <w:sz w:val="22"/>
        </w:rPr>
      </w:pPr>
    </w:p>
    <w:p w14:paraId="34000000">
      <w:pPr>
        <w:widowControl w:val="1"/>
        <w:ind/>
        <w:jc w:val="center"/>
        <w:rPr>
          <w:sz w:val="22"/>
        </w:rPr>
      </w:pPr>
      <w:r>
        <w:rPr>
          <w:sz w:val="22"/>
        </w:rPr>
        <w:t xml:space="preserve">7. Ответственность сторон и иные последствия нарушения обязательств </w:t>
      </w:r>
    </w:p>
    <w:p w14:paraId="35000000">
      <w:pPr>
        <w:widowControl w:val="1"/>
        <w:ind w:firstLine="360"/>
        <w:jc w:val="both"/>
        <w:rPr>
          <w:sz w:val="22"/>
        </w:rPr>
      </w:pPr>
      <w:r>
        <w:rPr>
          <w:sz w:val="22"/>
        </w:rPr>
        <w:t>7.1. В случае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пени.</w:t>
      </w:r>
    </w:p>
    <w:p w14:paraId="36000000">
      <w:pPr>
        <w:widowControl w:val="1"/>
        <w:ind w:firstLine="360"/>
        <w:jc w:val="both"/>
        <w:rPr>
          <w:sz w:val="22"/>
        </w:rPr>
      </w:pPr>
      <w:r>
        <w:rPr>
          <w:sz w:val="22"/>
        </w:rPr>
        <w:t>7.2.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7000000">
      <w:pPr>
        <w:widowControl w:val="1"/>
        <w:ind w:firstLine="360"/>
        <w:jc w:val="both"/>
        <w:rPr>
          <w:sz w:val="22"/>
        </w:rPr>
      </w:pPr>
      <w:r>
        <w:rPr>
          <w:sz w:val="22"/>
        </w:rPr>
        <w:t xml:space="preserve">7.3. В случае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штраф. Размер штрафа устанавливается контрактом в порядке, </w:t>
      </w:r>
      <w:r>
        <w:rPr>
          <w:sz w:val="22"/>
        </w:rPr>
        <w:t xml:space="preserve">установленном постановлением Правительства Российской Федерации от 30.08.2017 №1042, за исключением случаев, если законодательством Российской Федерации установлен иной порядок начисления штрафов. </w:t>
      </w:r>
    </w:p>
    <w:p w14:paraId="38000000">
      <w:pPr>
        <w:widowControl w:val="1"/>
        <w:ind w:firstLine="360"/>
        <w:jc w:val="both"/>
        <w:rPr>
          <w:sz w:val="22"/>
        </w:rPr>
      </w:pPr>
      <w:r>
        <w:rPr>
          <w:sz w:val="22"/>
        </w:rPr>
        <w:t>7.3.1.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Контракта (этапа): _ руб.</w:t>
      </w:r>
    </w:p>
    <w:p w14:paraId="39000000">
      <w:pPr>
        <w:widowControl w:val="1"/>
        <w:ind w:firstLine="360"/>
        <w:jc w:val="both"/>
        <w:rPr>
          <w:sz w:val="22"/>
        </w:rPr>
      </w:pPr>
      <w:r>
        <w:rPr>
          <w:sz w:val="22"/>
        </w:rPr>
        <w:t xml:space="preserve">7.3.2.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1 000 рублей 00 коп. </w:t>
      </w:r>
    </w:p>
    <w:p w14:paraId="3A000000">
      <w:pPr>
        <w:widowControl w:val="1"/>
        <w:ind w:firstLine="360"/>
        <w:jc w:val="both"/>
        <w:rPr>
          <w:sz w:val="22"/>
        </w:rPr>
      </w:pPr>
      <w:r>
        <w:rPr>
          <w:sz w:val="22"/>
        </w:rPr>
        <w:t>7.4.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B000000">
      <w:pPr>
        <w:widowControl w:val="1"/>
        <w:ind w:firstLine="360"/>
        <w:jc w:val="both"/>
        <w:rPr>
          <w:sz w:val="22"/>
        </w:rPr>
      </w:pPr>
      <w:r>
        <w:rPr>
          <w:sz w:val="22"/>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C000000">
      <w:pPr>
        <w:widowControl w:val="1"/>
        <w:ind w:firstLine="360"/>
        <w:jc w:val="both"/>
        <w:rPr>
          <w:sz w:val="22"/>
        </w:rPr>
      </w:pPr>
      <w:r>
        <w:rPr>
          <w:sz w:val="22"/>
        </w:rPr>
        <w:t xml:space="preserve">7.6. Факт неисполнения или ненадлежащего исполнения Исполнителем обязательств </w:t>
      </w:r>
      <w:r>
        <w:rPr>
          <w:sz w:val="22"/>
        </w:rPr>
        <w:br/>
      </w:r>
      <w:r>
        <w:rPr>
          <w:sz w:val="22"/>
        </w:rPr>
        <w:t>по настоящему контракту, а также расчет пени, штрафа определяется в акте оказанных услуг и в заявлении Заказчика о прекращении обязательства зачетом встречного однородного требования.</w:t>
      </w:r>
    </w:p>
    <w:p w14:paraId="3D000000">
      <w:pPr>
        <w:widowControl w:val="1"/>
        <w:ind w:firstLine="360"/>
        <w:jc w:val="both"/>
        <w:rPr>
          <w:sz w:val="22"/>
        </w:rPr>
      </w:pPr>
      <w:r>
        <w:rPr>
          <w:sz w:val="22"/>
        </w:rPr>
        <w:t xml:space="preserve">Заказчик направляет Исполнителю заявление о прекращении обязательства зачетом встречного однородного требования. </w:t>
      </w:r>
    </w:p>
    <w:p w14:paraId="3E000000">
      <w:pPr>
        <w:widowControl w:val="1"/>
        <w:ind w:firstLine="360"/>
        <w:jc w:val="both"/>
        <w:rPr>
          <w:sz w:val="22"/>
        </w:rPr>
      </w:pPr>
      <w:r>
        <w:rPr>
          <w:sz w:val="22"/>
        </w:rPr>
        <w:t xml:space="preserve">7.7. 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 </w:t>
      </w:r>
    </w:p>
    <w:p w14:paraId="3F000000">
      <w:pPr>
        <w:widowControl w:val="1"/>
        <w:ind w:firstLine="360"/>
        <w:jc w:val="both"/>
        <w:rPr>
          <w:sz w:val="22"/>
        </w:rPr>
      </w:pPr>
      <w:r>
        <w:rPr>
          <w:sz w:val="22"/>
        </w:rPr>
        <w:t>7.8. Заказчик вправе в одностороннем порядке отказаться от исполнения контракта в случае нарушения Исполнителем условий настоящего контракта, в том числе:</w:t>
      </w:r>
    </w:p>
    <w:p w14:paraId="40000000">
      <w:pPr>
        <w:widowControl w:val="1"/>
        <w:ind w:firstLine="360"/>
        <w:jc w:val="both"/>
        <w:rPr>
          <w:sz w:val="22"/>
        </w:rPr>
      </w:pPr>
      <w:r>
        <w:rPr>
          <w:sz w:val="22"/>
        </w:rPr>
        <w:t>7.8.1. В случае нарушения Исполнителем сроков оказания услуг более чем на 3 календарных дня;</w:t>
      </w:r>
    </w:p>
    <w:p w14:paraId="41000000">
      <w:pPr>
        <w:widowControl w:val="1"/>
        <w:ind w:firstLine="360"/>
        <w:jc w:val="both"/>
        <w:rPr>
          <w:sz w:val="22"/>
        </w:rPr>
      </w:pPr>
      <w:r>
        <w:rPr>
          <w:sz w:val="22"/>
        </w:rPr>
        <w:t>7.8.2. В случае систематического (2-х и более раз) невыполнения или ненадлежащего выполнения Исполнителем обязательств по контракту;</w:t>
      </w:r>
    </w:p>
    <w:p w14:paraId="42000000">
      <w:pPr>
        <w:widowControl w:val="1"/>
        <w:ind w:firstLine="360"/>
        <w:jc w:val="both"/>
        <w:rPr>
          <w:sz w:val="22"/>
        </w:rPr>
      </w:pPr>
      <w:r>
        <w:rPr>
          <w:sz w:val="22"/>
        </w:rPr>
        <w:t>7.8.3. Если отступления в оказанных услугах от условий контракта или иные недостатки в их результате в установленные Заказчиком сроки не были устранены Исполнителем, либо являются неустранимыми.</w:t>
      </w:r>
    </w:p>
    <w:p w14:paraId="43000000">
      <w:pPr>
        <w:widowControl w:val="1"/>
        <w:ind w:firstLine="360"/>
        <w:jc w:val="both"/>
        <w:rPr>
          <w:sz w:val="22"/>
        </w:rPr>
      </w:pPr>
      <w:r>
        <w:rPr>
          <w:sz w:val="22"/>
        </w:rPr>
        <w:t>7.8.4. В случае привлечения Исполнителем иностранных работников с нарушением миграционного законодательства РФ.</w:t>
      </w:r>
    </w:p>
    <w:p w14:paraId="44000000">
      <w:pPr>
        <w:widowControl w:val="1"/>
        <w:ind w:firstLine="360"/>
        <w:jc w:val="both"/>
        <w:rPr>
          <w:sz w:val="22"/>
        </w:rPr>
      </w:pPr>
      <w:r>
        <w:rPr>
          <w:sz w:val="22"/>
        </w:rPr>
        <w:t>7.8.5. По другим основаниям, предусмотренным гражданским законодательством.</w:t>
      </w:r>
    </w:p>
    <w:p w14:paraId="45000000">
      <w:pPr>
        <w:widowControl w:val="1"/>
        <w:ind w:firstLine="708"/>
        <w:jc w:val="both"/>
        <w:rPr>
          <w:sz w:val="22"/>
        </w:rPr>
      </w:pPr>
    </w:p>
    <w:p w14:paraId="46000000">
      <w:pPr>
        <w:widowControl w:val="1"/>
        <w:ind w:firstLine="709"/>
        <w:jc w:val="center"/>
        <w:rPr>
          <w:sz w:val="22"/>
        </w:rPr>
      </w:pPr>
      <w:r>
        <w:rPr>
          <w:sz w:val="22"/>
        </w:rPr>
        <w:t>8. Порядок разрешения споров</w:t>
      </w:r>
    </w:p>
    <w:p w14:paraId="47000000">
      <w:pPr>
        <w:widowControl w:val="1"/>
        <w:ind w:firstLine="709"/>
        <w:jc w:val="both"/>
        <w:rPr>
          <w:sz w:val="22"/>
        </w:rPr>
      </w:pPr>
      <w:r>
        <w:rPr>
          <w:sz w:val="22"/>
        </w:rPr>
        <w:t xml:space="preserve">8.1. Все споры по настоящему контракту подлежат рассмотрению </w:t>
      </w:r>
      <w:r>
        <w:rPr>
          <w:sz w:val="22"/>
        </w:rPr>
        <w:br/>
      </w:r>
      <w:r>
        <w:rPr>
          <w:sz w:val="22"/>
        </w:rPr>
        <w:t>в Арбитражном суде города Санкт-Петербурга и Ленинградской области.</w:t>
      </w:r>
    </w:p>
    <w:p w14:paraId="48000000">
      <w:pPr>
        <w:widowControl w:val="1"/>
        <w:ind w:firstLine="709"/>
        <w:rPr>
          <w:sz w:val="22"/>
        </w:rPr>
      </w:pPr>
    </w:p>
    <w:p w14:paraId="49000000">
      <w:pPr>
        <w:widowControl w:val="1"/>
        <w:ind w:firstLine="709"/>
        <w:jc w:val="center"/>
        <w:rPr>
          <w:sz w:val="22"/>
        </w:rPr>
      </w:pPr>
      <w:r>
        <w:rPr>
          <w:sz w:val="22"/>
        </w:rPr>
        <w:t xml:space="preserve">9. Срок контракта и порядок его прекращения </w:t>
      </w:r>
    </w:p>
    <w:p w14:paraId="4A000000">
      <w:pPr>
        <w:pStyle w:val="Style_2"/>
        <w:widowControl w:val="1"/>
        <w:spacing w:after="0"/>
        <w:ind w:firstLine="709" w:left="0"/>
        <w:contextualSpacing w:val="1"/>
        <w:jc w:val="both"/>
        <w:rPr>
          <w:sz w:val="22"/>
        </w:rPr>
      </w:pPr>
      <w:r>
        <w:rPr>
          <w:sz w:val="22"/>
        </w:rPr>
        <w:t xml:space="preserve">9.1. Настоящий Контракт вступает в силу с даты его заключения сторонами и действует по </w:t>
      </w:r>
      <w:r>
        <w:rPr>
          <w:sz w:val="22"/>
        </w:rPr>
        <w:t xml:space="preserve">31.12.2026 года </w:t>
      </w:r>
      <w:r>
        <w:rPr>
          <w:sz w:val="22"/>
        </w:rPr>
        <w:t>(включительно).</w:t>
      </w:r>
    </w:p>
    <w:p w14:paraId="4B000000">
      <w:pPr>
        <w:pStyle w:val="Style_2"/>
        <w:widowControl w:val="1"/>
        <w:spacing w:after="0"/>
        <w:ind w:firstLine="709" w:left="0"/>
        <w:contextualSpacing w:val="1"/>
        <w:jc w:val="both"/>
        <w:rPr>
          <w:sz w:val="22"/>
        </w:rPr>
      </w:pPr>
      <w:r>
        <w:rPr>
          <w:sz w:val="22"/>
        </w:rPr>
        <w:t>Окончание срока действия настоящего контракта влечет прекращение обязательств сторон по контракту. В части денежных обязательств, нарушения исполнения обязательств - до полного их исполнения.</w:t>
      </w:r>
    </w:p>
    <w:p w14:paraId="4C000000">
      <w:pPr>
        <w:pStyle w:val="Style_2"/>
        <w:widowControl w:val="1"/>
        <w:spacing w:after="0"/>
        <w:ind w:firstLine="709" w:left="0"/>
        <w:contextualSpacing w:val="1"/>
        <w:jc w:val="both"/>
        <w:rPr>
          <w:sz w:val="22"/>
        </w:rPr>
      </w:pPr>
      <w:r>
        <w:rPr>
          <w:sz w:val="22"/>
        </w:rPr>
        <w:t>9.2.</w:t>
      </w:r>
      <w:r>
        <w:rPr>
          <w:sz w:val="22"/>
        </w:rPr>
        <w:t xml:space="preserve"> </w:t>
      </w:r>
      <w:r>
        <w:rPr>
          <w:sz w:val="22"/>
        </w:rPr>
        <w:t>Настоящий контракт может быть расторгнут по соглашению сторон,</w:t>
      </w:r>
      <w:r>
        <w:rPr>
          <w:sz w:val="22"/>
        </w:rPr>
        <w:t xml:space="preserve"> </w:t>
      </w:r>
      <w:r>
        <w:rPr>
          <w:sz w:val="22"/>
        </w:rPr>
        <w:t xml:space="preserve">по решению суда или в связи с односторонним отказом </w:t>
      </w:r>
      <w:r>
        <w:rPr>
          <w:sz w:val="22"/>
        </w:rPr>
        <w:t xml:space="preserve">Сторон </w:t>
      </w:r>
      <w:r>
        <w:rPr>
          <w:sz w:val="22"/>
        </w:rPr>
        <w:t>от исполнения контракта.</w:t>
      </w:r>
      <w:r>
        <w:rPr>
          <w:sz w:val="22"/>
        </w:rPr>
        <w:t xml:space="preserve"> </w:t>
      </w:r>
      <w:r>
        <w:rPr>
          <w:sz w:val="22"/>
        </w:rPr>
        <w:t>Порядок одностороннего отказа Заказчика от исполнения контракта предусмотрен Федеральным законом от 05.04.2013 № 44-ФЗ «О контрактной системе в сфере закупок товаров, работ, услуг для государственных и муниципальных нужд».</w:t>
      </w:r>
    </w:p>
    <w:p w14:paraId="4D000000">
      <w:pPr>
        <w:pStyle w:val="Style_2"/>
        <w:widowControl w:val="1"/>
        <w:spacing w:after="0"/>
        <w:ind w:left="0"/>
        <w:jc w:val="center"/>
        <w:rPr>
          <w:sz w:val="22"/>
        </w:rPr>
      </w:pPr>
      <w:r>
        <w:rPr>
          <w:sz w:val="22"/>
        </w:rPr>
        <w:t>10.</w:t>
      </w:r>
      <w:r>
        <w:rPr>
          <w:sz w:val="22"/>
        </w:rPr>
        <w:t xml:space="preserve"> </w:t>
      </w:r>
      <w:r>
        <w:rPr>
          <w:sz w:val="22"/>
        </w:rPr>
        <w:t>Форс-мажор</w:t>
      </w:r>
    </w:p>
    <w:p w14:paraId="4E000000">
      <w:pPr>
        <w:pStyle w:val="Style_5"/>
        <w:widowControl w:val="0"/>
        <w:spacing w:after="0" w:line="240" w:lineRule="auto"/>
        <w:ind w:firstLine="420"/>
        <w:jc w:val="both"/>
        <w:rPr>
          <w:sz w:val="22"/>
        </w:rPr>
      </w:pPr>
      <w:r>
        <w:rPr>
          <w:sz w:val="22"/>
        </w:rPr>
        <w:t xml:space="preserve">10.1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w:t>
      </w:r>
      <w:r>
        <w:rPr>
          <w:sz w:val="22"/>
        </w:rPr>
        <w:t>землетрясения, пожары, наводнения, забастовки, санкции, влияющие на исполнение обязательств по контракту, другие чрезвычайные обстоятельства, в том числе режим повышенной готовности, установленный постановлением Правительства Санкт-Петербурга от 13.03.2020 №121 «О мерах по противодействию распространению в Санкт-Петербурге новой коронавирусной инфекции (</w:t>
      </w:r>
      <w:r>
        <w:rPr>
          <w:sz w:val="22"/>
        </w:rPr>
        <w:t>COVID</w:t>
      </w:r>
      <w:r>
        <w:rPr>
          <w:sz w:val="22"/>
        </w:rPr>
        <w:t>-19)».</w:t>
      </w:r>
    </w:p>
    <w:p w14:paraId="4F000000">
      <w:pPr>
        <w:pStyle w:val="Style_5"/>
        <w:widowControl w:val="0"/>
        <w:spacing w:after="0" w:line="240" w:lineRule="auto"/>
        <w:ind w:firstLine="420"/>
        <w:jc w:val="both"/>
        <w:rPr>
          <w:sz w:val="22"/>
        </w:rPr>
      </w:pPr>
      <w:r>
        <w:rPr>
          <w:sz w:val="22"/>
        </w:rPr>
        <w:t>В случае наступления 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p>
    <w:p w14:paraId="50000000">
      <w:pPr>
        <w:pStyle w:val="Style_2"/>
        <w:widowControl w:val="1"/>
        <w:spacing w:after="0"/>
        <w:ind w:left="0"/>
        <w:jc w:val="center"/>
        <w:rPr>
          <w:sz w:val="22"/>
        </w:rPr>
      </w:pPr>
    </w:p>
    <w:p w14:paraId="51000000">
      <w:pPr>
        <w:widowControl w:val="1"/>
        <w:ind/>
        <w:jc w:val="center"/>
        <w:rPr>
          <w:sz w:val="22"/>
        </w:rPr>
      </w:pPr>
      <w:r>
        <w:rPr>
          <w:sz w:val="22"/>
        </w:rPr>
        <w:t>11. Прочие условия</w:t>
      </w:r>
    </w:p>
    <w:p w14:paraId="52000000">
      <w:pPr>
        <w:widowControl w:val="1"/>
        <w:ind w:firstLine="709"/>
        <w:jc w:val="both"/>
        <w:rPr>
          <w:sz w:val="22"/>
        </w:rPr>
      </w:pPr>
      <w:r>
        <w:rPr>
          <w:sz w:val="22"/>
        </w:rPr>
        <w:t xml:space="preserve">11.1. 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 в установленном порядке. </w:t>
      </w:r>
    </w:p>
    <w:p w14:paraId="53000000">
      <w:pPr>
        <w:widowControl w:val="1"/>
        <w:ind w:firstLine="709"/>
        <w:jc w:val="both"/>
        <w:rPr>
          <w:sz w:val="22"/>
        </w:rPr>
      </w:pPr>
      <w:r>
        <w:rPr>
          <w:sz w:val="22"/>
        </w:rPr>
        <w:t xml:space="preserve">11.2. Настоящий контракт составлен в 2-х экземплярах, имеющих одинаковую юридическую силу, по одному для каждой из сторон. </w:t>
      </w:r>
    </w:p>
    <w:p w14:paraId="54000000">
      <w:pPr>
        <w:widowControl w:val="0"/>
        <w:ind w:firstLine="709"/>
        <w:jc w:val="both"/>
        <w:rPr>
          <w:sz w:val="22"/>
        </w:rPr>
      </w:pPr>
      <w:r>
        <w:rPr>
          <w:sz w:val="22"/>
        </w:rPr>
        <w:t>11.3. 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ч.5 ст.78.1 Бюджетного кодекса РФ, заключив дополнительное соглашение к контракту.</w:t>
      </w:r>
    </w:p>
    <w:p w14:paraId="55000000">
      <w:pPr>
        <w:widowControl w:val="1"/>
        <w:ind w:firstLine="709"/>
        <w:jc w:val="both"/>
        <w:rPr>
          <w:sz w:val="22"/>
        </w:rPr>
      </w:pPr>
      <w:r>
        <w:rPr>
          <w:sz w:val="22"/>
        </w:rPr>
        <w:t xml:space="preserve">11.4. По вопросам, не предусмотренным настоящим контрактом, стороны руководствуются действующим законодательством Российской Федерации. </w:t>
      </w:r>
    </w:p>
    <w:p w14:paraId="56000000">
      <w:pPr>
        <w:pStyle w:val="Style_5"/>
        <w:widowControl w:val="1"/>
        <w:spacing w:after="0" w:line="240" w:lineRule="auto"/>
        <w:ind w:firstLine="360"/>
        <w:jc w:val="both"/>
        <w:rPr>
          <w:sz w:val="22"/>
        </w:rPr>
      </w:pPr>
      <w:r>
        <w:rPr>
          <w:sz w:val="22"/>
        </w:rPr>
        <w:tab/>
      </w:r>
      <w:r>
        <w:rPr>
          <w:sz w:val="22"/>
        </w:rPr>
        <w:t>11.5.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14:paraId="57000000">
      <w:pPr>
        <w:widowControl w:val="1"/>
        <w:ind w:firstLine="709"/>
        <w:rPr>
          <w:sz w:val="22"/>
        </w:rPr>
      </w:pPr>
      <w:r>
        <w:rPr>
          <w:sz w:val="22"/>
        </w:rPr>
        <w:t>11.6. К настоящему контракту прилагаются и являются его неотъемлемой частью:</w:t>
      </w:r>
    </w:p>
    <w:p w14:paraId="58000000">
      <w:pPr>
        <w:rPr>
          <w:sz w:val="22"/>
        </w:rPr>
      </w:pPr>
      <w:r>
        <w:rPr>
          <w:sz w:val="22"/>
        </w:rPr>
        <w:t xml:space="preserve">Приложение № 1 – «Техническое задание» </w:t>
      </w:r>
    </w:p>
    <w:p w14:paraId="59000000">
      <w:pPr>
        <w:rPr>
          <w:sz w:val="22"/>
        </w:rPr>
      </w:pPr>
      <w:r>
        <w:rPr>
          <w:sz w:val="22"/>
        </w:rPr>
        <w:t xml:space="preserve">Приложение № 2 – «Расчет стоимости услуг» </w:t>
      </w:r>
    </w:p>
    <w:p w14:paraId="5A000000">
      <w:pPr>
        <w:rPr>
          <w:sz w:val="22"/>
        </w:rPr>
      </w:pPr>
    </w:p>
    <w:p w14:paraId="5B000000">
      <w:pPr>
        <w:widowControl w:val="1"/>
        <w:ind/>
        <w:jc w:val="center"/>
        <w:rPr>
          <w:sz w:val="22"/>
        </w:rPr>
      </w:pPr>
      <w:r>
        <w:rPr>
          <w:sz w:val="22"/>
        </w:rPr>
        <w:t>12. Местонахождение, реквизиты и подписи сторон</w:t>
      </w:r>
    </w:p>
    <w:tbl>
      <w:tblPr>
        <w:tblStyle w:val="Style_6"/>
        <w:tblpPr w:bottomFromText="0" w:horzAnchor="margin" w:leftFromText="180" w:rightFromText="180" w:tblpXSpec="left" w:tblpY="180" w:topFromText="0" w:vertAnchor="text"/>
        <w:tblW w:type="auto" w:w="0"/>
        <w:tblLayout w:type="fixed"/>
        <w:tblCellMar>
          <w:left w:type="dxa" w:w="70"/>
          <w:right w:type="dxa" w:w="70"/>
        </w:tblCellMar>
      </w:tblPr>
      <w:tblGrid>
        <w:gridCol w:w="4729"/>
        <w:gridCol w:w="4543"/>
      </w:tblGrid>
      <w:tr>
        <w:trPr>
          <w:trHeight w:hRule="atLeast" w:val="3051"/>
        </w:trPr>
        <w:tc>
          <w:tcPr>
            <w:tcW w:type="dxa" w:w="4729"/>
            <w:shd w:fill="auto" w:val="clear"/>
            <w:tcMar>
              <w:left w:type="dxa" w:w="70"/>
              <w:right w:type="dxa" w:w="70"/>
            </w:tcMar>
          </w:tcPr>
          <w:p w14:paraId="5C000000">
            <w:pPr>
              <w:widowControl w:val="0"/>
              <w:ind/>
              <w:jc w:val="center"/>
              <w:rPr>
                <w:sz w:val="22"/>
              </w:rPr>
            </w:pPr>
            <w:r>
              <w:rPr>
                <w:sz w:val="22"/>
              </w:rPr>
              <w:t>ЗАКАЗЧИК:</w:t>
            </w:r>
          </w:p>
          <w:p w14:paraId="5D000000">
            <w:pPr>
              <w:widowControl w:val="1"/>
              <w:tabs>
                <w:tab w:leader="none" w:pos="142" w:val="left"/>
              </w:tabs>
              <w:ind/>
              <w:jc w:val="both"/>
              <w:rPr>
                <w:sz w:val="22"/>
              </w:rPr>
            </w:pPr>
            <w:r>
              <w:rPr>
                <w:sz w:val="22"/>
              </w:rPr>
              <w:t>Государственное бюджетное дошкольное образовательное учреждение детский сад № 41 Фрунзенского района Санкт-Петербурга</w:t>
            </w:r>
          </w:p>
          <w:p w14:paraId="5E000000">
            <w:pPr>
              <w:widowControl w:val="1"/>
              <w:tabs>
                <w:tab w:leader="none" w:pos="142" w:val="left"/>
              </w:tabs>
              <w:ind/>
              <w:jc w:val="both"/>
              <w:rPr>
                <w:sz w:val="22"/>
              </w:rPr>
            </w:pPr>
            <w:r>
              <w:rPr>
                <w:sz w:val="22"/>
              </w:rPr>
              <w:t>192288, Санкт-Петербург, улица Бухарестская, дом 114, корпус 3, литера А,</w:t>
            </w:r>
          </w:p>
          <w:p w14:paraId="5F000000">
            <w:pPr>
              <w:widowControl w:val="1"/>
              <w:tabs>
                <w:tab w:leader="none" w:pos="142" w:val="left"/>
              </w:tabs>
              <w:ind/>
              <w:rPr>
                <w:sz w:val="22"/>
              </w:rPr>
            </w:pPr>
            <w:r>
              <w:rPr>
                <w:sz w:val="22"/>
              </w:rPr>
              <w:t>ИНН 7816157418, КПП 781601001,</w:t>
            </w:r>
          </w:p>
          <w:p w14:paraId="60000000">
            <w:pPr>
              <w:widowControl w:val="1"/>
              <w:tabs>
                <w:tab w:leader="none" w:pos="142" w:val="left"/>
              </w:tabs>
              <w:ind/>
              <w:rPr>
                <w:sz w:val="22"/>
              </w:rPr>
            </w:pPr>
            <w:r>
              <w:rPr>
                <w:sz w:val="22"/>
              </w:rPr>
              <w:t xml:space="preserve">Р/с </w:t>
            </w:r>
            <w:r>
              <w:rPr>
                <w:color w:val="000000"/>
                <w:sz w:val="22"/>
              </w:rPr>
              <w:t>03224643400000007200</w:t>
            </w:r>
            <w:r>
              <w:rPr>
                <w:sz w:val="22"/>
              </w:rPr>
              <w:t>,</w:t>
            </w:r>
          </w:p>
          <w:p w14:paraId="61000000">
            <w:pPr>
              <w:widowControl w:val="1"/>
              <w:tabs>
                <w:tab w:leader="none" w:pos="142" w:val="left"/>
              </w:tabs>
              <w:ind/>
              <w:rPr>
                <w:color w:val="000000"/>
              </w:rPr>
            </w:pPr>
            <w:r>
              <w:rPr>
                <w:sz w:val="22"/>
              </w:rPr>
              <w:t xml:space="preserve">к/с </w:t>
            </w:r>
            <w:r>
              <w:rPr>
                <w:color w:val="000000"/>
                <w:sz w:val="22"/>
              </w:rPr>
              <w:t>40102810945370000005,</w:t>
            </w:r>
          </w:p>
          <w:p w14:paraId="62000000">
            <w:pPr>
              <w:widowControl w:val="1"/>
              <w:tabs>
                <w:tab w:leader="none" w:pos="142" w:val="left"/>
              </w:tabs>
              <w:ind/>
              <w:rPr>
                <w:sz w:val="22"/>
              </w:rPr>
            </w:pPr>
            <w:r>
              <w:rPr>
                <w:color w:val="000000"/>
                <w:sz w:val="22"/>
              </w:rPr>
              <w:t>ОКЦ № 1 СЗГУ Банка России//УФК по г.</w:t>
            </w:r>
            <w:r>
              <w:rPr>
                <w:color w:val="000000"/>
                <w:sz w:val="22"/>
              </w:rPr>
              <w:t xml:space="preserve"> </w:t>
            </w:r>
            <w:r>
              <w:rPr>
                <w:color w:val="000000"/>
                <w:sz w:val="22"/>
              </w:rPr>
              <w:t>Санкт-Петербургу, г</w:t>
            </w:r>
            <w:r>
              <w:rPr>
                <w:color w:val="000000"/>
                <w:sz w:val="22"/>
              </w:rPr>
              <w:t>.</w:t>
            </w:r>
            <w:r>
              <w:rPr>
                <w:color w:val="000000"/>
                <w:sz w:val="22"/>
              </w:rPr>
              <w:t xml:space="preserve"> Санкт-Петербург</w:t>
            </w:r>
            <w:r>
              <w:rPr>
                <w:color w:val="000000"/>
                <w:sz w:val="22"/>
              </w:rPr>
              <w:t>,</w:t>
            </w:r>
          </w:p>
          <w:p w14:paraId="63000000">
            <w:pPr>
              <w:widowControl w:val="1"/>
              <w:tabs>
                <w:tab w:leader="none" w:pos="142" w:val="left"/>
              </w:tabs>
              <w:ind/>
              <w:rPr>
                <w:sz w:val="22"/>
              </w:rPr>
            </w:pPr>
            <w:r>
              <w:rPr>
                <w:sz w:val="22"/>
              </w:rPr>
              <w:t>л</w:t>
            </w:r>
            <w:r>
              <w:rPr>
                <w:sz w:val="22"/>
              </w:rPr>
              <w:t xml:space="preserve">/с 0661074, БИК </w:t>
            </w:r>
            <w:r>
              <w:rPr>
                <w:color w:val="000000"/>
                <w:sz w:val="22"/>
              </w:rPr>
              <w:t>014030106</w:t>
            </w:r>
            <w:r>
              <w:rPr>
                <w:sz w:val="22"/>
              </w:rPr>
              <w:t>,</w:t>
            </w:r>
          </w:p>
          <w:p w14:paraId="64000000">
            <w:pPr>
              <w:widowControl w:val="1"/>
              <w:tabs>
                <w:tab w:leader="none" w:pos="142" w:val="left"/>
              </w:tabs>
              <w:ind/>
              <w:rPr>
                <w:sz w:val="22"/>
              </w:rPr>
            </w:pPr>
            <w:r>
              <w:rPr>
                <w:sz w:val="22"/>
              </w:rPr>
              <w:t xml:space="preserve">тлф.: (812) </w:t>
            </w:r>
            <w:r>
              <w:rPr>
                <w:sz w:val="22"/>
              </w:rPr>
              <w:t>246-34-20, 246-34-31</w:t>
            </w:r>
            <w:r>
              <w:rPr>
                <w:sz w:val="22"/>
              </w:rPr>
              <w:t xml:space="preserve">, </w:t>
            </w:r>
            <w:r>
              <w:rPr>
                <w:sz w:val="22"/>
              </w:rPr>
              <w:t>detsad</w:t>
            </w:r>
            <w:r>
              <w:rPr>
                <w:sz w:val="22"/>
              </w:rPr>
              <w:t>41</w:t>
            </w:r>
            <w:r>
              <w:rPr>
                <w:sz w:val="22"/>
              </w:rPr>
              <w:t>spb</w:t>
            </w:r>
            <w:r>
              <w:rPr>
                <w:sz w:val="22"/>
              </w:rPr>
              <w:t>@</w:t>
            </w:r>
            <w:r>
              <w:rPr>
                <w:sz w:val="22"/>
              </w:rPr>
              <w:t>yandex</w:t>
            </w:r>
            <w:r>
              <w:rPr>
                <w:sz w:val="22"/>
              </w:rPr>
              <w:t>.</w:t>
            </w:r>
            <w:r>
              <w:rPr>
                <w:sz w:val="22"/>
              </w:rPr>
              <w:t>ru</w:t>
            </w:r>
            <w:r>
              <w:rPr>
                <w:sz w:val="22"/>
              </w:rPr>
              <w:t>.</w:t>
            </w:r>
          </w:p>
          <w:p w14:paraId="65000000">
            <w:pPr>
              <w:widowControl w:val="1"/>
              <w:tabs>
                <w:tab w:leader="none" w:pos="142" w:val="left"/>
              </w:tabs>
              <w:ind/>
              <w:rPr>
                <w:sz w:val="22"/>
              </w:rPr>
            </w:pPr>
          </w:p>
          <w:p w14:paraId="66000000">
            <w:pPr>
              <w:widowControl w:val="0"/>
              <w:ind/>
              <w:jc w:val="left"/>
              <w:rPr>
                <w:sz w:val="22"/>
              </w:rPr>
            </w:pPr>
            <w:r>
              <w:rPr>
                <w:sz w:val="22"/>
              </w:rPr>
              <w:t>Заведующий</w:t>
            </w:r>
            <w:r>
              <w:rPr>
                <w:sz w:val="22"/>
              </w:rPr>
              <w:t xml:space="preserve"> </w:t>
            </w:r>
            <w:r>
              <w:rPr>
                <w:sz w:val="22"/>
              </w:rPr>
              <w:t>_ Н.Г. Колесникова</w:t>
            </w:r>
          </w:p>
        </w:tc>
        <w:tc>
          <w:tcPr>
            <w:tcW w:type="dxa" w:w="4543"/>
            <w:shd w:fill="auto" w:val="clear"/>
            <w:tcMar>
              <w:left w:type="dxa" w:w="70"/>
              <w:right w:type="dxa" w:w="70"/>
            </w:tcMar>
          </w:tcPr>
          <w:p w14:paraId="67000000">
            <w:pPr>
              <w:rPr>
                <w:sz w:val="22"/>
              </w:rPr>
            </w:pPr>
            <w:r>
              <w:rPr>
                <w:sz w:val="22"/>
              </w:rPr>
              <w:t>ИСПОЛНИТЕЛЬ:</w:t>
            </w:r>
          </w:p>
          <w:p w14:paraId="68000000">
            <w:pPr>
              <w:widowControl w:val="0"/>
              <w:ind/>
              <w:rPr>
                <w:sz w:val="22"/>
              </w:rPr>
            </w:pPr>
          </w:p>
          <w:p w14:paraId="69000000">
            <w:pPr>
              <w:widowControl w:val="0"/>
              <w:ind/>
              <w:rPr>
                <w:sz w:val="22"/>
              </w:rPr>
            </w:pPr>
          </w:p>
          <w:p w14:paraId="6A000000">
            <w:pPr>
              <w:widowControl w:val="0"/>
              <w:ind/>
              <w:rPr>
                <w:sz w:val="22"/>
              </w:rPr>
            </w:pPr>
          </w:p>
          <w:p w14:paraId="6B000000">
            <w:pPr>
              <w:widowControl w:val="0"/>
              <w:ind/>
              <w:rPr>
                <w:sz w:val="22"/>
              </w:rPr>
            </w:pPr>
          </w:p>
          <w:p w14:paraId="6C000000">
            <w:pPr>
              <w:widowControl w:val="0"/>
              <w:ind/>
              <w:rPr>
                <w:sz w:val="22"/>
              </w:rPr>
            </w:pPr>
          </w:p>
          <w:p w14:paraId="6D000000">
            <w:pPr>
              <w:widowControl w:val="0"/>
              <w:ind/>
              <w:rPr>
                <w:sz w:val="22"/>
              </w:rPr>
            </w:pPr>
          </w:p>
          <w:p w14:paraId="6E000000">
            <w:pPr>
              <w:widowControl w:val="0"/>
              <w:ind/>
              <w:rPr>
                <w:sz w:val="22"/>
              </w:rPr>
            </w:pPr>
          </w:p>
          <w:p w14:paraId="6F000000">
            <w:pPr>
              <w:widowControl w:val="0"/>
              <w:ind/>
              <w:rPr>
                <w:sz w:val="22"/>
              </w:rPr>
            </w:pPr>
          </w:p>
          <w:p w14:paraId="70000000">
            <w:pPr>
              <w:widowControl w:val="0"/>
              <w:ind/>
              <w:rPr>
                <w:sz w:val="22"/>
              </w:rPr>
            </w:pPr>
          </w:p>
          <w:p w14:paraId="71000000">
            <w:pPr>
              <w:widowControl w:val="0"/>
              <w:ind/>
              <w:rPr>
                <w:sz w:val="22"/>
              </w:rPr>
            </w:pPr>
          </w:p>
          <w:p w14:paraId="72000000">
            <w:pPr>
              <w:widowControl w:val="0"/>
              <w:ind/>
              <w:rPr>
                <w:sz w:val="22"/>
              </w:rPr>
            </w:pPr>
          </w:p>
          <w:p w14:paraId="73000000">
            <w:pPr>
              <w:widowControl w:val="0"/>
              <w:ind/>
              <w:rPr>
                <w:sz w:val="22"/>
              </w:rPr>
            </w:pPr>
          </w:p>
        </w:tc>
      </w:tr>
    </w:tbl>
    <w:p w14:paraId="74000000">
      <w:pPr>
        <w:widowControl w:val="1"/>
        <w:ind/>
        <w:jc w:val="right"/>
        <w:rPr>
          <w:sz w:val="18"/>
        </w:rPr>
      </w:pPr>
      <w:r>
        <w:rPr>
          <w:sz w:val="22"/>
        </w:rPr>
        <w:br w:type="page"/>
      </w:r>
    </w:p>
    <w:p w14:paraId="75000000">
      <w:pPr>
        <w:widowControl w:val="1"/>
        <w:ind/>
        <w:jc w:val="right"/>
        <w:rPr>
          <w:sz w:val="18"/>
        </w:rPr>
      </w:pPr>
      <w:r>
        <w:rPr>
          <w:sz w:val="18"/>
        </w:rPr>
        <w:t xml:space="preserve">Приложение № 1 </w:t>
      </w:r>
    </w:p>
    <w:p w14:paraId="76000000">
      <w:pPr>
        <w:widowControl w:val="1"/>
        <w:ind/>
        <w:jc w:val="right"/>
        <w:rPr>
          <w:sz w:val="18"/>
        </w:rPr>
      </w:pPr>
      <w:r>
        <w:rPr>
          <w:sz w:val="18"/>
        </w:rPr>
        <w:t xml:space="preserve"> к Контракту № _</w:t>
      </w:r>
    </w:p>
    <w:p w14:paraId="77000000">
      <w:pPr>
        <w:widowControl w:val="1"/>
        <w:ind/>
        <w:jc w:val="right"/>
        <w:rPr>
          <w:sz w:val="18"/>
        </w:rPr>
      </w:pPr>
      <w:r>
        <w:rPr>
          <w:sz w:val="18"/>
        </w:rPr>
        <w:t>от «_» июня</w:t>
      </w:r>
      <w:r>
        <w:rPr>
          <w:sz w:val="18"/>
        </w:rPr>
        <w:t xml:space="preserve"> 2026</w:t>
      </w:r>
      <w:r>
        <w:rPr>
          <w:sz w:val="18"/>
        </w:rPr>
        <w:t xml:space="preserve"> г.</w:t>
      </w:r>
    </w:p>
    <w:p w14:paraId="78000000">
      <w:pPr>
        <w:widowControl w:val="1"/>
        <w:ind/>
        <w:jc w:val="right"/>
        <w:rPr>
          <w:sz w:val="18"/>
        </w:rPr>
      </w:pPr>
    </w:p>
    <w:p w14:paraId="79000000">
      <w:pPr>
        <w:widowControl w:val="1"/>
        <w:ind/>
        <w:jc w:val="center"/>
        <w:rPr>
          <w:color w:val="000000"/>
          <w:sz w:val="18"/>
        </w:rPr>
      </w:pPr>
      <w:r>
        <w:rPr>
          <w:color w:val="000000"/>
          <w:sz w:val="18"/>
        </w:rPr>
        <w:t>Техническое задание</w:t>
      </w:r>
    </w:p>
    <w:p w14:paraId="7A000000">
      <w:pPr>
        <w:widowControl w:val="1"/>
        <w:ind/>
        <w:jc w:val="both"/>
        <w:rPr>
          <w:sz w:val="18"/>
        </w:rPr>
      </w:pPr>
      <w:r>
        <w:rPr>
          <w:sz w:val="18"/>
        </w:rPr>
        <w:t xml:space="preserve">             </w:t>
      </w:r>
    </w:p>
    <w:tbl>
      <w:tblPr>
        <w:tblStyle w:val="Style_6"/>
        <w:tblW w:type="auto" w:w="0"/>
        <w:jc w:val="center"/>
        <w:tblLayout w:type="fixed"/>
        <w:tblCellMar>
          <w:left w:type="dxa" w:w="10"/>
          <w:right w:type="dxa" w:w="10"/>
        </w:tblCellMar>
      </w:tblPr>
      <w:tblGrid>
        <w:gridCol w:w="557"/>
        <w:gridCol w:w="3552"/>
        <w:gridCol w:w="1985"/>
        <w:gridCol w:w="1416"/>
        <w:gridCol w:w="2271"/>
      </w:tblGrid>
      <w:tr>
        <w:trPr>
          <w:trHeight w:hRule="exact" w:val="623"/>
        </w:trPr>
        <w:tc>
          <w:tcPr>
            <w:tcW w:type="dxa" w:w="557"/>
            <w:tcBorders>
              <w:top w:color="00000A" w:sz="4" w:val="single"/>
              <w:left w:color="00000A" w:sz="4" w:val="single"/>
              <w:bottom w:color="00000A" w:sz="4" w:val="single"/>
              <w:right w:color="00000A" w:sz="4" w:val="single"/>
            </w:tcBorders>
            <w:shd w:fill="FFFFFF" w:val="clear"/>
            <w:tcMar>
              <w:top w:type="dxa" w:w="0"/>
              <w:left w:type="dxa" w:w="40"/>
              <w:bottom w:type="dxa" w:w="0"/>
              <w:right w:type="dxa" w:w="40"/>
            </w:tcMar>
            <w:vAlign w:val="center"/>
          </w:tcPr>
          <w:p w14:paraId="7B000000">
            <w:pPr>
              <w:pStyle w:val="Style_7"/>
              <w:widowControl w:val="1"/>
              <w:ind/>
              <w:jc w:val="center"/>
              <w:rPr>
                <w:sz w:val="18"/>
              </w:rPr>
            </w:pPr>
            <w:r>
              <w:rPr>
                <w:sz w:val="18"/>
              </w:rPr>
              <w:t>№</w:t>
            </w:r>
          </w:p>
          <w:p w14:paraId="7C000000">
            <w:pPr>
              <w:pStyle w:val="Style_7"/>
              <w:widowControl w:val="1"/>
              <w:ind/>
              <w:jc w:val="center"/>
              <w:rPr>
                <w:sz w:val="18"/>
              </w:rPr>
            </w:pPr>
            <w:r>
              <w:rPr>
                <w:sz w:val="18"/>
              </w:rPr>
              <w:t>п/п</w:t>
            </w:r>
          </w:p>
        </w:tc>
        <w:tc>
          <w:tcPr>
            <w:tcW w:type="dxa" w:w="3552"/>
            <w:tcBorders>
              <w:top w:color="00000A" w:sz="4" w:val="single"/>
              <w:left w:color="00000A" w:sz="4" w:val="single"/>
              <w:bottom w:color="00000A" w:sz="4" w:val="single"/>
              <w:right w:color="00000A" w:sz="4" w:val="single"/>
            </w:tcBorders>
            <w:shd w:fill="FFFFFF" w:val="clear"/>
            <w:tcMar>
              <w:top w:type="dxa" w:w="0"/>
              <w:left w:type="dxa" w:w="40"/>
              <w:bottom w:type="dxa" w:w="0"/>
              <w:right w:type="dxa" w:w="40"/>
            </w:tcMar>
            <w:vAlign w:val="center"/>
          </w:tcPr>
          <w:p w14:paraId="7D000000">
            <w:pPr>
              <w:pStyle w:val="Style_7"/>
              <w:widowControl w:val="1"/>
              <w:ind/>
              <w:jc w:val="center"/>
              <w:rPr>
                <w:spacing w:val="5"/>
                <w:sz w:val="18"/>
              </w:rPr>
            </w:pPr>
            <w:r>
              <w:rPr>
                <w:spacing w:val="5"/>
                <w:sz w:val="18"/>
              </w:rPr>
              <w:t>Адрес предоставления услуг</w:t>
            </w:r>
          </w:p>
        </w:tc>
        <w:tc>
          <w:tcPr>
            <w:tcW w:type="dxa" w:w="1985"/>
            <w:tcBorders>
              <w:top w:color="00000A" w:sz="4" w:val="single"/>
              <w:left w:color="00000A" w:sz="4" w:val="single"/>
              <w:bottom w:color="00000A" w:sz="4" w:val="single"/>
              <w:right w:color="00000A" w:sz="4" w:val="single"/>
            </w:tcBorders>
            <w:shd w:fill="FFFFFF" w:val="clear"/>
            <w:tcMar>
              <w:top w:type="dxa" w:w="0"/>
              <w:left w:type="dxa" w:w="40"/>
              <w:bottom w:type="dxa" w:w="0"/>
              <w:right w:type="dxa" w:w="40"/>
            </w:tcMar>
            <w:vAlign w:val="center"/>
          </w:tcPr>
          <w:p w14:paraId="7E000000">
            <w:pPr>
              <w:pStyle w:val="Style_7"/>
              <w:widowControl w:val="1"/>
              <w:ind/>
              <w:jc w:val="center"/>
              <w:rPr>
                <w:sz w:val="18"/>
              </w:rPr>
            </w:pPr>
            <w:r>
              <w:rPr>
                <w:sz w:val="18"/>
              </w:rPr>
              <w:t xml:space="preserve">Технология (ВК, </w:t>
            </w:r>
            <w:r>
              <w:rPr>
                <w:sz w:val="18"/>
              </w:rPr>
              <w:t>ADSL</w:t>
            </w:r>
            <w:r>
              <w:rPr>
                <w:sz w:val="18"/>
              </w:rPr>
              <w:t>, мобильный)</w:t>
            </w:r>
          </w:p>
        </w:tc>
        <w:tc>
          <w:tcPr>
            <w:tcW w:type="dxa" w:w="1416"/>
            <w:tcBorders>
              <w:top w:color="00000A" w:sz="4" w:val="single"/>
              <w:left w:color="00000A" w:sz="4" w:val="single"/>
              <w:bottom w:color="00000A" w:sz="4" w:val="single"/>
              <w:right w:color="00000A" w:sz="4" w:val="single"/>
            </w:tcBorders>
            <w:shd w:fill="FFFFFF" w:val="clear"/>
            <w:tcMar>
              <w:top w:type="dxa" w:w="0"/>
              <w:left w:type="dxa" w:w="40"/>
              <w:bottom w:type="dxa" w:w="0"/>
              <w:right w:type="dxa" w:w="40"/>
            </w:tcMar>
            <w:vAlign w:val="center"/>
          </w:tcPr>
          <w:p w14:paraId="7F000000">
            <w:pPr>
              <w:pStyle w:val="Style_7"/>
              <w:widowControl w:val="1"/>
              <w:ind/>
              <w:jc w:val="center"/>
              <w:rPr>
                <w:sz w:val="18"/>
              </w:rPr>
            </w:pPr>
            <w:r>
              <w:rPr>
                <w:sz w:val="18"/>
              </w:rPr>
              <w:t>Скорость подключения, Мбит/с</w:t>
            </w:r>
          </w:p>
        </w:tc>
        <w:tc>
          <w:tcPr>
            <w:tcW w:type="dxa" w:w="2271"/>
            <w:tcBorders>
              <w:top w:color="00000A" w:sz="4" w:val="single"/>
              <w:left w:color="00000A" w:sz="4" w:val="single"/>
              <w:bottom w:color="00000A" w:sz="4" w:val="single"/>
              <w:right w:color="00000A" w:sz="4" w:val="single"/>
            </w:tcBorders>
            <w:shd w:fill="FFFFFF" w:val="clear"/>
            <w:tcMar>
              <w:top w:type="dxa" w:w="0"/>
              <w:left w:type="dxa" w:w="40"/>
              <w:bottom w:type="dxa" w:w="0"/>
              <w:right w:type="dxa" w:w="40"/>
            </w:tcMar>
            <w:vAlign w:val="center"/>
          </w:tcPr>
          <w:p w14:paraId="80000000">
            <w:pPr>
              <w:pStyle w:val="Style_7"/>
              <w:widowControl w:val="1"/>
              <w:ind/>
              <w:jc w:val="center"/>
              <w:rPr>
                <w:sz w:val="18"/>
              </w:rPr>
            </w:pPr>
            <w:r>
              <w:rPr>
                <w:sz w:val="18"/>
              </w:rPr>
              <w:t>Ограничения по объему траффика</w:t>
            </w:r>
          </w:p>
        </w:tc>
      </w:tr>
      <w:tr>
        <w:trPr>
          <w:trHeight w:hRule="exact" w:val="433"/>
        </w:trPr>
        <w:tc>
          <w:tcPr>
            <w:tcW w:type="dxa" w:w="557"/>
            <w:tcBorders>
              <w:top w:color="00000A" w:sz="4" w:val="single"/>
              <w:left w:color="00000A" w:sz="4" w:val="single"/>
              <w:bottom w:color="00000A" w:sz="4" w:val="single"/>
              <w:right w:color="00000A" w:sz="4" w:val="single"/>
            </w:tcBorders>
            <w:shd w:fill="FFFFFF" w:val="clear"/>
            <w:tcMar>
              <w:top w:type="dxa" w:w="0"/>
              <w:left w:type="dxa" w:w="40"/>
              <w:bottom w:type="dxa" w:w="0"/>
              <w:right w:type="dxa" w:w="40"/>
            </w:tcMar>
            <w:vAlign w:val="center"/>
          </w:tcPr>
          <w:p w14:paraId="81000000">
            <w:pPr>
              <w:pStyle w:val="Style_7"/>
              <w:widowControl w:val="1"/>
              <w:ind/>
              <w:jc w:val="center"/>
              <w:rPr>
                <w:sz w:val="18"/>
              </w:rPr>
            </w:pPr>
            <w:r>
              <w:rPr>
                <w:sz w:val="18"/>
              </w:rPr>
              <w:t>1</w:t>
            </w:r>
          </w:p>
        </w:tc>
        <w:tc>
          <w:tcPr>
            <w:tcW w:type="dxa" w:w="3552"/>
            <w:tcBorders>
              <w:top w:color="00000A" w:sz="4" w:val="single"/>
              <w:left w:color="00000A" w:sz="4" w:val="single"/>
              <w:bottom w:color="00000A" w:sz="4" w:val="single"/>
              <w:right w:color="00000A" w:sz="4" w:val="single"/>
            </w:tcBorders>
            <w:shd w:fill="FFFFFF" w:val="clear"/>
            <w:tcMar>
              <w:top w:type="dxa" w:w="0"/>
              <w:left w:type="dxa" w:w="40"/>
              <w:bottom w:type="dxa" w:w="0"/>
              <w:right w:type="dxa" w:w="40"/>
            </w:tcMar>
            <w:vAlign w:val="center"/>
          </w:tcPr>
          <w:p w14:paraId="82000000">
            <w:pPr>
              <w:pStyle w:val="Style_7"/>
              <w:widowControl w:val="1"/>
              <w:ind/>
              <w:jc w:val="center"/>
              <w:rPr>
                <w:sz w:val="18"/>
              </w:rPr>
            </w:pPr>
            <w:r>
              <w:rPr>
                <w:sz w:val="18"/>
              </w:rPr>
              <w:t>192288, Санкт-Петербург, улица</w:t>
            </w:r>
          </w:p>
          <w:p w14:paraId="83000000">
            <w:pPr>
              <w:pStyle w:val="Style_7"/>
              <w:widowControl w:val="1"/>
              <w:ind/>
              <w:jc w:val="center"/>
              <w:rPr>
                <w:sz w:val="18"/>
              </w:rPr>
            </w:pPr>
            <w:r>
              <w:rPr>
                <w:sz w:val="18"/>
              </w:rPr>
              <w:t>Бухарестская, дом 114, корпус 3 литера А</w:t>
            </w:r>
          </w:p>
          <w:p w14:paraId="84000000">
            <w:pPr>
              <w:pStyle w:val="Style_7"/>
              <w:widowControl w:val="1"/>
              <w:ind/>
              <w:jc w:val="center"/>
              <w:rPr>
                <w:sz w:val="18"/>
              </w:rPr>
            </w:pPr>
          </w:p>
          <w:p w14:paraId="85000000">
            <w:pPr>
              <w:pStyle w:val="Style_7"/>
              <w:widowControl w:val="1"/>
              <w:ind/>
              <w:jc w:val="center"/>
              <w:rPr>
                <w:sz w:val="18"/>
              </w:rPr>
            </w:pPr>
          </w:p>
          <w:p w14:paraId="86000000">
            <w:pPr>
              <w:pStyle w:val="Style_7"/>
              <w:widowControl w:val="1"/>
              <w:ind/>
              <w:jc w:val="center"/>
              <w:rPr>
                <w:sz w:val="18"/>
              </w:rPr>
            </w:pPr>
          </w:p>
        </w:tc>
        <w:tc>
          <w:tcPr>
            <w:tcW w:type="dxa" w:w="1985"/>
            <w:tcBorders>
              <w:top w:color="00000A" w:sz="4" w:val="single"/>
              <w:left w:color="00000A" w:sz="4" w:val="single"/>
              <w:bottom w:color="00000A" w:sz="4" w:val="single"/>
              <w:right w:color="00000A" w:sz="4" w:val="single"/>
            </w:tcBorders>
            <w:shd w:fill="FFFFFF" w:val="clear"/>
            <w:tcMar>
              <w:top w:type="dxa" w:w="0"/>
              <w:left w:type="dxa" w:w="40"/>
              <w:bottom w:type="dxa" w:w="0"/>
              <w:right w:type="dxa" w:w="40"/>
            </w:tcMar>
            <w:vAlign w:val="center"/>
          </w:tcPr>
          <w:p w14:paraId="87000000">
            <w:pPr>
              <w:pStyle w:val="Style_7"/>
              <w:widowControl w:val="1"/>
              <w:ind/>
              <w:jc w:val="center"/>
              <w:rPr>
                <w:sz w:val="18"/>
              </w:rPr>
            </w:pPr>
            <w:r>
              <w:rPr>
                <w:sz w:val="18"/>
              </w:rPr>
              <w:t>Ethernet 100 Base-T</w:t>
            </w:r>
          </w:p>
        </w:tc>
        <w:tc>
          <w:tcPr>
            <w:tcW w:type="dxa" w:w="1416"/>
            <w:tcBorders>
              <w:top w:color="00000A" w:sz="4" w:val="single"/>
              <w:left w:color="00000A" w:sz="4" w:val="single"/>
              <w:bottom w:color="00000A" w:sz="4" w:val="single"/>
              <w:right w:color="00000A" w:sz="4" w:val="single"/>
            </w:tcBorders>
            <w:shd w:fill="FFFFFF" w:val="clear"/>
            <w:tcMar>
              <w:top w:type="dxa" w:w="0"/>
              <w:left w:type="dxa" w:w="40"/>
              <w:bottom w:type="dxa" w:w="0"/>
              <w:right w:type="dxa" w:w="40"/>
            </w:tcMar>
            <w:vAlign w:val="center"/>
          </w:tcPr>
          <w:p w14:paraId="88000000">
            <w:pPr>
              <w:pStyle w:val="Style_7"/>
              <w:widowControl w:val="1"/>
              <w:ind/>
              <w:jc w:val="center"/>
              <w:rPr>
                <w:sz w:val="18"/>
              </w:rPr>
            </w:pPr>
            <w:r>
              <w:rPr>
                <w:sz w:val="18"/>
              </w:rPr>
              <w:t>10 Мбит/сек</w:t>
            </w:r>
          </w:p>
        </w:tc>
        <w:tc>
          <w:tcPr>
            <w:tcW w:type="dxa" w:w="2271"/>
            <w:tcBorders>
              <w:top w:color="00000A" w:sz="4" w:val="single"/>
              <w:left w:color="00000A" w:sz="4" w:val="single"/>
              <w:bottom w:color="00000A" w:sz="4" w:val="single"/>
              <w:right w:color="00000A" w:sz="4" w:val="single"/>
            </w:tcBorders>
            <w:shd w:fill="FFFFFF" w:val="clear"/>
            <w:tcMar>
              <w:top w:type="dxa" w:w="0"/>
              <w:left w:type="dxa" w:w="40"/>
              <w:bottom w:type="dxa" w:w="0"/>
              <w:right w:type="dxa" w:w="40"/>
            </w:tcMar>
            <w:vAlign w:val="center"/>
          </w:tcPr>
          <w:p w14:paraId="89000000">
            <w:pPr>
              <w:pStyle w:val="Style_7"/>
              <w:widowControl w:val="1"/>
              <w:ind/>
              <w:jc w:val="center"/>
              <w:rPr>
                <w:sz w:val="18"/>
              </w:rPr>
            </w:pPr>
            <w:r>
              <w:rPr>
                <w:sz w:val="18"/>
              </w:rPr>
              <w:t>неограниченный</w:t>
            </w:r>
          </w:p>
        </w:tc>
      </w:tr>
      <w:tr>
        <w:trPr>
          <w:trHeight w:hRule="exact" w:val="567"/>
        </w:trPr>
        <w:tc>
          <w:tcPr>
            <w:tcW w:type="dxa" w:w="557"/>
            <w:tcBorders>
              <w:top w:color="00000A" w:sz="4" w:val="single"/>
              <w:left w:color="00000A" w:sz="4" w:val="single"/>
              <w:bottom w:color="00000A" w:sz="4" w:val="single"/>
              <w:right w:color="00000A" w:sz="4" w:val="single"/>
            </w:tcBorders>
            <w:shd w:fill="FFFFFF" w:val="clear"/>
            <w:tcMar>
              <w:top w:type="dxa" w:w="0"/>
              <w:left w:type="dxa" w:w="40"/>
              <w:bottom w:type="dxa" w:w="0"/>
              <w:right w:type="dxa" w:w="40"/>
            </w:tcMar>
            <w:vAlign w:val="center"/>
          </w:tcPr>
          <w:p w14:paraId="8A000000">
            <w:pPr>
              <w:pStyle w:val="Style_7"/>
              <w:widowControl w:val="1"/>
              <w:ind/>
              <w:jc w:val="center"/>
              <w:rPr>
                <w:sz w:val="18"/>
              </w:rPr>
            </w:pPr>
            <w:r>
              <w:rPr>
                <w:sz w:val="18"/>
              </w:rPr>
              <w:t>2</w:t>
            </w:r>
          </w:p>
        </w:tc>
        <w:tc>
          <w:tcPr>
            <w:tcW w:type="dxa" w:w="3552"/>
            <w:tcBorders>
              <w:top w:color="00000A" w:sz="4" w:val="single"/>
              <w:left w:color="00000A" w:sz="4" w:val="single"/>
              <w:bottom w:color="00000A" w:sz="4" w:val="single"/>
              <w:right w:color="00000A" w:sz="4" w:val="single"/>
            </w:tcBorders>
            <w:shd w:fill="FFFFFF" w:val="clear"/>
            <w:tcMar>
              <w:top w:type="dxa" w:w="0"/>
              <w:left w:type="dxa" w:w="40"/>
              <w:bottom w:type="dxa" w:w="0"/>
              <w:right w:type="dxa" w:w="40"/>
            </w:tcMar>
            <w:vAlign w:val="center"/>
          </w:tcPr>
          <w:p w14:paraId="8B000000">
            <w:pPr>
              <w:pStyle w:val="Style_7"/>
              <w:widowControl w:val="1"/>
              <w:ind/>
              <w:jc w:val="center"/>
              <w:rPr>
                <w:sz w:val="18"/>
              </w:rPr>
            </w:pPr>
            <w:r>
              <w:rPr>
                <w:sz w:val="18"/>
              </w:rPr>
              <w:t>192289, Санкт-Петербург, улица</w:t>
            </w:r>
          </w:p>
          <w:p w14:paraId="8C000000">
            <w:pPr>
              <w:pStyle w:val="Style_7"/>
              <w:widowControl w:val="1"/>
              <w:ind/>
              <w:jc w:val="center"/>
              <w:rPr>
                <w:sz w:val="18"/>
              </w:rPr>
            </w:pPr>
            <w:r>
              <w:rPr>
                <w:sz w:val="18"/>
              </w:rPr>
              <w:t>Малая Бухарестская, дом 12, корпус 2, стр.1</w:t>
            </w:r>
          </w:p>
          <w:p w14:paraId="8D000000">
            <w:pPr>
              <w:pStyle w:val="Style_7"/>
              <w:widowControl w:val="1"/>
              <w:ind/>
              <w:jc w:val="center"/>
              <w:rPr>
                <w:sz w:val="18"/>
              </w:rPr>
            </w:pPr>
          </w:p>
          <w:p w14:paraId="8E000000">
            <w:pPr>
              <w:pStyle w:val="Style_7"/>
              <w:widowControl w:val="1"/>
              <w:ind/>
              <w:jc w:val="center"/>
              <w:rPr>
                <w:sz w:val="18"/>
              </w:rPr>
            </w:pPr>
          </w:p>
          <w:p w14:paraId="8F000000">
            <w:pPr>
              <w:pStyle w:val="Style_7"/>
              <w:widowControl w:val="1"/>
              <w:ind/>
              <w:jc w:val="center"/>
              <w:rPr>
                <w:sz w:val="18"/>
              </w:rPr>
            </w:pPr>
          </w:p>
        </w:tc>
        <w:tc>
          <w:tcPr>
            <w:tcW w:type="dxa" w:w="1985"/>
            <w:tcBorders>
              <w:top w:color="00000A" w:sz="4" w:val="single"/>
              <w:left w:color="00000A" w:sz="4" w:val="single"/>
              <w:bottom w:color="00000A" w:sz="4" w:val="single"/>
              <w:right w:color="00000A" w:sz="4" w:val="single"/>
            </w:tcBorders>
            <w:shd w:fill="FFFFFF" w:val="clear"/>
            <w:tcMar>
              <w:top w:type="dxa" w:w="0"/>
              <w:left w:type="dxa" w:w="40"/>
              <w:bottom w:type="dxa" w:w="0"/>
              <w:right w:type="dxa" w:w="40"/>
            </w:tcMar>
            <w:vAlign w:val="center"/>
          </w:tcPr>
          <w:p w14:paraId="90000000">
            <w:pPr>
              <w:pStyle w:val="Style_7"/>
              <w:widowControl w:val="1"/>
              <w:ind/>
              <w:jc w:val="center"/>
              <w:rPr>
                <w:sz w:val="18"/>
              </w:rPr>
            </w:pPr>
            <w:r>
              <w:rPr>
                <w:sz w:val="18"/>
              </w:rPr>
              <w:t>Ethernet 100 Base-T</w:t>
            </w:r>
          </w:p>
        </w:tc>
        <w:tc>
          <w:tcPr>
            <w:tcW w:type="dxa" w:w="1416"/>
            <w:tcBorders>
              <w:top w:color="00000A" w:sz="4" w:val="single"/>
              <w:left w:color="00000A" w:sz="4" w:val="single"/>
              <w:bottom w:color="00000A" w:sz="4" w:val="single"/>
              <w:right w:color="00000A" w:sz="4" w:val="single"/>
            </w:tcBorders>
            <w:shd w:fill="FFFFFF" w:val="clear"/>
            <w:tcMar>
              <w:top w:type="dxa" w:w="0"/>
              <w:left w:type="dxa" w:w="40"/>
              <w:bottom w:type="dxa" w:w="0"/>
              <w:right w:type="dxa" w:w="40"/>
            </w:tcMar>
            <w:vAlign w:val="center"/>
          </w:tcPr>
          <w:p w14:paraId="91000000">
            <w:pPr>
              <w:pStyle w:val="Style_7"/>
              <w:widowControl w:val="1"/>
              <w:ind/>
              <w:jc w:val="center"/>
              <w:rPr>
                <w:sz w:val="18"/>
              </w:rPr>
            </w:pPr>
            <w:r>
              <w:rPr>
                <w:sz w:val="18"/>
              </w:rPr>
              <w:t>10 Мбит/сек</w:t>
            </w:r>
          </w:p>
        </w:tc>
        <w:tc>
          <w:tcPr>
            <w:tcW w:type="dxa" w:w="2271"/>
            <w:tcBorders>
              <w:top w:color="00000A" w:sz="4" w:val="single"/>
              <w:left w:color="00000A" w:sz="4" w:val="single"/>
              <w:bottom w:color="00000A" w:sz="4" w:val="single"/>
              <w:right w:color="00000A" w:sz="4" w:val="single"/>
            </w:tcBorders>
            <w:shd w:fill="FFFFFF" w:val="clear"/>
            <w:tcMar>
              <w:top w:type="dxa" w:w="0"/>
              <w:left w:type="dxa" w:w="40"/>
              <w:bottom w:type="dxa" w:w="0"/>
              <w:right w:type="dxa" w:w="40"/>
            </w:tcMar>
            <w:vAlign w:val="center"/>
          </w:tcPr>
          <w:p w14:paraId="92000000">
            <w:pPr>
              <w:pStyle w:val="Style_7"/>
              <w:widowControl w:val="1"/>
              <w:ind/>
              <w:jc w:val="center"/>
              <w:rPr>
                <w:sz w:val="18"/>
              </w:rPr>
            </w:pPr>
            <w:r>
              <w:rPr>
                <w:sz w:val="18"/>
              </w:rPr>
              <w:t>неограниченный</w:t>
            </w:r>
          </w:p>
        </w:tc>
      </w:tr>
    </w:tbl>
    <w:p w14:paraId="93000000">
      <w:pPr>
        <w:pStyle w:val="Style_8"/>
        <w:rPr>
          <w:sz w:val="18"/>
        </w:rPr>
      </w:pPr>
    </w:p>
    <w:p w14:paraId="94000000">
      <w:pPr>
        <w:pStyle w:val="Style_8"/>
        <w:rPr>
          <w:sz w:val="18"/>
        </w:rPr>
      </w:pPr>
    </w:p>
    <w:p w14:paraId="95000000">
      <w:pPr>
        <w:pStyle w:val="Style_8"/>
        <w:widowControl w:val="1"/>
        <w:ind/>
        <w:jc w:val="center"/>
        <w:rPr>
          <w:sz w:val="18"/>
        </w:rPr>
      </w:pPr>
      <w:r>
        <w:rPr>
          <w:sz w:val="18"/>
        </w:rPr>
        <w:t>Требования к техническим характеристикам услуг, к качеству и безопасности услуг:</w:t>
      </w:r>
    </w:p>
    <w:p w14:paraId="96000000">
      <w:pPr>
        <w:pStyle w:val="Style_8"/>
        <w:widowControl w:val="1"/>
        <w:ind/>
        <w:jc w:val="center"/>
        <w:rPr>
          <w:sz w:val="18"/>
        </w:rPr>
      </w:pPr>
    </w:p>
    <w:p w14:paraId="97000000">
      <w:pPr>
        <w:widowControl w:val="1"/>
        <w:ind/>
        <w:jc w:val="both"/>
        <w:rPr>
          <w:color w:val="000000"/>
          <w:sz w:val="18"/>
        </w:rPr>
      </w:pPr>
      <w:r>
        <w:rPr>
          <w:sz w:val="18"/>
        </w:rPr>
        <w:t>Предоставление доступа к сети Интернет для приема и передачи информации</w:t>
      </w:r>
      <w:r>
        <w:rPr>
          <w:sz w:val="18"/>
        </w:rPr>
        <w:t xml:space="preserve">. </w:t>
      </w:r>
      <w:r>
        <w:rPr>
          <w:sz w:val="18"/>
        </w:rPr>
        <w:t>Каналы связи должны предоставляться круглосуточно, без перерывов связи, с поддержанием гарантированной скорости не менее заявленной, за исключением возникновения аварий и повреждений.</w:t>
      </w:r>
      <w:r>
        <w:rPr>
          <w:sz w:val="18"/>
        </w:rPr>
        <w:t xml:space="preserve"> </w:t>
      </w:r>
      <w:r>
        <w:rPr>
          <w:sz w:val="18"/>
        </w:rPr>
        <w:t>Мониторинг работоспособности каналов связи должен осуществляться Исполнителем круглосуточно.</w:t>
      </w:r>
      <w:r>
        <w:rPr>
          <w:sz w:val="18"/>
        </w:rPr>
        <w:t xml:space="preserve"> </w:t>
      </w:r>
      <w:r>
        <w:rPr>
          <w:sz w:val="18"/>
        </w:rPr>
        <w:t>Время восстановления кабелей, используемых для предоставления каналов связи, при их физическом повреждении не должно превышать 48-ми часов с момента регистрации неисправности Исполнителем или заявления Заказчика о неисправности.</w:t>
      </w:r>
      <w:r>
        <w:rPr>
          <w:sz w:val="18"/>
        </w:rPr>
        <w:t xml:space="preserve"> </w:t>
      </w:r>
      <w:r>
        <w:rPr>
          <w:sz w:val="18"/>
        </w:rPr>
        <w:t>Время восстановления работоспособности каналообразующего электронного оборудования и оборудования передачи данных не должно превышать 4-5 часов, при условии обеспечения своевременного доступа на территорию Заказчика.</w:t>
      </w:r>
      <w:r>
        <w:rPr>
          <w:sz w:val="18"/>
        </w:rPr>
        <w:t xml:space="preserve"> </w:t>
      </w:r>
      <w:r>
        <w:rPr>
          <w:sz w:val="18"/>
        </w:rPr>
        <w:t>Организованные каналы связи предполагают наличие стандартных интерфейсов, позволяющих использовать любое сертифицированное сетевое оборудование.</w:t>
      </w:r>
      <w:r>
        <w:rPr>
          <w:sz w:val="18"/>
        </w:rPr>
        <w:t xml:space="preserve"> </w:t>
      </w:r>
      <w:r>
        <w:rPr>
          <w:sz w:val="18"/>
        </w:rPr>
        <w:t>Исполнитель предпринимает технические и организационные меры для обеспечения конфиденциальности информации, передаваемой по каналам связи.</w:t>
      </w:r>
      <w:r>
        <w:rPr>
          <w:sz w:val="18"/>
        </w:rPr>
        <w:t xml:space="preserve"> </w:t>
      </w:r>
      <w:r>
        <w:rPr>
          <w:sz w:val="18"/>
        </w:rPr>
        <w:t>Консультирование по вопросам пользования услугами.</w:t>
      </w:r>
      <w:r>
        <w:rPr>
          <w:sz w:val="18"/>
        </w:rPr>
        <w:t xml:space="preserve"> </w:t>
      </w:r>
      <w:r>
        <w:rPr>
          <w:sz w:val="18"/>
        </w:rPr>
        <w:t>Проведение периодических испытаний, ремонта и настройки оборудования, требуемых для поддержания качества оказываемых услуг.</w:t>
      </w:r>
      <w:r>
        <w:rPr>
          <w:sz w:val="18"/>
        </w:rPr>
        <w:t xml:space="preserve"> </w:t>
      </w:r>
      <w:r>
        <w:rPr>
          <w:sz w:val="18"/>
        </w:rPr>
        <w:t>Исполнитель обязуется обеспечивать качество предоставляемых услуг в соответствии с требованиями действующих нормативных документов, утвержденных федеральным органом исполнительной связи в области связи. Оказание услуг по предоставлению доступа к телефонной сети общего пользования, пропуску трафика, должно осуществляться с установленными нормами качества, в соответствии со стандартами и сертификатами на принадлежащие Исполнителю и Пользователю (далее по тексту – Стороны) технические средства. В случае обнаружения несоответствия качества предоставляемых услуг действующим нормам, взаимодействующие Стороны должны незамедлительно выяснить причины такого несоответствия и принять меры к устранению этих причин.</w:t>
      </w:r>
      <w:r>
        <w:rPr>
          <w:sz w:val="18"/>
        </w:rPr>
        <w:t xml:space="preserve"> </w:t>
      </w:r>
      <w:r>
        <w:rPr>
          <w:sz w:val="18"/>
        </w:rPr>
        <w:t xml:space="preserve">Исполнитель обязан не допускать распространение сведений об абонентах, ставших известными ему в силу исполнения </w:t>
      </w:r>
      <w:r>
        <w:rPr>
          <w:sz w:val="18"/>
        </w:rPr>
        <w:t>контракта.</w:t>
      </w:r>
    </w:p>
    <w:p w14:paraId="98000000">
      <w:pPr>
        <w:widowControl w:val="1"/>
        <w:ind/>
        <w:jc w:val="both"/>
        <w:rPr>
          <w:sz w:val="18"/>
        </w:rPr>
      </w:pPr>
      <w:r>
        <w:rPr>
          <w:sz w:val="18"/>
        </w:rPr>
        <w:t xml:space="preserve">             </w:t>
      </w:r>
    </w:p>
    <w:p w14:paraId="99000000">
      <w:pPr>
        <w:widowControl w:val="1"/>
        <w:ind/>
        <w:jc w:val="center"/>
        <w:rPr>
          <w:sz w:val="18"/>
        </w:rPr>
      </w:pPr>
      <w:r>
        <w:rPr>
          <w:sz w:val="18"/>
        </w:rPr>
        <w:t>Заказчик _                                                  Исполнитель _</w:t>
      </w:r>
    </w:p>
    <w:p w14:paraId="9A000000">
      <w:pPr>
        <w:widowControl w:val="1"/>
        <w:ind/>
        <w:jc w:val="right"/>
        <w:rPr>
          <w:sz w:val="18"/>
        </w:rPr>
      </w:pPr>
    </w:p>
    <w:p w14:paraId="9B000000">
      <w:pPr>
        <w:widowControl w:val="1"/>
        <w:ind/>
        <w:jc w:val="right"/>
        <w:rPr>
          <w:sz w:val="18"/>
        </w:rPr>
      </w:pPr>
    </w:p>
    <w:p w14:paraId="9C000000">
      <w:pPr>
        <w:widowControl w:val="1"/>
        <w:ind/>
        <w:jc w:val="right"/>
        <w:rPr>
          <w:sz w:val="18"/>
        </w:rPr>
      </w:pPr>
    </w:p>
    <w:p w14:paraId="9D000000">
      <w:pPr>
        <w:widowControl w:val="1"/>
        <w:ind/>
        <w:jc w:val="right"/>
        <w:rPr>
          <w:sz w:val="18"/>
        </w:rPr>
      </w:pPr>
    </w:p>
    <w:p w14:paraId="9E000000">
      <w:pPr>
        <w:widowControl w:val="1"/>
        <w:ind/>
        <w:jc w:val="right"/>
        <w:rPr>
          <w:sz w:val="18"/>
        </w:rPr>
      </w:pPr>
    </w:p>
    <w:p w14:paraId="9F000000">
      <w:pPr>
        <w:widowControl w:val="1"/>
        <w:ind/>
        <w:jc w:val="right"/>
        <w:rPr>
          <w:sz w:val="18"/>
        </w:rPr>
      </w:pPr>
      <w:r>
        <w:rPr>
          <w:sz w:val="18"/>
        </w:rPr>
        <w:t xml:space="preserve">Приложение № 2 </w:t>
      </w:r>
    </w:p>
    <w:p w14:paraId="A0000000">
      <w:pPr>
        <w:widowControl w:val="1"/>
        <w:ind/>
        <w:jc w:val="right"/>
        <w:rPr>
          <w:sz w:val="18"/>
        </w:rPr>
      </w:pPr>
      <w:r>
        <w:rPr>
          <w:sz w:val="18"/>
        </w:rPr>
        <w:t xml:space="preserve"> к Контракту № _</w:t>
      </w:r>
    </w:p>
    <w:p w14:paraId="A1000000">
      <w:pPr>
        <w:widowControl w:val="1"/>
        <w:ind/>
        <w:jc w:val="right"/>
        <w:rPr>
          <w:sz w:val="18"/>
        </w:rPr>
      </w:pPr>
      <w:r>
        <w:rPr>
          <w:sz w:val="18"/>
        </w:rPr>
        <w:t xml:space="preserve">от </w:t>
      </w:r>
      <w:r>
        <w:rPr>
          <w:sz w:val="18"/>
        </w:rPr>
        <w:t>«_» июня 2026</w:t>
      </w:r>
      <w:r>
        <w:rPr>
          <w:sz w:val="18"/>
        </w:rPr>
        <w:t xml:space="preserve"> г.</w:t>
      </w:r>
    </w:p>
    <w:p w14:paraId="A2000000">
      <w:pPr>
        <w:widowControl w:val="1"/>
        <w:ind/>
        <w:jc w:val="center"/>
        <w:rPr>
          <w:sz w:val="18"/>
        </w:rPr>
      </w:pPr>
      <w:r>
        <w:rPr>
          <w:sz w:val="18"/>
        </w:rPr>
        <w:t>Расчет стоимости услуг</w:t>
      </w:r>
    </w:p>
    <w:p w14:paraId="A3000000">
      <w:pPr>
        <w:widowControl w:val="1"/>
        <w:ind/>
        <w:jc w:val="center"/>
        <w:rPr>
          <w:sz w:val="18"/>
        </w:rPr>
      </w:pPr>
    </w:p>
    <w:tbl>
      <w:tblPr>
        <w:tblStyle w:val="Style_6"/>
        <w:tblW w:type="auto" w:w="0"/>
        <w:jc w:val="center"/>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563"/>
        <w:gridCol w:w="5446"/>
        <w:gridCol w:w="1201"/>
        <w:gridCol w:w="1073"/>
        <w:gridCol w:w="1069"/>
        <w:gridCol w:w="1130"/>
      </w:tblGrid>
      <w:tr>
        <w:tc>
          <w:tcPr>
            <w:tcW w:type="dxa" w:w="563"/>
            <w:tcBorders>
              <w:top w:color="000000" w:sz="4" w:val="single"/>
              <w:left w:color="000000" w:sz="4" w:val="single"/>
              <w:bottom w:color="000000" w:sz="4" w:val="single"/>
              <w:right w:color="000000" w:sz="4" w:val="single"/>
            </w:tcBorders>
            <w:vAlign w:val="center"/>
          </w:tcPr>
          <w:p w14:paraId="A4000000">
            <w:pPr>
              <w:widowControl w:val="1"/>
              <w:ind/>
              <w:jc w:val="center"/>
              <w:rPr>
                <w:sz w:val="18"/>
              </w:rPr>
            </w:pPr>
            <w:r>
              <w:rPr>
                <w:sz w:val="18"/>
              </w:rPr>
              <w:t>№ п/п</w:t>
            </w:r>
          </w:p>
        </w:tc>
        <w:tc>
          <w:tcPr>
            <w:tcW w:type="dxa" w:w="5446"/>
            <w:tcBorders>
              <w:top w:color="000000" w:sz="4" w:val="single"/>
              <w:left w:color="000000" w:sz="4" w:val="single"/>
              <w:bottom w:color="000000" w:sz="4" w:val="single"/>
              <w:right w:color="000000" w:sz="4" w:val="single"/>
            </w:tcBorders>
            <w:vAlign w:val="center"/>
          </w:tcPr>
          <w:p w14:paraId="A5000000">
            <w:pPr>
              <w:widowControl w:val="1"/>
              <w:ind/>
              <w:jc w:val="center"/>
              <w:rPr>
                <w:sz w:val="18"/>
              </w:rPr>
            </w:pPr>
            <w:r>
              <w:rPr>
                <w:sz w:val="18"/>
              </w:rPr>
              <w:t>Наименование услуги</w:t>
            </w:r>
          </w:p>
        </w:tc>
        <w:tc>
          <w:tcPr>
            <w:tcW w:type="dxa" w:w="1201"/>
            <w:tcBorders>
              <w:top w:color="000000" w:sz="4" w:val="single"/>
              <w:left w:color="000000" w:sz="4" w:val="single"/>
              <w:bottom w:color="000000" w:sz="4" w:val="single"/>
              <w:right w:color="000000" w:sz="4" w:val="single"/>
            </w:tcBorders>
            <w:vAlign w:val="center"/>
          </w:tcPr>
          <w:p w14:paraId="A6000000">
            <w:pPr>
              <w:widowControl w:val="1"/>
              <w:ind/>
              <w:jc w:val="center"/>
              <w:rPr>
                <w:sz w:val="18"/>
              </w:rPr>
            </w:pPr>
            <w:r>
              <w:rPr>
                <w:sz w:val="18"/>
              </w:rPr>
              <w:t>Единица измерения</w:t>
            </w:r>
          </w:p>
        </w:tc>
        <w:tc>
          <w:tcPr>
            <w:tcW w:type="dxa" w:w="1073"/>
            <w:tcBorders>
              <w:top w:color="000000" w:sz="4" w:val="single"/>
              <w:left w:color="000000" w:sz="4" w:val="single"/>
              <w:bottom w:color="000000" w:sz="4" w:val="single"/>
              <w:right w:color="000000" w:sz="4" w:val="single"/>
            </w:tcBorders>
            <w:vAlign w:val="center"/>
          </w:tcPr>
          <w:p w14:paraId="A7000000">
            <w:pPr>
              <w:widowControl w:val="1"/>
              <w:ind/>
              <w:jc w:val="center"/>
              <w:rPr>
                <w:sz w:val="18"/>
              </w:rPr>
            </w:pPr>
            <w:r>
              <w:rPr>
                <w:sz w:val="18"/>
              </w:rPr>
              <w:t>Кол-во, мес.</w:t>
            </w:r>
          </w:p>
        </w:tc>
        <w:tc>
          <w:tcPr>
            <w:tcW w:type="dxa" w:w="1069"/>
            <w:tcBorders>
              <w:top w:color="000000" w:sz="4" w:val="single"/>
              <w:left w:color="000000" w:sz="4" w:val="single"/>
              <w:bottom w:color="000000" w:sz="4" w:val="single"/>
              <w:right w:color="000000" w:sz="4" w:val="single"/>
            </w:tcBorders>
            <w:vAlign w:val="center"/>
          </w:tcPr>
          <w:p w14:paraId="A8000000">
            <w:pPr>
              <w:widowControl w:val="1"/>
              <w:ind/>
              <w:jc w:val="center"/>
              <w:rPr>
                <w:sz w:val="18"/>
              </w:rPr>
            </w:pPr>
            <w:r>
              <w:rPr>
                <w:sz w:val="18"/>
              </w:rPr>
              <w:t>Цена за ед., руб.</w:t>
            </w:r>
          </w:p>
        </w:tc>
        <w:tc>
          <w:tcPr>
            <w:tcW w:type="dxa" w:w="1130"/>
            <w:tcBorders>
              <w:top w:color="000000" w:sz="4" w:val="single"/>
              <w:left w:color="000000" w:sz="4" w:val="single"/>
              <w:bottom w:color="000000" w:sz="4" w:val="single"/>
              <w:right w:color="000000" w:sz="4" w:val="single"/>
            </w:tcBorders>
            <w:vAlign w:val="center"/>
          </w:tcPr>
          <w:p w14:paraId="A9000000">
            <w:pPr>
              <w:widowControl w:val="1"/>
              <w:ind/>
              <w:jc w:val="center"/>
              <w:rPr>
                <w:sz w:val="18"/>
              </w:rPr>
            </w:pPr>
            <w:r>
              <w:rPr>
                <w:sz w:val="18"/>
              </w:rPr>
              <w:t>Стоимость, руб.</w:t>
            </w:r>
          </w:p>
        </w:tc>
      </w:tr>
      <w:tr>
        <w:tc>
          <w:tcPr>
            <w:tcW w:type="dxa" w:w="563"/>
            <w:tcBorders>
              <w:top w:color="000000" w:sz="4" w:val="single"/>
              <w:left w:color="000000" w:sz="4" w:val="single"/>
              <w:bottom w:color="000000" w:sz="4" w:val="single"/>
              <w:right w:color="000000" w:sz="4" w:val="single"/>
            </w:tcBorders>
            <w:vAlign w:val="center"/>
          </w:tcPr>
          <w:p w14:paraId="AA000000">
            <w:pPr>
              <w:widowControl w:val="1"/>
              <w:ind/>
              <w:jc w:val="center"/>
              <w:rPr>
                <w:sz w:val="18"/>
              </w:rPr>
            </w:pPr>
            <w:r>
              <w:rPr>
                <w:sz w:val="18"/>
              </w:rPr>
              <w:t>1</w:t>
            </w:r>
          </w:p>
        </w:tc>
        <w:tc>
          <w:tcPr>
            <w:tcW w:type="dxa" w:w="5446"/>
            <w:tcBorders>
              <w:top w:color="000000" w:sz="4" w:val="single"/>
              <w:left w:color="000000" w:sz="4" w:val="single"/>
              <w:bottom w:color="000000" w:sz="4" w:val="single"/>
              <w:right w:color="000000" w:sz="4" w:val="single"/>
            </w:tcBorders>
            <w:vAlign w:val="center"/>
          </w:tcPr>
          <w:p w14:paraId="AB000000">
            <w:pPr>
              <w:widowControl w:val="1"/>
              <w:ind/>
              <w:jc w:val="center"/>
              <w:rPr>
                <w:sz w:val="18"/>
              </w:rPr>
            </w:pPr>
            <w:r>
              <w:rPr>
                <w:sz w:val="18"/>
              </w:rPr>
              <w:t>Оказание услуг по предоставлению доступа к сети интернет по адресу: Санкт-Петербург, улица Малая Бухарестская, дом 12, корпус 2, стр. 1</w:t>
            </w:r>
          </w:p>
        </w:tc>
        <w:tc>
          <w:tcPr>
            <w:tcW w:type="dxa" w:w="1201"/>
            <w:tcBorders>
              <w:top w:color="000000" w:sz="4" w:val="single"/>
              <w:left w:color="000000" w:sz="4" w:val="single"/>
              <w:bottom w:color="000000" w:sz="4" w:val="single"/>
              <w:right w:color="000000" w:sz="4" w:val="single"/>
            </w:tcBorders>
            <w:vAlign w:val="center"/>
          </w:tcPr>
          <w:p w14:paraId="AC000000">
            <w:pPr>
              <w:widowControl w:val="1"/>
              <w:ind/>
              <w:jc w:val="center"/>
              <w:rPr>
                <w:sz w:val="18"/>
              </w:rPr>
            </w:pPr>
            <w:r>
              <w:rPr>
                <w:sz w:val="18"/>
              </w:rPr>
              <w:t>месяц</w:t>
            </w:r>
          </w:p>
        </w:tc>
        <w:tc>
          <w:tcPr>
            <w:tcW w:type="dxa" w:w="1073"/>
            <w:tcBorders>
              <w:top w:color="000000" w:sz="4" w:val="single"/>
              <w:left w:color="000000" w:sz="4" w:val="single"/>
              <w:bottom w:color="000000" w:sz="4" w:val="single"/>
              <w:right w:color="000000" w:sz="4" w:val="single"/>
            </w:tcBorders>
            <w:vAlign w:val="center"/>
          </w:tcPr>
          <w:p w14:paraId="AD000000">
            <w:pPr>
              <w:widowControl w:val="1"/>
              <w:ind/>
              <w:jc w:val="center"/>
              <w:rPr>
                <w:sz w:val="18"/>
              </w:rPr>
            </w:pPr>
            <w:r>
              <w:rPr>
                <w:sz w:val="18"/>
              </w:rPr>
              <w:t>6</w:t>
            </w:r>
          </w:p>
        </w:tc>
        <w:tc>
          <w:tcPr>
            <w:tcW w:type="dxa" w:w="1069"/>
            <w:tcBorders>
              <w:top w:color="000000" w:sz="4" w:val="single"/>
              <w:left w:color="000000" w:sz="4" w:val="single"/>
              <w:bottom w:color="000000" w:sz="4" w:val="single"/>
              <w:right w:color="000000" w:sz="4" w:val="single"/>
            </w:tcBorders>
            <w:vAlign w:val="center"/>
          </w:tcPr>
          <w:p w14:paraId="AE000000">
            <w:pPr>
              <w:widowControl w:val="1"/>
              <w:ind/>
              <w:jc w:val="center"/>
              <w:rPr>
                <w:sz w:val="18"/>
              </w:rPr>
            </w:pPr>
          </w:p>
        </w:tc>
        <w:tc>
          <w:tcPr>
            <w:tcW w:type="dxa" w:w="1130"/>
            <w:tcBorders>
              <w:top w:color="000000" w:sz="4" w:val="single"/>
              <w:left w:color="000000" w:sz="4" w:val="single"/>
              <w:bottom w:color="000000" w:sz="4" w:val="single"/>
              <w:right w:color="000000" w:sz="4" w:val="single"/>
            </w:tcBorders>
            <w:vAlign w:val="center"/>
          </w:tcPr>
          <w:p w14:paraId="AF000000">
            <w:pPr>
              <w:widowControl w:val="1"/>
              <w:ind/>
              <w:jc w:val="center"/>
              <w:rPr>
                <w:sz w:val="18"/>
              </w:rPr>
            </w:pPr>
          </w:p>
        </w:tc>
      </w:tr>
      <w:tr>
        <w:tc>
          <w:tcPr>
            <w:tcW w:type="dxa" w:w="563"/>
            <w:tcBorders>
              <w:top w:color="000000" w:sz="4" w:val="single"/>
              <w:left w:color="000000" w:sz="4" w:val="single"/>
              <w:bottom w:color="000000" w:sz="4" w:val="single"/>
              <w:right w:color="000000" w:sz="4" w:val="single"/>
            </w:tcBorders>
            <w:vAlign w:val="center"/>
          </w:tcPr>
          <w:p w14:paraId="B0000000">
            <w:pPr>
              <w:widowControl w:val="1"/>
              <w:ind/>
              <w:jc w:val="center"/>
              <w:rPr>
                <w:sz w:val="18"/>
              </w:rPr>
            </w:pPr>
            <w:r>
              <w:rPr>
                <w:sz w:val="18"/>
              </w:rPr>
              <w:t>2</w:t>
            </w:r>
          </w:p>
        </w:tc>
        <w:tc>
          <w:tcPr>
            <w:tcW w:type="dxa" w:w="5446"/>
            <w:tcBorders>
              <w:top w:color="000000" w:sz="4" w:val="single"/>
              <w:left w:color="000000" w:sz="4" w:val="single"/>
              <w:bottom w:color="000000" w:sz="4" w:val="single"/>
              <w:right w:color="000000" w:sz="4" w:val="single"/>
            </w:tcBorders>
            <w:vAlign w:val="center"/>
          </w:tcPr>
          <w:p w14:paraId="B1000000">
            <w:pPr>
              <w:widowControl w:val="1"/>
              <w:ind/>
              <w:jc w:val="center"/>
              <w:rPr>
                <w:sz w:val="18"/>
              </w:rPr>
            </w:pPr>
            <w:r>
              <w:rPr>
                <w:sz w:val="18"/>
              </w:rPr>
              <w:t>Оказание услуг по предоставлению доступа к сети интернет по адресу: Санкт-Петербург, улица Бухарестская, дом 114, корпус 3, литера А</w:t>
            </w:r>
          </w:p>
        </w:tc>
        <w:tc>
          <w:tcPr>
            <w:tcW w:type="dxa" w:w="1201"/>
            <w:tcBorders>
              <w:top w:color="000000" w:sz="4" w:val="single"/>
              <w:left w:color="000000" w:sz="4" w:val="single"/>
              <w:bottom w:color="000000" w:sz="4" w:val="single"/>
              <w:right w:color="000000" w:sz="4" w:val="single"/>
            </w:tcBorders>
            <w:vAlign w:val="center"/>
          </w:tcPr>
          <w:p w14:paraId="B2000000">
            <w:pPr>
              <w:widowControl w:val="1"/>
              <w:ind/>
              <w:jc w:val="center"/>
              <w:rPr>
                <w:sz w:val="18"/>
              </w:rPr>
            </w:pPr>
            <w:r>
              <w:rPr>
                <w:sz w:val="18"/>
              </w:rPr>
              <w:t>месяц</w:t>
            </w:r>
          </w:p>
        </w:tc>
        <w:tc>
          <w:tcPr>
            <w:tcW w:type="dxa" w:w="1073"/>
            <w:tcBorders>
              <w:top w:color="000000" w:sz="4" w:val="single"/>
              <w:left w:color="000000" w:sz="4" w:val="single"/>
              <w:bottom w:color="000000" w:sz="4" w:val="single"/>
              <w:right w:color="000000" w:sz="4" w:val="single"/>
            </w:tcBorders>
            <w:vAlign w:val="center"/>
          </w:tcPr>
          <w:p w14:paraId="B3000000">
            <w:pPr>
              <w:widowControl w:val="1"/>
              <w:ind/>
              <w:jc w:val="center"/>
              <w:rPr>
                <w:sz w:val="18"/>
              </w:rPr>
            </w:pPr>
            <w:r>
              <w:rPr>
                <w:sz w:val="18"/>
              </w:rPr>
              <w:t>6</w:t>
            </w:r>
          </w:p>
        </w:tc>
        <w:tc>
          <w:tcPr>
            <w:tcW w:type="dxa" w:w="1069"/>
            <w:tcBorders>
              <w:top w:color="000000" w:sz="4" w:val="single"/>
              <w:left w:color="000000" w:sz="4" w:val="single"/>
              <w:bottom w:color="000000" w:sz="4" w:val="single"/>
              <w:right w:color="000000" w:sz="4" w:val="single"/>
            </w:tcBorders>
            <w:vAlign w:val="center"/>
          </w:tcPr>
          <w:p w14:paraId="B4000000">
            <w:pPr>
              <w:widowControl w:val="1"/>
              <w:ind/>
              <w:jc w:val="center"/>
              <w:rPr>
                <w:sz w:val="18"/>
              </w:rPr>
            </w:pPr>
          </w:p>
        </w:tc>
        <w:tc>
          <w:tcPr>
            <w:tcW w:type="dxa" w:w="1130"/>
            <w:tcBorders>
              <w:top w:color="000000" w:sz="4" w:val="single"/>
              <w:left w:color="000000" w:sz="4" w:val="single"/>
              <w:bottom w:color="000000" w:sz="4" w:val="single"/>
              <w:right w:color="000000" w:sz="4" w:val="single"/>
            </w:tcBorders>
            <w:vAlign w:val="center"/>
          </w:tcPr>
          <w:p w14:paraId="B5000000">
            <w:pPr>
              <w:widowControl w:val="1"/>
              <w:ind/>
              <w:jc w:val="center"/>
              <w:rPr>
                <w:sz w:val="18"/>
              </w:rPr>
            </w:pPr>
          </w:p>
        </w:tc>
      </w:tr>
      <w:tr>
        <w:tc>
          <w:tcPr>
            <w:tcW w:type="dxa" w:w="9352"/>
            <w:gridSpan w:val="5"/>
            <w:tcBorders>
              <w:top w:color="000000" w:sz="4" w:val="single"/>
              <w:left w:color="000000" w:sz="4" w:val="single"/>
              <w:bottom w:color="000000" w:sz="4" w:val="single"/>
              <w:right w:color="000000" w:sz="4" w:val="single"/>
            </w:tcBorders>
            <w:vAlign w:val="center"/>
          </w:tcPr>
          <w:p w14:paraId="B6000000">
            <w:pPr>
              <w:widowControl w:val="1"/>
              <w:ind/>
              <w:jc w:val="center"/>
              <w:rPr>
                <w:sz w:val="18"/>
              </w:rPr>
            </w:pPr>
            <w:r>
              <w:rPr>
                <w:sz w:val="18"/>
              </w:rPr>
              <w:t>Итого:</w:t>
            </w:r>
          </w:p>
        </w:tc>
        <w:tc>
          <w:tcPr>
            <w:tcW w:type="dxa" w:w="1130"/>
            <w:tcBorders>
              <w:top w:color="000000" w:sz="4" w:val="single"/>
              <w:left w:color="000000" w:sz="4" w:val="single"/>
              <w:bottom w:color="000000" w:sz="4" w:val="single"/>
              <w:right w:color="000000" w:sz="4" w:val="single"/>
            </w:tcBorders>
            <w:vAlign w:val="center"/>
          </w:tcPr>
          <w:p w14:paraId="B7000000">
            <w:pPr>
              <w:widowControl w:val="1"/>
              <w:ind/>
              <w:jc w:val="center"/>
              <w:rPr>
                <w:sz w:val="18"/>
              </w:rPr>
            </w:pPr>
          </w:p>
        </w:tc>
      </w:tr>
    </w:tbl>
    <w:p w14:paraId="B8000000">
      <w:pPr>
        <w:widowControl w:val="1"/>
        <w:ind/>
        <w:jc w:val="center"/>
        <w:rPr>
          <w:sz w:val="18"/>
        </w:rPr>
      </w:pPr>
    </w:p>
    <w:p w14:paraId="B9000000">
      <w:pPr>
        <w:widowControl w:val="1"/>
        <w:ind/>
        <w:jc w:val="center"/>
        <w:rPr>
          <w:sz w:val="18"/>
        </w:rPr>
      </w:pPr>
      <w:r>
        <w:rPr>
          <w:sz w:val="18"/>
        </w:rPr>
        <w:t>Заказчик _                                                  Исполнитель _</w:t>
      </w:r>
    </w:p>
    <w:p w14:paraId="BA000000">
      <w:pPr>
        <w:pStyle w:val="Style_9"/>
        <w:widowControl w:val="1"/>
        <w:ind/>
        <w:jc w:val="center"/>
        <w:rPr>
          <w:sz w:val="18"/>
        </w:rPr>
      </w:pPr>
    </w:p>
    <w:sectPr>
      <w:headerReference r:id="rId1" w:type="default"/>
      <w:pgSz w:h="16838" w:orient="portrait" w:w="11906"/>
      <w:pgMar w:bottom="709" w:footer="709" w:gutter="0" w:header="709" w:left="1701" w:right="851" w:top="1134"/>
      <w:titlePg/>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header1.xml><?xml version="1.0" encoding="utf-8"?>
<w:hdr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1000000">
    <w:pPr>
      <w:pStyle w:val="Style_1"/>
      <w:widowControl w:val="1"/>
      <w:ind/>
      <w:jc w:val="center"/>
    </w:pPr>
    <w:r>
      <w:fldChar w:fldCharType="begin"/>
    </w:r>
    <w:r>
      <w:instrText xml:space="preserve">PAGE </w:instrText>
    </w:r>
    <w:r>
      <w:fldChar w:fldCharType="separate"/>
    </w:r>
    <w:r>
      <w:t xml:space="preserve"> </w:t>
    </w:r>
    <w:r>
      <w:fldChar w:fldCharType="end"/>
    </w:r>
  </w:p>
  <w:p w14:paraId="02000000">
    <w:pPr>
      <w:pStyle w:val="Style_1"/>
    </w:pPr>
  </w:p>
</w:hdr>
</file>

<file path=word/settings.xml><?xml version="1.0" encoding="utf-8"?>
<w:settings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Times New Roman" w:hAnsi="Times New Roman"/>
        <w:color w:val="000000"/>
        <w:spacing w:val="0"/>
        <w:sz w:val="20"/>
      </w:rPr>
    </w:rPrDefault>
    <w:pPrDefault>
      <w:pPr>
        <w:widowControl w:val="1"/>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10" w:type="paragraph">
    <w:name w:val="Normal"/>
    <w:link w:val="Style_10_ch"/>
    <w:uiPriority w:val="0"/>
    <w:qFormat/>
    <w:rPr>
      <w:sz w:val="24"/>
    </w:rPr>
  </w:style>
  <w:style w:default="1" w:styleId="Style_10_ch" w:type="character">
    <w:name w:val="Normal"/>
    <w:link w:val="Style_10"/>
    <w:rPr>
      <w:sz w:val="24"/>
    </w:rPr>
  </w:style>
  <w:style w:styleId="Style_5" w:type="paragraph">
    <w:name w:val="Body Text 2"/>
    <w:basedOn w:val="Style_10"/>
    <w:link w:val="Style_5_ch"/>
    <w:pPr>
      <w:widowControl w:val="1"/>
      <w:spacing w:after="120" w:line="480" w:lineRule="auto"/>
      <w:ind/>
    </w:pPr>
  </w:style>
  <w:style w:styleId="Style_5_ch" w:type="character">
    <w:name w:val="Body Text 2"/>
    <w:basedOn w:val="Style_10_ch"/>
    <w:link w:val="Style_5"/>
  </w:style>
  <w:style w:styleId="Style_11" w:type="paragraph">
    <w:name w:val="toc 2"/>
    <w:next w:val="Style_10"/>
    <w:link w:val="Style_11_ch"/>
    <w:uiPriority w:val="39"/>
    <w:pPr>
      <w:widowControl w:val="1"/>
      <w:ind w:firstLine="0" w:left="200"/>
      <w:jc w:val="left"/>
    </w:pPr>
    <w:rPr>
      <w:rFonts w:ascii="XO Thames" w:hAnsi="XO Thames"/>
      <w:sz w:val="28"/>
    </w:rPr>
  </w:style>
  <w:style w:styleId="Style_11_ch" w:type="character">
    <w:name w:val="toc 2"/>
    <w:link w:val="Style_11"/>
    <w:rPr>
      <w:rFonts w:ascii="XO Thames" w:hAnsi="XO Thames"/>
      <w:sz w:val="28"/>
    </w:rPr>
  </w:style>
  <w:style w:styleId="Style_1" w:type="paragraph">
    <w:name w:val="header"/>
    <w:basedOn w:val="Style_10"/>
    <w:link w:val="Style_1_ch"/>
    <w:pPr>
      <w:widowControl w:val="1"/>
      <w:tabs>
        <w:tab w:leader="none" w:pos="4677" w:val="center"/>
        <w:tab w:leader="none" w:pos="9355" w:val="right"/>
      </w:tabs>
      <w:ind/>
    </w:pPr>
  </w:style>
  <w:style w:styleId="Style_1_ch" w:type="character">
    <w:name w:val="header"/>
    <w:basedOn w:val="Style_10_ch"/>
    <w:link w:val="Style_1"/>
  </w:style>
  <w:style w:styleId="Style_12" w:type="paragraph">
    <w:name w:val="ConsPlusNormal"/>
    <w:link w:val="Style_12_ch"/>
    <w:pPr>
      <w:widowControl w:val="1"/>
      <w:ind w:firstLine="720"/>
    </w:pPr>
    <w:rPr>
      <w:rFonts w:ascii="Arial" w:hAnsi="Arial"/>
    </w:rPr>
  </w:style>
  <w:style w:styleId="Style_12_ch" w:type="character">
    <w:name w:val="ConsPlusNormal"/>
    <w:link w:val="Style_12"/>
    <w:rPr>
      <w:rFonts w:ascii="Arial" w:hAnsi="Arial"/>
    </w:rPr>
  </w:style>
  <w:style w:styleId="Style_13" w:type="paragraph">
    <w:name w:val="toc 4"/>
    <w:next w:val="Style_10"/>
    <w:link w:val="Style_13_ch"/>
    <w:uiPriority w:val="39"/>
    <w:pPr>
      <w:widowControl w:val="1"/>
      <w:ind w:firstLine="0" w:left="600"/>
      <w:jc w:val="left"/>
    </w:pPr>
    <w:rPr>
      <w:rFonts w:ascii="XO Thames" w:hAnsi="XO Thames"/>
      <w:sz w:val="28"/>
    </w:rPr>
  </w:style>
  <w:style w:styleId="Style_13_ch" w:type="character">
    <w:name w:val="toc 4"/>
    <w:link w:val="Style_13"/>
    <w:rPr>
      <w:rFonts w:ascii="XO Thames" w:hAnsi="XO Thames"/>
      <w:sz w:val="28"/>
    </w:rPr>
  </w:style>
  <w:style w:styleId="Style_7" w:type="paragraph">
    <w:name w:val="Standard"/>
    <w:link w:val="Style_7_ch"/>
    <w:pPr>
      <w:keepNext w:val="1"/>
      <w:widowControl w:val="1"/>
      <w:ind/>
    </w:pPr>
  </w:style>
  <w:style w:styleId="Style_7_ch" w:type="character">
    <w:name w:val="Standard"/>
    <w:link w:val="Style_7"/>
  </w:style>
  <w:style w:styleId="Style_14" w:type="paragraph">
    <w:name w:val="toc 6"/>
    <w:next w:val="Style_10"/>
    <w:link w:val="Style_14_ch"/>
    <w:uiPriority w:val="39"/>
    <w:pPr>
      <w:widowControl w:val="1"/>
      <w:ind w:firstLine="0" w:left="1000"/>
      <w:jc w:val="left"/>
    </w:pPr>
    <w:rPr>
      <w:rFonts w:ascii="XO Thames" w:hAnsi="XO Thames"/>
      <w:sz w:val="28"/>
    </w:rPr>
  </w:style>
  <w:style w:styleId="Style_14_ch" w:type="character">
    <w:name w:val="toc 6"/>
    <w:link w:val="Style_14"/>
    <w:rPr>
      <w:rFonts w:ascii="XO Thames" w:hAnsi="XO Thames"/>
      <w:sz w:val="28"/>
    </w:rPr>
  </w:style>
  <w:style w:styleId="Style_15" w:type="paragraph">
    <w:name w:val="toc 7"/>
    <w:next w:val="Style_10"/>
    <w:link w:val="Style_15_ch"/>
    <w:uiPriority w:val="39"/>
    <w:pPr>
      <w:widowControl w:val="1"/>
      <w:ind w:firstLine="0" w:left="1200"/>
      <w:jc w:val="left"/>
    </w:pPr>
    <w:rPr>
      <w:rFonts w:ascii="XO Thames" w:hAnsi="XO Thames"/>
      <w:sz w:val="28"/>
    </w:rPr>
  </w:style>
  <w:style w:styleId="Style_15_ch" w:type="character">
    <w:name w:val="toc 7"/>
    <w:link w:val="Style_15"/>
    <w:rPr>
      <w:rFonts w:ascii="XO Thames" w:hAnsi="XO Thames"/>
      <w:sz w:val="28"/>
    </w:rPr>
  </w:style>
  <w:style w:styleId="Style_3" w:type="paragraph">
    <w:name w:val="Heading"/>
    <w:link w:val="Style_3_ch"/>
    <w:rPr>
      <w:rFonts w:ascii="Arial" w:hAnsi="Arial"/>
      <w:b w:val="1"/>
      <w:sz w:val="22"/>
    </w:rPr>
  </w:style>
  <w:style w:styleId="Style_3_ch" w:type="character">
    <w:name w:val="Heading"/>
    <w:link w:val="Style_3"/>
    <w:rPr>
      <w:rFonts w:ascii="Arial" w:hAnsi="Arial"/>
      <w:b w:val="1"/>
      <w:sz w:val="22"/>
    </w:rPr>
  </w:style>
  <w:style w:styleId="Style_16" w:type="paragraph">
    <w:name w:val="Endnote"/>
    <w:link w:val="Style_16_ch"/>
    <w:pPr>
      <w:widowControl w:val="1"/>
      <w:ind w:firstLine="851" w:left="0"/>
      <w:jc w:val="both"/>
    </w:pPr>
    <w:rPr>
      <w:rFonts w:ascii="XO Thames" w:hAnsi="XO Thames"/>
      <w:sz w:val="22"/>
    </w:rPr>
  </w:style>
  <w:style w:styleId="Style_16_ch" w:type="character">
    <w:name w:val="Endnote"/>
    <w:link w:val="Style_16"/>
    <w:rPr>
      <w:rFonts w:ascii="XO Thames" w:hAnsi="XO Thames"/>
      <w:sz w:val="22"/>
    </w:rPr>
  </w:style>
  <w:style w:styleId="Style_17" w:type="paragraph">
    <w:name w:val="heading 3"/>
    <w:basedOn w:val="Style_10"/>
    <w:next w:val="Style_10"/>
    <w:link w:val="Style_17_ch"/>
    <w:uiPriority w:val="9"/>
    <w:qFormat/>
    <w:pPr>
      <w:keepNext w:val="1"/>
      <w:widowControl w:val="1"/>
      <w:spacing w:after="60" w:before="240"/>
      <w:ind/>
      <w:outlineLvl w:val="2"/>
    </w:pPr>
    <w:rPr>
      <w:rFonts w:ascii="Cambria" w:hAnsi="Cambria"/>
      <w:b w:val="1"/>
      <w:sz w:val="26"/>
    </w:rPr>
  </w:style>
  <w:style w:styleId="Style_17_ch" w:type="character">
    <w:name w:val="heading 3"/>
    <w:basedOn w:val="Style_10_ch"/>
    <w:link w:val="Style_17"/>
    <w:rPr>
      <w:rFonts w:ascii="Cambria" w:hAnsi="Cambria"/>
      <w:b w:val="1"/>
      <w:sz w:val="26"/>
    </w:rPr>
  </w:style>
  <w:style w:styleId="Style_18" w:type="paragraph">
    <w:name w:val="ConsNonformat"/>
    <w:link w:val="Style_18_ch"/>
    <w:pPr>
      <w:widowControl w:val="0"/>
      <w:ind w:right="19772"/>
    </w:pPr>
    <w:rPr>
      <w:rFonts w:ascii="Courier New" w:hAnsi="Courier New"/>
    </w:rPr>
  </w:style>
  <w:style w:styleId="Style_18_ch" w:type="character">
    <w:name w:val="ConsNonformat"/>
    <w:link w:val="Style_18"/>
    <w:rPr>
      <w:rFonts w:ascii="Courier New" w:hAnsi="Courier New"/>
    </w:rPr>
  </w:style>
  <w:style w:styleId="Style_19" w:type="paragraph">
    <w:name w:val="footnote reference"/>
    <w:link w:val="Style_19_ch"/>
    <w:rPr>
      <w:vertAlign w:val="superscript"/>
    </w:rPr>
  </w:style>
  <w:style w:styleId="Style_19_ch" w:type="character">
    <w:name w:val="footnote reference"/>
    <w:link w:val="Style_19"/>
    <w:rPr>
      <w:vertAlign w:val="superscript"/>
    </w:rPr>
  </w:style>
  <w:style w:styleId="Style_20" w:type="paragraph">
    <w:name w:val="Body Text"/>
    <w:basedOn w:val="Style_10"/>
    <w:link w:val="Style_20_ch"/>
  </w:style>
  <w:style w:styleId="Style_20_ch" w:type="character">
    <w:name w:val="Body Text"/>
    <w:basedOn w:val="Style_10_ch"/>
    <w:link w:val="Style_20"/>
  </w:style>
  <w:style w:styleId="Style_21" w:type="paragraph">
    <w:name w:val="Основной текст с отступом1"/>
    <w:basedOn w:val="Style_10"/>
    <w:link w:val="Style_21_ch"/>
    <w:pPr>
      <w:widowControl w:val="1"/>
      <w:spacing w:after="120"/>
      <w:ind w:left="283"/>
    </w:pPr>
  </w:style>
  <w:style w:styleId="Style_21_ch" w:type="character">
    <w:name w:val="Основной текст с отступом1"/>
    <w:basedOn w:val="Style_10_ch"/>
    <w:link w:val="Style_21"/>
  </w:style>
  <w:style w:styleId="Style_8" w:type="paragraph">
    <w:name w:val="List Paragraph"/>
    <w:basedOn w:val="Style_7"/>
    <w:link w:val="Style_8_ch"/>
  </w:style>
  <w:style w:styleId="Style_8_ch" w:type="character">
    <w:name w:val="List Paragraph"/>
    <w:basedOn w:val="Style_7_ch"/>
    <w:link w:val="Style_8"/>
  </w:style>
  <w:style w:styleId="Style_22" w:type="paragraph">
    <w:name w:val="Block Text"/>
    <w:basedOn w:val="Style_10"/>
    <w:link w:val="Style_22_ch"/>
    <w:pPr>
      <w:widowControl w:val="1"/>
      <w:ind w:left="-1080" w:right="-365"/>
    </w:pPr>
  </w:style>
  <w:style w:styleId="Style_22_ch" w:type="character">
    <w:name w:val="Block Text"/>
    <w:basedOn w:val="Style_10_ch"/>
    <w:link w:val="Style_22"/>
  </w:style>
  <w:style w:styleId="Style_23" w:type="paragraph">
    <w:name w:val="toc 3"/>
    <w:next w:val="Style_10"/>
    <w:link w:val="Style_23_ch"/>
    <w:uiPriority w:val="39"/>
    <w:pPr>
      <w:widowControl w:val="1"/>
      <w:ind w:firstLine="0" w:left="400"/>
      <w:jc w:val="left"/>
    </w:pPr>
    <w:rPr>
      <w:rFonts w:ascii="XO Thames" w:hAnsi="XO Thames"/>
      <w:sz w:val="28"/>
    </w:rPr>
  </w:style>
  <w:style w:styleId="Style_23_ch" w:type="character">
    <w:name w:val="toc 3"/>
    <w:link w:val="Style_23"/>
    <w:rPr>
      <w:rFonts w:ascii="XO Thames" w:hAnsi="XO Thames"/>
      <w:sz w:val="28"/>
    </w:rPr>
  </w:style>
  <w:style w:styleId="Style_24" w:type="paragraph">
    <w:name w:val="Default Paragraph Font"/>
    <w:link w:val="Style_24_ch"/>
  </w:style>
  <w:style w:styleId="Style_24_ch" w:type="character">
    <w:name w:val="Default Paragraph Font"/>
    <w:link w:val="Style_24"/>
  </w:style>
  <w:style w:styleId="Style_25" w:type="paragraph">
    <w:name w:val="heading 5"/>
    <w:basedOn w:val="Style_10"/>
    <w:next w:val="Style_10"/>
    <w:link w:val="Style_25_ch"/>
    <w:uiPriority w:val="9"/>
    <w:qFormat/>
    <w:pPr>
      <w:keepNext w:val="1"/>
      <w:widowControl w:val="1"/>
      <w:ind/>
      <w:jc w:val="both"/>
      <w:outlineLvl w:val="4"/>
    </w:pPr>
    <w:rPr>
      <w:b w:val="1"/>
      <w:color w:val="000000"/>
      <w:sz w:val="28"/>
    </w:rPr>
  </w:style>
  <w:style w:styleId="Style_25_ch" w:type="character">
    <w:name w:val="heading 5"/>
    <w:basedOn w:val="Style_10_ch"/>
    <w:link w:val="Style_25"/>
    <w:rPr>
      <w:b w:val="1"/>
      <w:color w:val="000000"/>
      <w:sz w:val="28"/>
    </w:rPr>
  </w:style>
  <w:style w:styleId="Style_26" w:type="paragraph">
    <w:name w:val="ConsNormal"/>
    <w:link w:val="Style_26_ch"/>
    <w:pPr>
      <w:widowControl w:val="0"/>
      <w:ind w:firstLine="720" w:right="19772"/>
    </w:pPr>
    <w:rPr>
      <w:rFonts w:ascii="Arial" w:hAnsi="Arial"/>
      <w:sz w:val="22"/>
    </w:rPr>
  </w:style>
  <w:style w:styleId="Style_26_ch" w:type="character">
    <w:name w:val="ConsNormal"/>
    <w:link w:val="Style_26"/>
    <w:rPr>
      <w:rFonts w:ascii="Arial" w:hAnsi="Arial"/>
      <w:sz w:val="22"/>
    </w:rPr>
  </w:style>
  <w:style w:styleId="Style_27" w:type="paragraph">
    <w:name w:val="Balloon Text"/>
    <w:basedOn w:val="Style_10"/>
    <w:link w:val="Style_27_ch"/>
    <w:rPr>
      <w:rFonts w:ascii="Tahoma" w:hAnsi="Tahoma"/>
      <w:sz w:val="16"/>
    </w:rPr>
  </w:style>
  <w:style w:styleId="Style_27_ch" w:type="character">
    <w:name w:val="Balloon Text"/>
    <w:basedOn w:val="Style_10_ch"/>
    <w:link w:val="Style_27"/>
    <w:rPr>
      <w:rFonts w:ascii="Tahoma" w:hAnsi="Tahoma"/>
      <w:sz w:val="16"/>
    </w:rPr>
  </w:style>
  <w:style w:styleId="Style_28" w:type="paragraph">
    <w:name w:val="heading 1"/>
    <w:basedOn w:val="Style_10"/>
    <w:next w:val="Style_10"/>
    <w:link w:val="Style_28_ch"/>
    <w:uiPriority w:val="9"/>
    <w:qFormat/>
    <w:pPr>
      <w:keepNext w:val="1"/>
      <w:widowControl w:val="1"/>
      <w:ind w:right="-365"/>
      <w:jc w:val="center"/>
      <w:outlineLvl w:val="0"/>
    </w:pPr>
    <w:rPr>
      <w:b w:val="1"/>
    </w:rPr>
  </w:style>
  <w:style w:styleId="Style_28_ch" w:type="character">
    <w:name w:val="heading 1"/>
    <w:basedOn w:val="Style_10_ch"/>
    <w:link w:val="Style_28"/>
    <w:rPr>
      <w:b w:val="1"/>
    </w:rPr>
  </w:style>
  <w:style w:styleId="Style_4" w:type="paragraph">
    <w:name w:val="Body Text Indent 2"/>
    <w:basedOn w:val="Style_10"/>
    <w:link w:val="Style_4_ch"/>
    <w:pPr>
      <w:widowControl w:val="1"/>
      <w:spacing w:after="120" w:line="480" w:lineRule="auto"/>
      <w:ind w:left="283"/>
    </w:pPr>
  </w:style>
  <w:style w:styleId="Style_4_ch" w:type="character">
    <w:name w:val="Body Text Indent 2"/>
    <w:basedOn w:val="Style_10_ch"/>
    <w:link w:val="Style_4"/>
  </w:style>
  <w:style w:styleId="Style_29" w:type="paragraph">
    <w:name w:val="Hyperlink"/>
    <w:link w:val="Style_29_ch"/>
    <w:rPr>
      <w:color w:val="0000FF"/>
      <w:u w:val="single"/>
    </w:rPr>
  </w:style>
  <w:style w:styleId="Style_29_ch" w:type="character">
    <w:name w:val="Hyperlink"/>
    <w:link w:val="Style_29"/>
    <w:rPr>
      <w:color w:val="0000FF"/>
      <w:u w:val="single"/>
    </w:rPr>
  </w:style>
  <w:style w:styleId="Style_30" w:type="paragraph">
    <w:name w:val="Footnote"/>
    <w:basedOn w:val="Style_10"/>
    <w:link w:val="Style_30_ch"/>
    <w:rPr>
      <w:sz w:val="20"/>
    </w:rPr>
  </w:style>
  <w:style w:styleId="Style_30_ch" w:type="character">
    <w:name w:val="Footnote"/>
    <w:basedOn w:val="Style_10_ch"/>
    <w:link w:val="Style_30"/>
    <w:rPr>
      <w:sz w:val="20"/>
    </w:rPr>
  </w:style>
  <w:style w:styleId="Style_31" w:type="paragraph">
    <w:name w:val="toc 1"/>
    <w:next w:val="Style_10"/>
    <w:link w:val="Style_31_ch"/>
    <w:uiPriority w:val="39"/>
    <w:pPr>
      <w:widowControl w:val="1"/>
      <w:ind w:firstLine="0" w:left="0"/>
      <w:jc w:val="left"/>
    </w:pPr>
    <w:rPr>
      <w:rFonts w:ascii="XO Thames" w:hAnsi="XO Thames"/>
      <w:b w:val="1"/>
      <w:sz w:val="28"/>
    </w:rPr>
  </w:style>
  <w:style w:styleId="Style_31_ch" w:type="character">
    <w:name w:val="toc 1"/>
    <w:link w:val="Style_31"/>
    <w:rPr>
      <w:rFonts w:ascii="XO Thames" w:hAnsi="XO Thames"/>
      <w:b w:val="1"/>
      <w:sz w:val="28"/>
    </w:rPr>
  </w:style>
  <w:style w:styleId="Style_32" w:type="paragraph">
    <w:name w:val="Основной текст1"/>
    <w:basedOn w:val="Style_10"/>
    <w:link w:val="Style_32_ch"/>
    <w:pPr>
      <w:widowControl w:val="1"/>
      <w:spacing w:line="360" w:lineRule="auto"/>
      <w:ind/>
      <w:jc w:val="both"/>
    </w:pPr>
    <w:rPr>
      <w:sz w:val="28"/>
    </w:rPr>
  </w:style>
  <w:style w:styleId="Style_32_ch" w:type="character">
    <w:name w:val="Основной текст1"/>
    <w:basedOn w:val="Style_10_ch"/>
    <w:link w:val="Style_32"/>
    <w:rPr>
      <w:sz w:val="28"/>
    </w:rPr>
  </w:style>
  <w:style w:styleId="Style_33" w:type="paragraph">
    <w:name w:val="Header and Footer"/>
    <w:link w:val="Style_33_ch"/>
    <w:pPr>
      <w:widowControl w:val="1"/>
      <w:spacing w:line="240" w:lineRule="auto"/>
      <w:ind/>
      <w:jc w:val="both"/>
    </w:pPr>
    <w:rPr>
      <w:rFonts w:ascii="XO Thames" w:hAnsi="XO Thames"/>
      <w:sz w:val="28"/>
    </w:rPr>
  </w:style>
  <w:style w:styleId="Style_33_ch" w:type="character">
    <w:name w:val="Header and Footer"/>
    <w:link w:val="Style_33"/>
    <w:rPr>
      <w:rFonts w:ascii="XO Thames" w:hAnsi="XO Thames"/>
      <w:sz w:val="28"/>
    </w:rPr>
  </w:style>
  <w:style w:styleId="Style_34" w:type="paragraph">
    <w:name w:val="toc 9"/>
    <w:next w:val="Style_10"/>
    <w:link w:val="Style_34_ch"/>
    <w:uiPriority w:val="39"/>
    <w:pPr>
      <w:widowControl w:val="1"/>
      <w:ind w:firstLine="0" w:left="1600"/>
      <w:jc w:val="left"/>
    </w:pPr>
    <w:rPr>
      <w:rFonts w:ascii="XO Thames" w:hAnsi="XO Thames"/>
      <w:sz w:val="28"/>
    </w:rPr>
  </w:style>
  <w:style w:styleId="Style_34_ch" w:type="character">
    <w:name w:val="toc 9"/>
    <w:link w:val="Style_34"/>
    <w:rPr>
      <w:rFonts w:ascii="XO Thames" w:hAnsi="XO Thames"/>
      <w:sz w:val="28"/>
    </w:rPr>
  </w:style>
  <w:style w:styleId="Style_35" w:type="paragraph">
    <w:name w:val="footer"/>
    <w:basedOn w:val="Style_10"/>
    <w:link w:val="Style_35_ch"/>
    <w:pPr>
      <w:widowControl w:val="1"/>
      <w:tabs>
        <w:tab w:leader="none" w:pos="4677" w:val="center"/>
        <w:tab w:leader="none" w:pos="9355" w:val="right"/>
      </w:tabs>
      <w:ind/>
    </w:pPr>
  </w:style>
  <w:style w:styleId="Style_35_ch" w:type="character">
    <w:name w:val="footer"/>
    <w:basedOn w:val="Style_10_ch"/>
    <w:link w:val="Style_35"/>
  </w:style>
  <w:style w:styleId="Style_36" w:type="paragraph">
    <w:name w:val="toc 8"/>
    <w:next w:val="Style_10"/>
    <w:link w:val="Style_36_ch"/>
    <w:uiPriority w:val="39"/>
    <w:pPr>
      <w:widowControl w:val="1"/>
      <w:ind w:firstLine="0" w:left="1400"/>
      <w:jc w:val="left"/>
    </w:pPr>
    <w:rPr>
      <w:rFonts w:ascii="XO Thames" w:hAnsi="XO Thames"/>
      <w:sz w:val="28"/>
    </w:rPr>
  </w:style>
  <w:style w:styleId="Style_36_ch" w:type="character">
    <w:name w:val="toc 8"/>
    <w:link w:val="Style_36"/>
    <w:rPr>
      <w:rFonts w:ascii="XO Thames" w:hAnsi="XO Thames"/>
      <w:sz w:val="28"/>
    </w:rPr>
  </w:style>
  <w:style w:styleId="Style_37" w:type="paragraph">
    <w:name w:val="Знак Знак"/>
    <w:link w:val="Style_37_ch"/>
    <w:rPr>
      <w:sz w:val="24"/>
    </w:rPr>
  </w:style>
  <w:style w:styleId="Style_37_ch" w:type="character">
    <w:name w:val="Знак Знак"/>
    <w:link w:val="Style_37"/>
    <w:rPr>
      <w:sz w:val="24"/>
    </w:rPr>
  </w:style>
  <w:style w:styleId="Style_38" w:type="paragraph">
    <w:name w:val="Основной текст (3)"/>
    <w:basedOn w:val="Style_10"/>
    <w:link w:val="Style_38_ch"/>
    <w:pPr>
      <w:widowControl w:val="1"/>
      <w:spacing w:after="240" w:before="240" w:line="331" w:lineRule="exact"/>
      <w:ind/>
      <w:jc w:val="center"/>
    </w:pPr>
    <w:rPr>
      <w:b w:val="1"/>
      <w:sz w:val="26"/>
    </w:rPr>
  </w:style>
  <w:style w:styleId="Style_38_ch" w:type="character">
    <w:name w:val="Основной текст (3)"/>
    <w:basedOn w:val="Style_10_ch"/>
    <w:link w:val="Style_38"/>
    <w:rPr>
      <w:b w:val="1"/>
      <w:sz w:val="26"/>
    </w:rPr>
  </w:style>
  <w:style w:styleId="Style_2" w:type="paragraph">
    <w:name w:val="Body Text Indent"/>
    <w:basedOn w:val="Style_10"/>
    <w:link w:val="Style_2_ch"/>
    <w:pPr>
      <w:widowControl w:val="1"/>
      <w:spacing w:after="120"/>
      <w:ind w:left="283"/>
    </w:pPr>
  </w:style>
  <w:style w:styleId="Style_2_ch" w:type="character">
    <w:name w:val="Body Text Indent"/>
    <w:basedOn w:val="Style_10_ch"/>
    <w:link w:val="Style_2"/>
  </w:style>
  <w:style w:styleId="Style_39" w:type="paragraph">
    <w:name w:val="toc 5"/>
    <w:next w:val="Style_10"/>
    <w:link w:val="Style_39_ch"/>
    <w:uiPriority w:val="39"/>
    <w:pPr>
      <w:widowControl w:val="1"/>
      <w:ind w:firstLine="0" w:left="800"/>
      <w:jc w:val="left"/>
    </w:pPr>
    <w:rPr>
      <w:rFonts w:ascii="XO Thames" w:hAnsi="XO Thames"/>
      <w:sz w:val="28"/>
    </w:rPr>
  </w:style>
  <w:style w:styleId="Style_39_ch" w:type="character">
    <w:name w:val="toc 5"/>
    <w:link w:val="Style_39"/>
    <w:rPr>
      <w:rFonts w:ascii="XO Thames" w:hAnsi="XO Thames"/>
      <w:sz w:val="28"/>
    </w:rPr>
  </w:style>
  <w:style w:styleId="Style_40" w:type="paragraph">
    <w:name w:val="Знак Знак1"/>
    <w:link w:val="Style_40_ch"/>
    <w:rPr>
      <w:rFonts w:ascii="Cambria" w:hAnsi="Cambria"/>
      <w:b w:val="1"/>
      <w:sz w:val="26"/>
    </w:rPr>
  </w:style>
  <w:style w:styleId="Style_40_ch" w:type="character">
    <w:name w:val="Знак Знак1"/>
    <w:link w:val="Style_40"/>
    <w:rPr>
      <w:rFonts w:ascii="Cambria" w:hAnsi="Cambria"/>
      <w:b w:val="1"/>
      <w:sz w:val="26"/>
    </w:rPr>
  </w:style>
  <w:style w:styleId="Style_41" w:type="paragraph">
    <w:name w:val="Subtitle"/>
    <w:next w:val="Style_10"/>
    <w:link w:val="Style_41_ch"/>
    <w:uiPriority w:val="11"/>
    <w:qFormat/>
    <w:pPr>
      <w:widowControl w:val="1"/>
      <w:ind/>
      <w:jc w:val="both"/>
    </w:pPr>
    <w:rPr>
      <w:rFonts w:ascii="XO Thames" w:hAnsi="XO Thames"/>
      <w:i w:val="1"/>
      <w:sz w:val="24"/>
    </w:rPr>
  </w:style>
  <w:style w:styleId="Style_41_ch" w:type="character">
    <w:name w:val="Subtitle"/>
    <w:link w:val="Style_41"/>
    <w:rPr>
      <w:rFonts w:ascii="XO Thames" w:hAnsi="XO Thames"/>
      <w:i w:val="1"/>
      <w:sz w:val="24"/>
    </w:rPr>
  </w:style>
  <w:style w:styleId="Style_42" w:type="paragraph">
    <w:name w:val="Title"/>
    <w:next w:val="Style_10"/>
    <w:link w:val="Style_42_ch"/>
    <w:uiPriority w:val="10"/>
    <w:qFormat/>
    <w:pPr>
      <w:widowControl w:val="1"/>
      <w:spacing w:after="567" w:before="567"/>
      <w:ind/>
      <w:jc w:val="center"/>
    </w:pPr>
    <w:rPr>
      <w:rFonts w:ascii="XO Thames" w:hAnsi="XO Thames"/>
      <w:b w:val="1"/>
      <w:caps w:val="1"/>
      <w:sz w:val="40"/>
    </w:rPr>
  </w:style>
  <w:style w:styleId="Style_42_ch" w:type="character">
    <w:name w:val="Title"/>
    <w:link w:val="Style_42"/>
    <w:rPr>
      <w:rFonts w:ascii="XO Thames" w:hAnsi="XO Thames"/>
      <w:b w:val="1"/>
      <w:caps w:val="1"/>
      <w:sz w:val="40"/>
    </w:rPr>
  </w:style>
  <w:style w:styleId="Style_43" w:type="paragraph">
    <w:name w:val="heading 4"/>
    <w:basedOn w:val="Style_10"/>
    <w:next w:val="Style_10"/>
    <w:link w:val="Style_43_ch"/>
    <w:uiPriority w:val="9"/>
    <w:qFormat/>
    <w:pPr>
      <w:keepNext w:val="1"/>
      <w:widowControl w:val="1"/>
      <w:ind/>
      <w:jc w:val="both"/>
      <w:outlineLvl w:val="3"/>
    </w:pPr>
    <w:rPr>
      <w:b w:val="1"/>
      <w:color w:val="000000"/>
    </w:rPr>
  </w:style>
  <w:style w:styleId="Style_43_ch" w:type="character">
    <w:name w:val="heading 4"/>
    <w:basedOn w:val="Style_10_ch"/>
    <w:link w:val="Style_43"/>
    <w:rPr>
      <w:b w:val="1"/>
      <w:color w:val="000000"/>
    </w:rPr>
  </w:style>
  <w:style w:styleId="Style_9" w:type="paragraph">
    <w:name w:val="No Spacing"/>
    <w:link w:val="Style_9_ch"/>
    <w:rPr>
      <w:sz w:val="24"/>
    </w:rPr>
  </w:style>
  <w:style w:styleId="Style_9_ch" w:type="character">
    <w:name w:val="No Spacing"/>
    <w:link w:val="Style_9"/>
    <w:rPr>
      <w:sz w:val="24"/>
    </w:rPr>
  </w:style>
  <w:style w:styleId="Style_44" w:type="paragraph">
    <w:name w:val="heading 2"/>
    <w:basedOn w:val="Style_10"/>
    <w:next w:val="Style_10"/>
    <w:link w:val="Style_44_ch"/>
    <w:uiPriority w:val="9"/>
    <w:qFormat/>
    <w:pPr>
      <w:keepNext w:val="1"/>
      <w:widowControl w:val="1"/>
      <w:ind w:right="-365"/>
      <w:outlineLvl w:val="1"/>
    </w:pPr>
    <w:rPr>
      <w:b w:val="1"/>
    </w:rPr>
  </w:style>
  <w:style w:styleId="Style_44_ch" w:type="character">
    <w:name w:val="heading 2"/>
    <w:basedOn w:val="Style_10_ch"/>
    <w:link w:val="Style_44"/>
    <w:rPr>
      <w:b w:val="1"/>
    </w:rPr>
  </w:style>
  <w:style w:styleId="Style_45" w:type="paragraph">
    <w:name w:val="Body Text Indent 3"/>
    <w:basedOn w:val="Style_10"/>
    <w:link w:val="Style_45_ch"/>
    <w:pPr>
      <w:widowControl w:val="1"/>
      <w:spacing w:after="120"/>
      <w:ind w:left="283"/>
    </w:pPr>
    <w:rPr>
      <w:sz w:val="16"/>
    </w:rPr>
  </w:style>
  <w:style w:styleId="Style_45_ch" w:type="character">
    <w:name w:val="Body Text Indent 3"/>
    <w:basedOn w:val="Style_10_ch"/>
    <w:link w:val="Style_45"/>
    <w:rPr>
      <w:sz w:val="16"/>
    </w:rPr>
  </w:style>
  <w:style w:styleId="Style_46" w:type="table">
    <w:name w:val="Table Grid"/>
    <w:basedOn w:val="Style_6"/>
    <w:tblPr>
      <w:tblBorders>
        <w:top w:color="000000" w:sz="4" w:val="single"/>
        <w:left w:color="000000" w:sz="4" w:val="single"/>
        <w:bottom w:color="000000" w:sz="4" w:val="single"/>
        <w:right w:color="000000" w:sz="4" w:val="single"/>
        <w:insideH w:color="000000" w:sz="4" w:val="single"/>
        <w:insideV w:color="000000" w:sz="4" w:val="single"/>
      </w:tblBorders>
    </w:tblPr>
  </w:style>
  <w:style w:default="1" w:styleId="Style_6"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4" Target="styles.xml" Type="http://schemas.openxmlformats.org/officeDocument/2006/relationships/styles"/>
  <Relationship Id="rId1" Target="header1.xml" Type="http://schemas.openxmlformats.org/officeDocument/2006/relationships/header"/>
  <Relationship Id="rId7" Target="theme/theme1.xml" Type="http://schemas.openxmlformats.org/officeDocument/2006/relationships/theme"/>
  <Relationship Id="rId5" Target="stylesWithEffects.xml" Type="http://schemas.microsoft.com/office/2007/relationships/stylesWithEffects"/>
  <Relationship Id="rId3" Target="settings.xml" Type="http://schemas.openxmlformats.org/officeDocument/2006/relationships/settings"/>
  <Relationship Id="rId2" Target="fontTable.xml" Type="http://schemas.openxmlformats.org/officeDocument/2006/relationships/fontTable"/>
  <Relationship Id="rId6" Target="webSettings.xml" Type="http://schemas.openxmlformats.org/officeDocument/2006/relationships/webSettings"/>
</Relationships>

</file>

<file path=word/theme/theme1.xml><?xml version="1.0" encoding="utf-8"?>
<a:theme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MyOffice-CoreFramework-Windows/40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2026-06-15T07:03:07Z</dcterms:created>
  <dcterms:modified xsi:type="dcterms:W3CDTF">2026-06-15T07:23:36Z</dcterms:modified>
</cp:coreProperties>
</file>