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1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Контракт</w:t>
      </w: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31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на поставку товара </w:t>
      </w:r>
      <w:r>
        <w:rPr>
          <w:b/>
          <w:szCs w:val="24"/>
          <w:lang w:eastAsia="ru-RU"/>
        </w:rPr>
        <w:t xml:space="preserve">№ _____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31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31"/>
        <w:pBdr/>
        <w:spacing/>
        <w:ind w:firstLine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Санкт-Петербург          </w:t>
        <w:tab/>
        <w:t xml:space="preserve">                                                          </w:t>
      </w:r>
      <w:r>
        <w:rPr>
          <w:b/>
          <w:szCs w:val="24"/>
          <w:lang w:eastAsia="ru-RU"/>
        </w:rPr>
        <w:tab/>
        <w:t xml:space="preserve">       </w:t>
      </w:r>
      <w:r>
        <w:rPr>
          <w:b/>
          <w:szCs w:val="24"/>
          <w:lang w:eastAsia="ru-RU"/>
        </w:rPr>
        <w:tab/>
        <w:tab/>
        <w:t xml:space="preserve">                 ___</w:t>
      </w:r>
      <w:r>
        <w:rPr>
          <w:b/>
          <w:szCs w:val="24"/>
          <w:lang w:eastAsia="ru-RU"/>
        </w:rPr>
        <w:t xml:space="preserve">.202</w:t>
      </w:r>
      <w:r>
        <w:rPr>
          <w:b/>
          <w:szCs w:val="24"/>
          <w:lang w:eastAsia="ru-RU"/>
        </w:rPr>
        <w:t xml:space="preserve">6</w:t>
      </w:r>
      <w:r>
        <w:rPr>
          <w:b/>
          <w:szCs w:val="24"/>
          <w:lang w:eastAsia="ru-RU"/>
        </w:rPr>
      </w:r>
    </w:p>
    <w:p>
      <w:pPr>
        <w:pStyle w:val="931"/>
        <w:pBdr/>
        <w:spacing/>
        <w:ind w:firstLine="0"/>
        <w:rPr/>
      </w:pPr>
      <w:r>
        <w:rPr>
          <w:bCs/>
        </w:rPr>
        <w:t xml:space="preserve">Государственное бюджетное дошкольное образовательное учреждение детский сад № 20 комбинированного вида Приморского  района Санкт-Петербурга</w:t>
      </w:r>
      <w:r>
        <w:rPr>
          <w:bCs/>
        </w:rPr>
        <w:t xml:space="preserve">, именуемое в дальнейшем «Заказчик», в лице заведующего Скорбящевой Юлии Владимировны, действующего на основании Устава</w:t>
      </w:r>
      <w:r>
        <w:rPr>
          <w:bCs/>
          <w:szCs w:val="24"/>
          <w:lang w:eastAsia="ru-RU"/>
        </w:rPr>
        <w:t xml:space="preserve">,</w:t>
      </w:r>
      <w:r>
        <w:rPr>
          <w:szCs w:val="24"/>
          <w:lang w:eastAsia="ru-RU"/>
        </w:rPr>
        <w:t xml:space="preserve"> с одной стороны и </w:t>
      </w:r>
      <w:r>
        <w:rPr>
          <w:szCs w:val="24"/>
          <w:lang w:eastAsia="ru-RU"/>
        </w:rPr>
        <w:t xml:space="preserve">_______________</w:t>
      </w:r>
      <w:r>
        <w:rPr>
          <w:szCs w:val="24"/>
          <w:lang w:eastAsia="ru-RU"/>
        </w:rPr>
        <w:t xml:space="preserve">, действующего на основании ____________</w:t>
      </w:r>
      <w:r>
        <w:rPr>
          <w:szCs w:val="24"/>
          <w:lang w:eastAsia="ru-RU"/>
        </w:rPr>
        <w:t xml:space="preserve">, именуемое в дальнейшем «Поставщик»  с другой стороны, далее вместе именуемые Стороны, заключили настоящий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 (далее –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)</w:t>
      </w:r>
      <w:r>
        <w:rPr>
          <w:szCs w:val="24"/>
          <w:lang w:eastAsia="ru-RU"/>
        </w:rPr>
        <w:t xml:space="preserve"> о нижеследующем</w:t>
      </w:r>
      <w:r>
        <w:rPr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: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/>
    </w:p>
    <w:p>
      <w:pPr>
        <w:pStyle w:val="931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31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1. Предмет </w:t>
      </w:r>
      <w:r>
        <w:rPr>
          <w:b/>
          <w:bCs/>
          <w:caps/>
          <w:szCs w:val="24"/>
          <w:lang w:eastAsia="ru-RU"/>
        </w:rPr>
        <w:t xml:space="preserve">контракта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31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 поставить и передать в собственность Заказчика </w:t>
      </w:r>
      <w:r>
        <w:rPr>
          <w:rFonts w:eastAsia="Times New Roman"/>
          <w:szCs w:val="24"/>
          <w:lang w:eastAsia="ru-RU"/>
        </w:rPr>
        <w:t xml:space="preserve">на условиях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канцелярские товары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(далее – Товар)</w:t>
      </w:r>
      <w:r>
        <w:rPr>
          <w:rFonts w:eastAsia="Times New Roman"/>
          <w:szCs w:val="24"/>
          <w:lang w:eastAsia="ru-RU"/>
        </w:rPr>
        <w:t xml:space="preserve"> согласно Спецификации</w:t>
      </w:r>
      <w:r>
        <w:rPr>
          <w:rFonts w:eastAsia="Times New Roman"/>
          <w:szCs w:val="24"/>
          <w:lang w:eastAsia="ru-RU"/>
        </w:rPr>
        <w:t xml:space="preserve">, а Заказчик обязуется о</w:t>
      </w:r>
      <w:r>
        <w:rPr>
          <w:rFonts w:eastAsia="Times New Roman"/>
          <w:szCs w:val="24"/>
          <w:lang w:eastAsia="ru-RU"/>
        </w:rPr>
        <w:t xml:space="preserve">платить Товар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Сроки поставки: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Начало поставки: со дня подписания </w:t>
      </w:r>
      <w:r>
        <w:rPr>
          <w:iCs/>
          <w:szCs w:val="24"/>
          <w:lang w:eastAsia="ru-RU"/>
        </w:rPr>
        <w:t xml:space="preserve">Контракта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31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Окончание –</w:t>
      </w:r>
      <w:r>
        <w:rPr>
          <w:b/>
          <w:bCs/>
          <w:iCs/>
          <w:szCs w:val="24"/>
          <w:lang w:eastAsia="ru-RU"/>
        </w:rPr>
        <w:t xml:space="preserve"> </w:t>
      </w:r>
      <w:r>
        <w:rPr>
          <w:b/>
          <w:bCs/>
          <w:iCs/>
          <w:szCs w:val="24"/>
          <w:lang w:eastAsia="ru-RU"/>
        </w:rPr>
        <w:t xml:space="preserve">в течении 15</w:t>
      </w:r>
      <w:r>
        <w:rPr>
          <w:rFonts w:eastAsia="Times New Roman"/>
          <w:b/>
          <w:bCs/>
          <w:szCs w:val="24"/>
          <w:lang w:eastAsia="ru-RU"/>
        </w:rPr>
        <w:t xml:space="preserve"> календарных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bCs/>
          <w:szCs w:val="24"/>
          <w:lang w:eastAsia="ru-RU"/>
        </w:rPr>
        <w:t xml:space="preserve">дней со д</w:t>
      </w:r>
      <w:r>
        <w:rPr>
          <w:rFonts w:eastAsia="Times New Roman"/>
          <w:szCs w:val="24"/>
          <w:lang w:eastAsia="ru-RU"/>
        </w:rPr>
        <w:t xml:space="preserve">ня подписания Контракта</w:t>
      </w:r>
      <w:r>
        <w:rPr>
          <w:iCs/>
          <w:szCs w:val="24"/>
          <w:lang w:eastAsia="ru-RU"/>
        </w:rPr>
        <w:t xml:space="preserve">.</w:t>
      </w:r>
      <w:r>
        <w:rPr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31"/>
        <w:pBdr/>
        <w:tabs>
          <w:tab w:val="left" w:leader="none" w:pos="1134"/>
        </w:tabs>
        <w:spacing/>
        <w:ind w:firstLine="0"/>
        <w:outlineLvl w:val="1"/>
        <w:rPr>
          <w:rFonts w:eastAsia="Times New Roman"/>
          <w:bCs/>
          <w:iCs/>
          <w:szCs w:val="24"/>
          <w:lang w:eastAsia="ru-RU"/>
        </w:rPr>
      </w:pPr>
      <w:r>
        <w:rPr>
          <w:rFonts w:eastAsia="Times New Roman"/>
          <w:bCs/>
          <w:iCs/>
          <w:szCs w:val="24"/>
          <w:lang w:eastAsia="ru-RU"/>
        </w:rPr>
        <w:t xml:space="preserve">Поставка Т</w:t>
      </w:r>
      <w:r>
        <w:rPr>
          <w:rFonts w:eastAsia="Times New Roman"/>
          <w:bCs/>
          <w:iCs/>
          <w:szCs w:val="24"/>
          <w:lang w:eastAsia="ru-RU"/>
        </w:rPr>
        <w:t xml:space="preserve">овара осуществляется единовременно в полном объеме поставки. Точная дата поставки согласуется с Заказчиком.</w:t>
      </w:r>
      <w:r>
        <w:rPr>
          <w:rFonts w:eastAsia="Times New Roman"/>
          <w:bCs/>
          <w:iCs/>
          <w:szCs w:val="24"/>
          <w:lang w:eastAsia="ru-RU"/>
        </w:rPr>
      </w:r>
      <w:r>
        <w:rPr>
          <w:rFonts w:eastAsia="Times New Roman"/>
          <w:bCs/>
          <w:iCs/>
          <w:szCs w:val="24"/>
          <w:lang w:eastAsia="ru-RU"/>
        </w:rPr>
      </w:r>
    </w:p>
    <w:p>
      <w:pPr>
        <w:pStyle w:val="931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1.3. Наименование, количество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ассортимент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и цена Товара определяется в Спецификации (Приложение к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).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426"/>
        <w:rPr>
          <w:szCs w:val="24"/>
          <w:lang w:eastAsia="ru-RU"/>
        </w:rPr>
      </w:pPr>
      <w:r>
        <w:rPr>
          <w:szCs w:val="24"/>
          <w:lang w:eastAsia="ru-RU"/>
        </w:rPr>
        <w:t xml:space="preserve">При исполнении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по согласованию Заказчика с По</w:t>
      </w:r>
      <w:r>
        <w:rPr>
          <w:szCs w:val="24"/>
          <w:lang w:eastAsia="ru-RU"/>
        </w:rPr>
        <w:t xml:space="preserve">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е, без увеличения цены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и/или единицы цены Товара. В этом случае Поставщик обязан письменно подтвердить соответствующие улучшения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tabs>
          <w:tab w:val="left" w:leader="none" w:pos="0"/>
          <w:tab w:val="left" w:leader="none" w:pos="426"/>
        </w:tabs>
        <w:spacing/>
        <w:ind w:firstLine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2. </w:t>
      </w:r>
      <w:r>
        <w:rPr>
          <w:rFonts w:eastAsia="Times New Roman"/>
          <w:b/>
          <w:caps/>
          <w:szCs w:val="24"/>
          <w:lang w:eastAsia="ru-RU"/>
        </w:rPr>
        <w:t xml:space="preserve">Цена и порядок расчетов</w:t>
      </w:r>
      <w:r>
        <w:rPr>
          <w:rFonts w:eastAsia="Times New Roman"/>
          <w:b/>
          <w:szCs w:val="24"/>
          <w:lang w:eastAsia="ru-RU"/>
        </w:rPr>
      </w:r>
      <w:r>
        <w:rPr>
          <w:rFonts w:eastAsia="Times New Roman"/>
          <w:b/>
          <w:szCs w:val="24"/>
          <w:lang w:eastAsia="ru-RU"/>
        </w:rPr>
      </w:r>
    </w:p>
    <w:p>
      <w:pPr>
        <w:pStyle w:val="931"/>
        <w:numPr>
          <w:ilvl w:val="0"/>
          <w:numId w:val="2"/>
        </w:numPr>
        <w:pBdr/>
        <w:spacing/>
        <w:ind/>
        <w:rPr/>
      </w:pPr>
      <w:r>
        <w:t xml:space="preserve">Цена контракта составляет </w:t>
      </w:r>
      <w:r>
        <w:t xml:space="preserve">________________ руб. ____________</w:t>
      </w:r>
      <w:r>
        <w:t xml:space="preserve"> коп.</w:t>
      </w:r>
      <w:r>
        <w:t xml:space="preserve">, НДС не облагается.</w:t>
      </w:r>
      <w:r>
        <w:rPr>
          <w:i/>
        </w:rPr>
        <w:t xml:space="preserve"> </w:t>
      </w:r>
      <w:r/>
    </w:p>
    <w:p>
      <w:pPr>
        <w:pStyle w:val="931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Оплата производится по факту поставки</w:t>
      </w:r>
      <w:r>
        <w:rPr>
          <w:rFonts w:eastAsia="Times New Roman"/>
          <w:szCs w:val="24"/>
          <w:lang w:eastAsia="ru-RU"/>
        </w:rPr>
        <w:t xml:space="preserve"> Товара по Контракту</w:t>
      </w:r>
      <w:r>
        <w:rPr>
          <w:rFonts w:eastAsia="Times New Roman"/>
          <w:szCs w:val="24"/>
          <w:lang w:eastAsia="ru-RU"/>
        </w:rPr>
        <w:t xml:space="preserve">. Заказчик производит оплату путем </w:t>
      </w:r>
      <w:r>
        <w:rPr>
          <w:rFonts w:eastAsia="Times New Roman"/>
          <w:szCs w:val="24"/>
          <w:lang w:eastAsia="ru-RU"/>
        </w:rPr>
        <w:t xml:space="preserve">безналичного </w:t>
      </w:r>
      <w:r>
        <w:rPr>
          <w:rFonts w:eastAsia="Times New Roman"/>
          <w:szCs w:val="24"/>
          <w:lang w:eastAsia="ru-RU"/>
        </w:rPr>
        <w:t xml:space="preserve">перечисления денежных средств на расчетный счет Поставщика на основании выставленного счета, </w:t>
      </w:r>
      <w:r>
        <w:rPr>
          <w:rFonts w:eastAsia="Times New Roman"/>
          <w:i/>
          <w:szCs w:val="24"/>
          <w:lang w:eastAsia="ru-RU"/>
        </w:rPr>
        <w:t xml:space="preserve">счета-фактуры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i/>
          <w:szCs w:val="24"/>
          <w:lang w:eastAsia="ru-RU"/>
        </w:rPr>
        <w:t xml:space="preserve">(если облагается НДС)</w:t>
      </w:r>
      <w:r>
        <w:rPr>
          <w:rFonts w:eastAsia="Times New Roman"/>
          <w:szCs w:val="24"/>
          <w:lang w:eastAsia="ru-RU"/>
        </w:rPr>
        <w:t xml:space="preserve">, подписанной товарной накладной, Акта сдачи-приемки Товара в течение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рабочих </w:t>
      </w:r>
      <w:r>
        <w:rPr>
          <w:rFonts w:eastAsia="Times New Roman"/>
          <w:szCs w:val="24"/>
          <w:lang w:eastAsia="ru-RU"/>
        </w:rPr>
        <w:t xml:space="preserve">дней после подписания </w:t>
      </w:r>
      <w:r>
        <w:rPr>
          <w:rFonts w:eastAsia="Times New Roman"/>
          <w:szCs w:val="24"/>
          <w:lang w:eastAsia="ru-RU"/>
        </w:rPr>
        <w:t xml:space="preserve">Заказчиком Акта сдачи-приемки товаров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Цена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является </w:t>
      </w:r>
      <w:r>
        <w:rPr>
          <w:rFonts w:eastAsia="Times New Roman"/>
          <w:szCs w:val="24"/>
          <w:lang w:eastAsia="ru-RU"/>
        </w:rPr>
        <w:t xml:space="preserve">твердой </w:t>
      </w:r>
      <w:r>
        <w:rPr>
          <w:rFonts w:eastAsia="Times New Roman"/>
          <w:szCs w:val="24"/>
          <w:lang w:eastAsia="ru-RU"/>
        </w:rPr>
        <w:t xml:space="preserve">на весь период действия </w:t>
      </w:r>
      <w:r>
        <w:rPr>
          <w:rFonts w:eastAsia="Times New Roman"/>
          <w:szCs w:val="24"/>
          <w:lang w:eastAsia="ru-RU"/>
        </w:rPr>
        <w:t xml:space="preserve">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и изменению не подлежит</w:t>
      </w:r>
      <w:r>
        <w:rPr>
          <w:rFonts w:eastAsia="Times New Roman"/>
          <w:szCs w:val="24"/>
          <w:lang w:eastAsia="ru-RU"/>
        </w:rPr>
        <w:t xml:space="preserve">, кроме случаев, указанных в настоящем пункте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Изменение цены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допускается только в следующих случаях: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при снижении цены контракта без изменения предусмотренных контрактом количества товара, качества поставляемого товара и иных условий контракта;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rPr>
          <w:iCs/>
        </w:rPr>
      </w:pPr>
      <w:r>
        <w:rPr>
          <w:rFonts w:eastAsia="Times New Roman"/>
          <w:iCs/>
          <w:szCs w:val="24"/>
          <w:lang w:eastAsia="ru-RU"/>
        </w:rPr>
        <w:t xml:space="preserve">       </w:t>
      </w:r>
      <w:r>
        <w:rPr>
          <w:rFonts w:eastAsia="Times New Roman"/>
          <w:iCs/>
          <w:szCs w:val="24"/>
          <w:lang w:eastAsia="ru-RU"/>
        </w:rPr>
        <w:t xml:space="preserve">- если по предложению Заказчика увеличиваются предусмотренные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 или уменьшаются предусмотренные контрактом количество </w:t>
      </w:r>
      <w:r>
        <w:rPr>
          <w:rFonts w:eastAsia="Times New Roman"/>
          <w:iCs/>
          <w:szCs w:val="24"/>
          <w:lang w:eastAsia="ru-RU"/>
        </w:rPr>
        <w:t xml:space="preserve">поставляемого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>
        <w:rPr>
          <w:rFonts w:eastAsia="Times New Roman"/>
          <w:iCs/>
          <w:szCs w:val="24"/>
          <w:lang w:eastAsia="ru-RU"/>
        </w:rPr>
        <w:t xml:space="preserve">количеству товара</w:t>
      </w:r>
      <w:r>
        <w:rPr>
          <w:rFonts w:eastAsia="Times New Roman"/>
          <w:iCs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, но не более чем на десять процентов цены контракта. При уменьшении предусмотренн</w:t>
      </w:r>
      <w:r>
        <w:rPr>
          <w:rFonts w:eastAsia="Times New Roman"/>
          <w:iCs/>
          <w:szCs w:val="24"/>
          <w:lang w:eastAsia="ru-RU"/>
        </w:rPr>
        <w:t xml:space="preserve">ого</w:t>
      </w:r>
      <w:r>
        <w:rPr>
          <w:rFonts w:eastAsia="Times New Roman"/>
          <w:iCs/>
          <w:szCs w:val="24"/>
          <w:lang w:eastAsia="ru-RU"/>
        </w:rPr>
        <w:t xml:space="preserve">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количества поставляемого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товара </w:t>
      </w:r>
      <w:r>
        <w:rPr>
          <w:rFonts w:eastAsia="Times New Roman"/>
          <w:iCs/>
          <w:szCs w:val="24"/>
          <w:lang w:eastAsia="ru-RU"/>
        </w:rPr>
        <w:t xml:space="preserve">стороны контракта обязаны уменьшить цену контракта исходя из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.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</w:t>
      </w:r>
      <w:r>
        <w:rPr>
          <w:iCs/>
          <w:szCs w:val="24"/>
          <w:lang w:eastAsia="ru-RU"/>
        </w:rPr>
        <w:t xml:space="preserve">тракте количество такого товара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931"/>
        <w:pBdr/>
        <w:spacing/>
        <w:ind w:firstLine="426"/>
        <w:rPr>
          <w:szCs w:val="24"/>
          <w:lang w:eastAsia="ru-RU"/>
        </w:rPr>
      </w:pPr>
      <w:r>
        <w:t xml:space="preserve">- по соглашению Стор</w:t>
      </w:r>
      <w:r>
        <w:t xml:space="preserve">он допускается изменение существенных условий Контракта, если при исполнении Контракта возникли независящие от Сторон обстоятельства, влекущие невозможность его исполнения. Предусмотренное настоящим пунктом изменение осуществляется с соблюдением положений </w:t>
      </w:r>
      <w:r>
        <w:fldChar w:fldCharType="begin"/>
      </w:r>
      <w:r>
        <w:instrText xml:space="preserve"> HYPERLINK "https://login.consultant.ru/link/?req=doc&amp;demo=2&amp;base=LAW&amp;n=411149&amp;dst=2987&amp;field=134&amp;date=14.03.2022" </w:instrText>
      </w:r>
      <w:r>
        <w:fldChar w:fldCharType="separate"/>
      </w:r>
      <w:r>
        <w:t xml:space="preserve">частей 1.3</w:t>
      </w:r>
      <w:r>
        <w:fldChar w:fldCharType="end"/>
      </w:r>
      <w:r>
        <w:t xml:space="preserve"> - </w:t>
      </w:r>
      <w:r>
        <w:fldChar w:fldCharType="begin"/>
      </w:r>
      <w:r>
        <w:instrText xml:space="preserve"> HYPERLINK "https://login.consultant.ru/link/?req=doc&amp;demo=2&amp;base=LAW&amp;n=411149&amp;dst=2994&amp;field=134&amp;date=14.03.2022" </w:instrText>
      </w:r>
      <w:r>
        <w:fldChar w:fldCharType="separate"/>
      </w:r>
      <w:r>
        <w:t xml:space="preserve">1.6 статьи 95</w:t>
      </w:r>
      <w:r>
        <w:fldChar w:fldCharType="end"/>
      </w:r>
      <w:r>
        <w:t xml:space="preserve"> Федерального закона от 05.04.2013 № 44-ФЗ (то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контракта) на основании решения Правительства СанктПетербурга.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  <w:lang w:eastAsia="ru-RU"/>
        </w:rPr>
        <w:t xml:space="preserve">В</w:t>
      </w:r>
      <w:r>
        <w:rPr>
          <w:szCs w:val="24"/>
          <w:lang w:eastAsia="ru-RU"/>
        </w:rPr>
        <w:t xml:space="preserve"> случае неисполнения или ненадлежащего исполнения настоящего </w:t>
      </w:r>
      <w:r>
        <w:rPr>
          <w:szCs w:val="24"/>
          <w:lang w:eastAsia="ru-RU"/>
        </w:rPr>
        <w:t xml:space="preserve">Контракта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Поставщиком </w:t>
      </w:r>
      <w:r>
        <w:t xml:space="preserve">Заказчик вправе удержать сумму неустоек из суммы, подлежащей оплате Поставщику</w:t>
      </w:r>
      <w:r>
        <w:rPr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szCs w:val="24"/>
          <w:lang w:eastAsia="ru-RU"/>
        </w:rPr>
      </w:pPr>
      <w:r>
        <w:rPr>
          <w:szCs w:val="24"/>
        </w:rPr>
        <w:t xml:space="preserve">Источник финансирования: финансирование по настоящему контракту осуществляется за счёт внебюджетных средств.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i/>
          <w:szCs w:val="24"/>
          <w:lang w:eastAsia="ru-RU"/>
        </w:rPr>
      </w:pPr>
      <w:r>
        <w:t xml:space="preserve">Сумма, подлежащей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eastAsia="Times New Roman"/>
          <w:i/>
          <w:szCs w:val="24"/>
          <w:lang w:eastAsia="ru-RU"/>
        </w:rPr>
      </w:r>
      <w:r>
        <w:rPr>
          <w:rFonts w:eastAsia="Times New Roman"/>
          <w:i/>
          <w:szCs w:val="24"/>
          <w:lang w:eastAsia="ru-RU"/>
        </w:rPr>
      </w:r>
    </w:p>
    <w:p>
      <w:pPr>
        <w:pStyle w:val="931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3. Условия поставки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31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осуществляет поставку в соответствии с </w:t>
      </w:r>
      <w:r>
        <w:rPr>
          <w:rFonts w:eastAsia="Times New Roman"/>
          <w:szCs w:val="24"/>
          <w:lang w:eastAsia="ru-RU"/>
        </w:rPr>
        <w:t xml:space="preserve">условиями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своими силами и средствами осуществляет доставку, </w:t>
      </w:r>
      <w:r>
        <w:rPr>
          <w:rFonts w:eastAsia="Times New Roman"/>
          <w:szCs w:val="24"/>
          <w:lang w:eastAsia="ru-RU"/>
        </w:rPr>
        <w:t xml:space="preserve">п</w:t>
      </w:r>
      <w:r>
        <w:rPr>
          <w:rFonts w:eastAsia="Times New Roman"/>
          <w:szCs w:val="24"/>
          <w:lang w:eastAsia="ru-RU"/>
        </w:rPr>
        <w:t xml:space="preserve">огрузо-разгрузочные работы</w:t>
      </w:r>
      <w:r>
        <w:rPr>
          <w:rFonts w:eastAsia="Times New Roman"/>
          <w:szCs w:val="24"/>
          <w:lang w:eastAsia="ru-RU"/>
        </w:rPr>
        <w:t xml:space="preserve">, </w:t>
      </w:r>
      <w:r>
        <w:rPr>
          <w:rFonts w:eastAsia="Times New Roman"/>
          <w:iCs/>
          <w:szCs w:val="24"/>
          <w:lang w:eastAsia="ru-RU"/>
        </w:rPr>
        <w:t xml:space="preserve">подъем на этаж Товара, до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места</w:t>
      </w:r>
      <w:r>
        <w:rPr>
          <w:rFonts w:eastAsia="Times New Roman"/>
          <w:iCs/>
          <w:szCs w:val="24"/>
          <w:lang w:eastAsia="ru-RU"/>
        </w:rPr>
        <w:t xml:space="preserve">,</w:t>
      </w:r>
      <w:r>
        <w:rPr>
          <w:rFonts w:eastAsia="Times New Roman"/>
          <w:iCs/>
          <w:szCs w:val="24"/>
          <w:lang w:eastAsia="ru-RU"/>
        </w:rPr>
        <w:t xml:space="preserve"> указанного Заказчиком, согласно перечню, разбивка по адресам, согласовывается с Заказчиком,</w:t>
      </w:r>
      <w:r>
        <w:rPr>
          <w:rFonts w:eastAsia="Times New Roman"/>
          <w:i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непосредственно по адресам: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Bdr/>
        <w:tabs>
          <w:tab w:val="left" w:leader="none" w:pos="426"/>
        </w:tabs>
        <w:spacing/>
        <w:ind w:firstLine="0" w:left="0"/>
        <w:rPr>
          <w:rFonts w:eastAsia="Times New Roman"/>
          <w:lang w:eastAsia="ru-RU"/>
        </w:rPr>
      </w:pPr>
      <w:r>
        <w:rPr>
          <w:rFonts w:eastAsia="Times New Roman"/>
          <w:szCs w:val="24"/>
          <w:highlight w:val="none"/>
          <w:lang w:eastAsia="ru-RU"/>
        </w:rPr>
        <w:t xml:space="preserve">__________________________________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Доставка Товара подтверждается подписанием сторонами товарных накладных.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Право собственности на Товар переходит к Заказчику с момента подписания им Акта сдачи-приемки Товара, который подписывается по око</w:t>
      </w:r>
      <w:r>
        <w:rPr>
          <w:rFonts w:eastAsia="Times New Roman"/>
          <w:szCs w:val="24"/>
          <w:lang w:eastAsia="ru-RU"/>
        </w:rPr>
        <w:t xml:space="preserve">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Недопоставленный и/или поставленный с ненадлежащим качеством и/или в ненадлежащей ком</w:t>
      </w:r>
      <w:r>
        <w:rPr>
          <w:rFonts w:eastAsia="Times New Roman"/>
          <w:szCs w:val="24"/>
          <w:lang w:eastAsia="ru-RU"/>
        </w:rPr>
        <w:t xml:space="preserve">плектации Товар оформляется соответствующим Актом,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подписания, с уведомлением Поставщика.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4. Права и обязанности сторон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31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4.1.1. В полном объеме и в сроки, предусмотренные п. 1.2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соответствующим приложенной 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спецификации.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4.1.2. При выявлении недопоставки Товара восполнить недопоставленное</w:t>
      </w:r>
      <w:r>
        <w:rPr>
          <w:rFonts w:eastAsia="Times New Roman"/>
          <w:szCs w:val="24"/>
          <w:lang w:eastAsia="ru-RU"/>
        </w:rPr>
        <w:t xml:space="preserve"> количество Товара в течение 3</w:t>
      </w:r>
      <w:r>
        <w:rPr>
          <w:rFonts w:eastAsia="Times New Roman"/>
          <w:szCs w:val="24"/>
          <w:lang w:eastAsia="ru-RU"/>
        </w:rPr>
        <w:t xml:space="preserve"> (трех) рабочих дней с момента подписания соответствующего Акта.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4.1.3. При выявлении поставки Товара ненадлежащего качества заменить его на Товар надлежащего качества в течение 5 (пяти) рабочих дней со дня подписания Акта наличия дефектов.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>
        <w:rPr>
          <w:rFonts w:eastAsia="Times New Roman"/>
          <w:szCs w:val="24"/>
          <w:lang w:eastAsia="ru-RU"/>
        </w:rPr>
        <w:t xml:space="preserve">разделом</w:t>
      </w:r>
      <w:r>
        <w:rPr>
          <w:rFonts w:eastAsia="Times New Roman"/>
          <w:szCs w:val="24"/>
          <w:lang w:eastAsia="ru-RU"/>
        </w:rPr>
        <w:t xml:space="preserve"> 2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вправе, уведомив Поставщика, отказаться от приемки Товара, поставка которого просрочена по вине Поставщика, требовать исполнения обязательств Поставщиком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в полном объеме.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по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в полном объеме.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5.</w:t>
      </w:r>
      <w:r>
        <w:rPr>
          <w:rFonts w:eastAsia="Times New Roman"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Качество Товара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31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Требования к качеству Товара, комплектности, маркировке</w:t>
      </w:r>
      <w:r>
        <w:t xml:space="preserve"> </w:t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>
        <w:t xml:space="preserve">1</w:t>
      </w:r>
      <w:r>
        <w:t xml:space="preserve"> к Контракту).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Приемка Товара </w:t>
      </w:r>
      <w:r>
        <w:rPr>
          <w:rFonts w:eastAsia="Times New Roman"/>
          <w:szCs w:val="24"/>
          <w:lang w:eastAsia="ru-RU"/>
        </w:rPr>
        <w:t xml:space="preserve">на соответствие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 наименованию, </w:t>
      </w:r>
      <w:r>
        <w:rPr>
          <w:rFonts w:eastAsia="Times New Roman"/>
          <w:szCs w:val="24"/>
          <w:lang w:eastAsia="ru-RU"/>
        </w:rPr>
        <w:t xml:space="preserve">комплектности, качеству,</w:t>
      </w:r>
      <w:r>
        <w:rPr>
          <w:rFonts w:eastAsia="Times New Roman"/>
          <w:szCs w:val="24"/>
          <w:lang w:eastAsia="ru-RU"/>
        </w:rPr>
        <w:t xml:space="preserve"> количеству </w:t>
      </w:r>
      <w:r>
        <w:rPr>
          <w:rFonts w:eastAsia="Times New Roman"/>
          <w:szCs w:val="24"/>
          <w:lang w:eastAsia="ru-RU"/>
        </w:rPr>
        <w:t xml:space="preserve">и иным требованиям </w:t>
      </w:r>
      <w:r>
        <w:rPr>
          <w:rFonts w:eastAsia="Times New Roman"/>
          <w:szCs w:val="24"/>
          <w:lang w:eastAsia="ru-RU"/>
        </w:rPr>
        <w:t xml:space="preserve">осуществляется в строгом соответствии с требованием действующего гражданского законодательства РФ.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5.</w:t>
      </w:r>
      <w:r>
        <w:rPr>
          <w:rFonts w:eastAsia="Times New Roman"/>
          <w:szCs w:val="24"/>
          <w:lang w:eastAsia="ru-RU"/>
        </w:rPr>
        <w:t xml:space="preserve">3</w:t>
      </w:r>
      <w:r>
        <w:rPr>
          <w:rFonts w:eastAsia="Times New Roman"/>
          <w:szCs w:val="24"/>
          <w:lang w:eastAsia="ru-RU"/>
        </w:rPr>
        <w:t xml:space="preserve">. Поставщик гарантирует Заказчику соответствие качества поставляемого им Товара функциональным (потребительским свойствам) и </w:t>
      </w:r>
      <w:r>
        <w:rPr>
          <w:rFonts w:eastAsia="Times New Roman"/>
          <w:szCs w:val="24"/>
          <w:lang w:eastAsia="ru-RU"/>
        </w:rPr>
        <w:t xml:space="preserve">иным</w:t>
      </w:r>
      <w:r>
        <w:rPr>
          <w:rFonts w:eastAsia="Times New Roman"/>
          <w:szCs w:val="24"/>
          <w:lang w:eastAsia="ru-RU"/>
        </w:rPr>
        <w:t xml:space="preserve"> характеристикам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и условиям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</w:t>
      </w:r>
      <w:r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5.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. Гарантийный срок на поставляемый товар </w:t>
      </w:r>
      <w:r>
        <w:rPr>
          <w:rFonts w:eastAsia="Times New Roman"/>
          <w:color w:val="000000"/>
          <w:szCs w:val="24"/>
          <w:lang w:eastAsia="ru-RU"/>
        </w:rPr>
        <w:t xml:space="preserve">– 2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 месяц</w:t>
      </w:r>
      <w:r>
        <w:rPr>
          <w:rFonts w:eastAsia="Times New Roman"/>
          <w:color w:val="000000"/>
          <w:szCs w:val="24"/>
          <w:lang w:eastAsia="ru-RU"/>
        </w:rPr>
        <w:t xml:space="preserve">а</w:t>
      </w:r>
      <w:r>
        <w:rPr>
          <w:rFonts w:eastAsia="Times New Roman"/>
          <w:color w:val="000000"/>
          <w:szCs w:val="24"/>
          <w:lang w:eastAsia="ru-RU"/>
        </w:rPr>
        <w:t xml:space="preserve"> с</w:t>
      </w:r>
      <w:r>
        <w:rPr>
          <w:rFonts w:eastAsia="Times New Roman"/>
          <w:color w:val="000000"/>
          <w:szCs w:val="24"/>
          <w:lang w:eastAsia="ru-RU"/>
        </w:rPr>
        <w:t xml:space="preserve">о дня подписания Сторонами Акта сдачи-приемки </w:t>
      </w:r>
      <w:r>
        <w:rPr>
          <w:rFonts w:eastAsia="Times New Roman"/>
          <w:color w:val="000000"/>
          <w:szCs w:val="24"/>
          <w:lang w:eastAsia="ru-RU"/>
        </w:rPr>
        <w:t xml:space="preserve">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6. Сдача-приемка Товара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в транспортных и сопроводительных документах по: наименованию, </w:t>
      </w:r>
      <w:r>
        <w:rPr>
          <w:rFonts w:eastAsia="Times New Roman"/>
          <w:szCs w:val="24"/>
          <w:lang w:eastAsia="ru-RU"/>
        </w:rPr>
        <w:t xml:space="preserve">ассортименту, комплектности,</w:t>
      </w:r>
      <w:r>
        <w:rPr>
          <w:rFonts w:eastAsia="Times New Roman"/>
          <w:szCs w:val="24"/>
          <w:lang w:eastAsia="ru-RU"/>
        </w:rPr>
        <w:t xml:space="preserve"> количеству, качеству, требованиям к маркировке, таре и упаковке.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6.2. </w:t>
      </w:r>
      <w:r>
        <w:rPr>
          <w:rFonts w:eastAsia="Times New Roman"/>
          <w:szCs w:val="24"/>
          <w:lang w:eastAsia="ru-RU"/>
        </w:rPr>
        <w:t xml:space="preserve">В день доставки Товара Заказчик</w:t>
      </w:r>
      <w:r>
        <w:rPr>
          <w:rFonts w:eastAsia="Times New Roman"/>
          <w:szCs w:val="24"/>
          <w:lang w:eastAsia="ru-RU"/>
        </w:rPr>
        <w:t xml:space="preserve"> осуществляет приемку Товара по количеству упаковок Товара, комплекту, явным видимым поврежде</w:t>
      </w:r>
      <w:r>
        <w:rPr>
          <w:rFonts w:eastAsia="Times New Roman"/>
          <w:szCs w:val="24"/>
          <w:lang w:eastAsia="ru-RU"/>
        </w:rPr>
        <w:t xml:space="preserve">ниям упаковки и качеству Товара.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Товар на период проведения </w:t>
      </w:r>
      <w:r>
        <w:rPr>
          <w:rFonts w:eastAsia="Times New Roman"/>
          <w:szCs w:val="24"/>
          <w:lang w:eastAsia="ru-RU"/>
        </w:rPr>
        <w:t xml:space="preserve">сдачи-приемки</w:t>
      </w:r>
      <w:r>
        <w:rPr>
          <w:rFonts w:eastAsia="Times New Roman"/>
          <w:szCs w:val="24"/>
          <w:lang w:eastAsia="ru-RU"/>
        </w:rPr>
        <w:t xml:space="preserve"> находится у Заказчика</w:t>
      </w:r>
      <w:r>
        <w:rPr>
          <w:rFonts w:eastAsia="Times New Roman"/>
          <w:szCs w:val="24"/>
          <w:lang w:eastAsia="ru-RU"/>
        </w:rPr>
        <w:t xml:space="preserve"> на ответственном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6.3. </w:t>
      </w:r>
      <w:r>
        <w:rPr>
          <w:rFonts w:eastAsia="Times New Roman"/>
          <w:szCs w:val="24"/>
          <w:lang w:eastAsia="ru-RU"/>
        </w:rPr>
        <w:t xml:space="preserve">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</w:t>
      </w:r>
      <w:r>
        <w:rPr>
          <w:rFonts w:eastAsia="Times New Roman"/>
          <w:szCs w:val="24"/>
          <w:lang w:eastAsia="ru-RU"/>
        </w:rPr>
        <w:t xml:space="preserve">иемке.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6.4.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проводит экспертизу поставленного Товара на соответствие условиям Контракта. Экспертиза проводится Заказчиком своими силами за свой счет или к</w:t>
      </w:r>
      <w:r>
        <w:rPr>
          <w:rFonts w:eastAsia="Times New Roman"/>
          <w:szCs w:val="24"/>
          <w:lang w:eastAsia="ru-RU"/>
        </w:rPr>
        <w:t xml:space="preserve"> проведению экспертизы могут быть привлечены эксперты или экспертные организации. Приемка Товара по акту сдачи-приемки свидетельствует о проведении Заказчиком экспертизы своими силами и не требует составления отдельного документа по результатам экспертизы.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6.5.</w:t>
      </w:r>
      <w:r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Акт сдачи-приемки.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Товарная накладная подписывается в день доставки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Акт сдачи-приемки подписывается по окончании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i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 xml:space="preserve">но не ранее устранения всех недостатков.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6.6. </w:t>
      </w:r>
      <w:r>
        <w:rPr>
          <w:rFonts w:eastAsia="Times New Roman"/>
          <w:szCs w:val="24"/>
          <w:lang w:eastAsia="ru-RU"/>
        </w:rPr>
        <w:t xml:space="preserve">Акт сдачи приемки подписывается Сторонами в следующем порядке: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вместе с Товаром передает Заказчику для подписания акт сдачи-приемки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обязан в течение 3 рабочих дней после получения акта сдачи-приемки товара от Поставщика при отсутствии претензий подписать такой акт либо направить Поставщику мотивированный отказ от его подписания.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случае выявления нарушений Стороны незамедлительно составляют об этом соответствующий акт, в котором указывается перечень нарушений и сроки их устранения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6.7. </w:t>
      </w:r>
      <w:r>
        <w:rPr>
          <w:rFonts w:eastAsia="Times New Roman"/>
          <w:szCs w:val="24"/>
          <w:lang w:eastAsia="ru-RU"/>
        </w:rPr>
        <w:t xml:space="preserve">Акт сдачи-приемки Товара подписывается не ранее устранения всех нарушений.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6.8. </w:t>
      </w:r>
      <w:r>
        <w:rPr>
          <w:rFonts w:eastAsia="Times New Roman"/>
          <w:szCs w:val="24"/>
          <w:lang w:eastAsia="ru-RU"/>
        </w:rPr>
        <w:t xml:space="preserve">Датой поставки считается дата, указанная в акте сдачи-приемки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6.9. </w:t>
      </w:r>
      <w:r>
        <w:rPr>
          <w:rFonts w:eastAsia="Times New Roman"/>
          <w:szCs w:val="24"/>
          <w:lang w:eastAsia="ru-RU"/>
        </w:rPr>
        <w:t xml:space="preserve">Внесение каких-либо изменений в текст товарной накладной и 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кт сдачи-приемки после их подписания в одностороннем порядке не допускается. Внесение любых исправлений может осущест</w:t>
      </w:r>
      <w:r>
        <w:rPr>
          <w:rFonts w:eastAsia="Times New Roman"/>
          <w:szCs w:val="24"/>
          <w:lang w:eastAsia="ru-RU"/>
        </w:rPr>
        <w:t xml:space="preserve">вляться только по согласованию С</w:t>
      </w:r>
      <w:r>
        <w:rPr>
          <w:rFonts w:eastAsia="Times New Roman"/>
          <w:szCs w:val="24"/>
          <w:lang w:eastAsia="ru-RU"/>
        </w:rPr>
        <w:t xml:space="preserve">торон и должно быть удостоверено подписями их уполномоченных представителей.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6.10. </w:t>
      </w:r>
      <w:r>
        <w:rPr>
          <w:rFonts w:eastAsia="Times New Roman"/>
          <w:szCs w:val="24"/>
          <w:lang w:eastAsia="ru-RU"/>
        </w:rPr>
        <w:t xml:space="preserve">Поставщик обязан восполнить недопоставленный Товар либо заменить Товар ненадлежащего качества в порядке, предусмотренном п. 4.1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6.11. </w:t>
      </w:r>
      <w:r>
        <w:rPr>
          <w:rFonts w:eastAsia="Times New Roman"/>
          <w:szCs w:val="24"/>
          <w:lang w:eastAsia="ru-RU"/>
        </w:rPr>
        <w:t xml:space="preserve">Приемка Товара без проверки не лишает Заказчика права ссылаться на недостатки, которые могли быть обнаружены при приемке.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7. Тара и упаковка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Тара и упаковка должны обеспечивать сохранность товара при его транспортировке и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при приемке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8. Ответственность сторон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numPr>
          <w:ilvl w:val="1"/>
          <w:numId w:val="19"/>
        </w:numPr>
        <w:pBdr/>
        <w:spacing/>
        <w:ind w:firstLine="0" w:left="0"/>
        <w:rPr/>
      </w:pPr>
      <w: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>
        <w:t xml:space="preserve"> </w:t>
      </w:r>
      <w:r/>
    </w:p>
    <w:p>
      <w:pPr>
        <w:pStyle w:val="931"/>
        <w:pBdr/>
        <w:spacing/>
        <w:ind w:firstLine="0"/>
        <w:rPr/>
      </w:pPr>
      <w:r>
        <w:t xml:space="preserve">Размеры неустоек (штрафы, пени) о</w:t>
      </w:r>
      <w:r>
        <w:t xml:space="preserve">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</w:t>
      </w:r>
      <w:r>
        <w:t xml:space="preserve">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r/>
    </w:p>
    <w:p>
      <w:pPr>
        <w:pStyle w:val="931"/>
        <w:numPr>
          <w:ilvl w:val="1"/>
          <w:numId w:val="20"/>
        </w:numPr>
        <w:pBdr/>
        <w:spacing/>
        <w:ind w:firstLine="0" w:left="0"/>
        <w:rPr/>
      </w:pPr>
      <w:r>
        <w:t xml:space="preserve">Пени</w:t>
      </w:r>
      <w:r>
        <w:t xml:space="preserve"> в размере 1/300 (одной трехсотой) действующей на дату уплаты пеней ключевой ставки Центрального банка Р</w:t>
      </w:r>
      <w:r>
        <w:t xml:space="preserve">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/>
    </w:p>
    <w:p>
      <w:pPr>
        <w:pStyle w:val="931"/>
        <w:pBdr/>
        <w:spacing/>
        <w:ind w:firstLine="0"/>
        <w:rPr/>
      </w:pP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  <w:r/>
    </w:p>
    <w:p>
      <w:pPr>
        <w:pStyle w:val="931"/>
        <w:numPr>
          <w:ilvl w:val="1"/>
          <w:numId w:val="21"/>
        </w:numPr>
        <w:pBdr/>
        <w:spacing/>
        <w:ind w:firstLine="0" w:left="0"/>
        <w:rPr/>
      </w:pPr>
      <w:r>
        <w:t xml:space="preserve">Пени начисляю</w:t>
      </w:r>
      <w:r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 xml:space="preserve">действующей на дату уплаты пеней</w:t>
      </w:r>
      <w:r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  <w:r/>
    </w:p>
    <w:p>
      <w:pPr>
        <w:pStyle w:val="931"/>
        <w:pBdr/>
        <w:spacing/>
        <w:ind w:firstLine="0"/>
        <w:rPr/>
      </w:pPr>
      <w:r>
        <w:t xml:space="preserve">За каждый факт неисполнения или ненадлежащего исполнения Поставщиком обязательств, </w:t>
      </w:r>
      <w:r>
        <w:t xml:space="preserve">предусмотренных Контрактом, за исключением просрочки исполнения обязательств </w:t>
      </w:r>
      <w:r>
        <w:t xml:space="preserve">(в том числе гарантийного обязательства)</w:t>
      </w:r>
      <w:r>
        <w:t xml:space="preserve">,</w:t>
      </w:r>
      <w:r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>
        <w:t xml:space="preserve">% цены контракта и составляет </w:t>
      </w:r>
      <w:r>
        <w:t xml:space="preserve">15 075,00 рублей</w:t>
      </w:r>
      <w:r>
        <w:t xml:space="preserve">.</w:t>
      </w:r>
      <w:r/>
    </w:p>
    <w:p>
      <w:pPr>
        <w:pStyle w:val="931"/>
        <w:pBdr/>
        <w:spacing/>
        <w:ind w:firstLine="0"/>
        <w:rPr/>
      </w:pPr>
      <w:r>
        <w:t xml:space="preserve">За каждый факт неисполнения или ненад</w:t>
      </w:r>
      <w:r>
        <w:t xml:space="preserve">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  <w:r/>
    </w:p>
    <w:p>
      <w:pPr>
        <w:pStyle w:val="931"/>
        <w:numPr>
          <w:ilvl w:val="1"/>
          <w:numId w:val="21"/>
        </w:numPr>
        <w:pBdr/>
        <w:spacing/>
        <w:ind w:firstLine="0" w:left="0"/>
        <w:rPr/>
      </w:pPr>
      <w:r>
        <w:t xml:space="preserve">Общая сумма начисленной неустойки (штра</w:t>
      </w:r>
      <w:r>
        <w:t xml:space="preserve">фов, пеней</w:t>
      </w:r>
      <w:r>
        <w:t xml:space="preserve">) за неисполнение или ненадлежащее исполнение Поставщиком обязательств, предусмотренных Контрактом, не может превышать цену Контракта.</w:t>
      </w:r>
      <w:r/>
    </w:p>
    <w:p>
      <w:pPr>
        <w:pStyle w:val="931"/>
        <w:pBdr/>
        <w:spacing/>
        <w:ind w:firstLine="0"/>
        <w:rPr/>
      </w:pPr>
      <w:r>
        <w:t xml:space="preserve">Общая сумм</w:t>
      </w:r>
      <w:r>
        <w:t xml:space="preserve">а начисленной неустойки (штрафов, пеней</w:t>
      </w:r>
      <w:r>
        <w:t xml:space="preserve">)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pStyle w:val="931"/>
        <w:numPr>
          <w:ilvl w:val="1"/>
          <w:numId w:val="21"/>
        </w:numPr>
        <w:pBdr/>
        <w:spacing/>
        <w:ind w:firstLine="0" w:left="0"/>
        <w:rPr/>
      </w:pPr>
      <w:r>
        <w:t xml:space="preserve">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</w:t>
      </w:r>
      <w:r>
        <w:t xml:space="preserve">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  <w:r/>
    </w:p>
    <w:p>
      <w:pPr>
        <w:pStyle w:val="931"/>
        <w:numPr>
          <w:ilvl w:val="1"/>
          <w:numId w:val="21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t xml:space="preserve">Сторона</w:t>
      </w:r>
      <w:r>
        <w:t xml:space="preserve"> освобожда</w:t>
      </w:r>
      <w:r>
        <w:t xml:space="preserve">ется от уплаты неустойки (штрафов</w:t>
      </w:r>
      <w:r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</w:t>
      </w:r>
      <w: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31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9. Порядок рассмотрения споров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а также и из него вытекающие, Стороны решают путем переговоров; если </w:t>
      </w:r>
      <w:r>
        <w:rPr>
          <w:rFonts w:eastAsia="Times New Roman"/>
          <w:szCs w:val="24"/>
          <w:lang w:eastAsia="ru-RU"/>
        </w:rPr>
        <w:t xml:space="preserve">договор</w:t>
      </w:r>
      <w:r>
        <w:rPr>
          <w:rFonts w:eastAsia="Times New Roman"/>
          <w:szCs w:val="24"/>
          <w:lang w:eastAsia="ru-RU"/>
        </w:rPr>
        <w:t xml:space="preserve">енности</w:t>
      </w:r>
      <w:r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области.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31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уведомлением о вручении по адресам, указаны в разделе 1</w:t>
      </w:r>
      <w:r>
        <w:rPr>
          <w:rFonts w:eastAsia="Times New Roman"/>
          <w:szCs w:val="24"/>
          <w:lang w:eastAsia="ru-RU"/>
        </w:rPr>
        <w:t xml:space="preserve">5</w:t>
      </w:r>
      <w:r>
        <w:rPr>
          <w:rFonts w:eastAsia="Times New Roman"/>
          <w:szCs w:val="24"/>
          <w:lang w:eastAsia="ru-RU"/>
        </w:rPr>
        <w:t xml:space="preserve">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стороны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10. Срок действия </w:t>
      </w:r>
      <w:r>
        <w:rPr>
          <w:rFonts w:eastAsia="Times New Roman"/>
          <w:b/>
          <w:caps/>
          <w:szCs w:val="24"/>
          <w:lang w:eastAsia="ru-RU"/>
        </w:rPr>
        <w:t xml:space="preserve">контракта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вступает в силу со </w:t>
      </w:r>
      <w:r>
        <w:rPr>
          <w:rFonts w:eastAsia="Times New Roman"/>
          <w:szCs w:val="24"/>
          <w:lang w:eastAsia="ru-RU"/>
        </w:rPr>
        <w:t xml:space="preserve">дня его подписания и действует п</w:t>
      </w:r>
      <w:r>
        <w:rPr>
          <w:rFonts w:eastAsia="Times New Roman"/>
          <w:szCs w:val="24"/>
          <w:lang w:eastAsia="ru-RU"/>
        </w:rPr>
        <w:t xml:space="preserve">о 31.12.</w:t>
      </w:r>
      <w:r>
        <w:rPr>
          <w:rFonts w:eastAsia="Times New Roman"/>
          <w:szCs w:val="24"/>
          <w:lang w:eastAsia="ru-RU"/>
        </w:rPr>
        <w:t xml:space="preserve">202</w:t>
      </w:r>
      <w:r>
        <w:rPr>
          <w:rFonts w:eastAsia="Times New Roman"/>
          <w:szCs w:val="24"/>
          <w:lang w:eastAsia="ru-RU"/>
        </w:rPr>
        <w:t xml:space="preserve">6.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Прекращение срока действия контракта не влечет прекращение обязательств, принятых на себя Сторонами при его исполнении.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11. РАСТОРЖЕНИЕ </w:t>
      </w:r>
      <w:r>
        <w:rPr>
          <w:b/>
          <w:szCs w:val="24"/>
          <w:lang w:eastAsia="ru-RU"/>
        </w:rPr>
        <w:t xml:space="preserve">КОНТРАКТА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31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может быть расторгнут до окончания срока его действия по соглашению Сторон, по решению суда, в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случаях предусмотренных действующим гражданским законодательством РФ, либо в одностороннем порядке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 в одностороннем порядке </w:t>
      </w:r>
      <w:r>
        <w:rPr>
          <w:rFonts w:eastAsia="Times New Roman"/>
          <w:szCs w:val="24"/>
          <w:lang w:eastAsia="ru-RU"/>
        </w:rPr>
        <w:t xml:space="preserve">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случае следующих </w:t>
      </w:r>
      <w:r>
        <w:rPr>
          <w:rFonts w:eastAsia="Times New Roman"/>
          <w:szCs w:val="24"/>
          <w:lang w:eastAsia="ru-RU"/>
        </w:rPr>
        <w:t xml:space="preserve">существенных </w:t>
      </w:r>
      <w:r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задержка поставки товара более чем на 10 (десять) рабочих дней по причинам, не зависящим от Заказчика;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указанного в п. 4.1.2.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;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Товар ненадлежащего качества не заменен по истечении срока, указанного в п. 4.1.3.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расторжения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законодательством.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</w:t>
      </w:r>
      <w:r>
        <w:rPr>
          <w:rFonts w:eastAsia="Times New Roman"/>
          <w:szCs w:val="24"/>
          <w:lang w:eastAsia="ru-RU"/>
        </w:rPr>
        <w:t xml:space="preserve">Гражданским кодексом РФ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(отказаться от исполнения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срока </w:t>
      </w:r>
      <w:r>
        <w:rPr>
          <w:rFonts w:eastAsia="Times New Roman"/>
          <w:szCs w:val="24"/>
          <w:lang w:eastAsia="ru-RU"/>
        </w:rPr>
        <w:t xml:space="preserve">расторжения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одностороннего расторжения (одностороннего отказа от исполнения контракта) регулируется действующим на момент исполнения контракта законодательством.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12. Форс-Мажор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8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12.1.</w:t>
      </w:r>
      <w:r>
        <w:rPr>
          <w:sz w:val="22"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</w:t>
      </w:r>
      <w:r>
        <w:rPr>
          <w:szCs w:val="24"/>
          <w:lang w:eastAsia="ru-RU"/>
        </w:rPr>
        <w:t xml:space="preserve">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8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Таковыми являются, в том числе, но не исключительно: землетрясения, пожары, наводнения, забастовки, </w:t>
      </w:r>
      <w:r>
        <w:rPr>
          <w:szCs w:val="24"/>
          <w:lang w:eastAsia="ru-RU"/>
        </w:rPr>
        <w:t xml:space="preserve">эпидемии, изменения действующего законодательства, влияющие на исполнение обязательств по настоящему Контракту, другие непредвиденные обстоятельства. Наступление указанных в настоящем пункте обстоятельств должно подтверждаться соответствующими документами.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8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12.2. В случа</w:t>
      </w:r>
      <w:r>
        <w:rPr>
          <w:szCs w:val="24"/>
          <w:lang w:eastAsia="ru-RU"/>
        </w:rPr>
        <w:t xml:space="preserve">е наступления обстоятельств, указанных в п.12.1. Контракта, сторона, которая не в состоянии исполнить обязательства, взятые на себя по настоящему Контракту, должна в течение 5 рабочих дней сообщить об этих обстоятельствах другой стороне в письменной форме.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8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12.3. С момента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13. </w:t>
      </w:r>
      <w:r>
        <w:rPr>
          <w:b/>
          <w:caps/>
          <w:szCs w:val="24"/>
          <w:lang w:eastAsia="ru-RU"/>
        </w:rPr>
        <w:t xml:space="preserve">Антикоррупционная оговорка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31"/>
        <w:widowControl w:val="false"/>
        <w:numPr>
          <w:ilvl w:val="1"/>
          <w:numId w:val="16"/>
        </w:numPr>
        <w:pBdr/>
        <w:spacing/>
        <w:ind w:right="20" w:firstLine="0" w:left="0"/>
        <w:rPr>
          <w:shd w:val="clear" w:color="auto" w:fill="ffffff"/>
        </w:rPr>
      </w:pPr>
      <w:r>
        <w:rPr>
          <w:shd w:val="clear" w:color="auto" w:fill="ffffff"/>
        </w:rPr>
        <w:t xml:space="preserve">При исполнении своих обязательств по Контракту Стороны обязуются </w:t>
        <w:br w:type="textWrapping" w:clear="all"/>
        <w:t xml:space="preserve"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31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</w:t>
      </w:r>
      <w:r>
        <w:rPr>
          <w:shd w:val="clear" w:color="auto" w:fill="ffffff"/>
        </w:rPr>
        <w:t xml:space="preserve">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</w:t>
      </w:r>
      <w:r>
        <w:rPr>
          <w:shd w:val="clear" w:color="auto" w:fill="ffffff"/>
        </w:rPr>
        <w:t xml:space="preserve">учения преимуществ для сторон </w:t>
      </w:r>
      <w:r>
        <w:rPr>
          <w:shd w:val="clear" w:color="auto" w:fill="ffffff"/>
        </w:rPr>
        <w:t xml:space="preserve">по контракту, их аффилированных лиц, работников или посредников, действующих </w:t>
        <w:br w:type="textWrapping" w:clear="all"/>
        <w:t xml:space="preserve">по контракту;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31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</w:t>
      </w:r>
      <w:r>
        <w:rPr>
          <w:shd w:val="clear" w:color="auto" w:fill="ffffff"/>
        </w:rPr>
        <w:t xml:space="preserve">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31"/>
        <w:widowControl w:val="false"/>
        <w:pBdr/>
        <w:spacing/>
        <w:ind w:right="20" w:firstLine="0"/>
        <w:rPr>
          <w:bCs/>
          <w:shd w:val="clear" w:color="auto" w:fill="ffffff"/>
        </w:rPr>
      </w:pPr>
      <w:r>
        <w:rPr>
          <w:shd w:val="clear" w:color="auto" w:fill="ffffff"/>
        </w:rPr>
        <w:t xml:space="preserve">- не совершать иных действий, нарушающих антикоррупционное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931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14. </w:t>
      </w:r>
      <w:r>
        <w:rPr>
          <w:b/>
          <w:caps/>
          <w:szCs w:val="24"/>
          <w:lang w:eastAsia="ru-RU"/>
        </w:rPr>
        <w:t xml:space="preserve">Прочие условия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31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  <w:r>
        <w:t xml:space="preserve">Изменение существенных условий Контракта допускается в случаях, предусмотренных пунктом 2.3. настоящего Контракта.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 вопросам, не предусмотренным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составлен в 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(двух) идентичных экземплярах, имеющих одинаковую юридическую силу, по одному для каждой из сторон.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Приложение № 1 - </w:t>
      </w:r>
      <w:r>
        <w:rPr>
          <w:rFonts w:eastAsia="Times New Roman"/>
          <w:szCs w:val="24"/>
          <w:lang w:eastAsia="ru-RU"/>
        </w:rPr>
        <w:t xml:space="preserve">Спецификация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31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</w:t>
      </w:r>
      <w:r>
        <w:rPr>
          <w:b/>
          <w:szCs w:val="24"/>
          <w:lang w:eastAsia="ru-RU"/>
        </w:rPr>
        <w:t xml:space="preserve">5</w:t>
      </w:r>
      <w:r>
        <w:rPr>
          <w:b/>
          <w:szCs w:val="24"/>
          <w:lang w:eastAsia="ru-RU"/>
        </w:rPr>
        <w:t xml:space="preserve">. </w:t>
      </w:r>
      <w:r>
        <w:rPr>
          <w:b/>
          <w:szCs w:val="24"/>
          <w:lang w:eastAsia="ru-RU"/>
        </w:rPr>
        <w:t xml:space="preserve">АДРЕСА И РЕКВИЗИТЫ СТОРОН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Ind w:w="108" w:type="dxa"/>
        <w:tblW w:w="1007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4991"/>
        <w:gridCol w:w="47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45"/>
              <w:pBdr/>
              <w:spacing w:after="0" w:line="240" w:lineRule="auto"/>
              <w:ind/>
              <w:rPr>
                <w:b/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b/>
                <w:szCs w:val="24"/>
              </w:rPr>
              <w:t xml:space="preserve">ЗАКАЗЧИК: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gridSpan w:val="2"/>
            <w:tcBorders/>
            <w:tcW w:w="5038" w:type="dxa"/>
            <w:vAlign w:val="top"/>
            <w:textDirection w:val="lrTb"/>
            <w:noWrap w:val="false"/>
          </w:tcPr>
          <w:p>
            <w:pPr>
              <w:pStyle w:val="931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Поставщик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gridAfter w:val="1"/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дошкольное образовательное учреждение детский сад № 20 комбинированного вида Приморского района Санкт-Петербурга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197183, Санкт-Петербург, ул. Дибуновская, д. 10, лит. 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7814046825  КПП 781401001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л/с 0641076 в Комитете финансов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р/с 03224643400000007200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1027807590249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ОКПО 48004941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Подписано ЭЦ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</w:p>
          <w:p>
            <w:pPr>
              <w:pStyle w:val="936"/>
              <w:pBdr/>
              <w:spacing w:after="0"/>
              <w:ind/>
              <w:rPr/>
            </w:pPr>
            <w:r/>
            <w:r/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t xml:space="preserve">__________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931"/>
        <w:pBdr/>
        <w:spacing/>
        <w:ind w:firstLine="0"/>
        <w:jc w:val="left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left"/>
        <w:rPr>
          <w:szCs w:val="24"/>
          <w:lang w:eastAsia="ru-RU"/>
        </w:rPr>
        <w:sectPr>
          <w:footnotePr/>
          <w:endnotePr/>
          <w:type w:val="nextPage"/>
          <w:pgSz w:h="16838" w:orient="portrait" w:w="11906"/>
          <w:pgMar w:top="567" w:right="720" w:bottom="720" w:left="720" w:header="708" w:footer="708" w:gutter="0"/>
          <w:cols w:num="1" w:sep="0" w:space="708" w:equalWidth="1"/>
        </w:sect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Приложение</w:t>
      </w:r>
      <w:r>
        <w:rPr>
          <w:szCs w:val="24"/>
          <w:lang w:eastAsia="ru-RU"/>
        </w:rPr>
        <w:t xml:space="preserve"> № </w:t>
      </w:r>
      <w:r>
        <w:rPr>
          <w:szCs w:val="24"/>
          <w:lang w:eastAsia="ru-RU"/>
        </w:rPr>
        <w:t xml:space="preserve">1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к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/>
        <w:ind w:firstLine="0"/>
        <w:jc w:val="right"/>
        <w:rPr>
          <w:szCs w:val="24"/>
          <w:highlight w:val="white"/>
        </w:rPr>
      </w:pPr>
      <w:r>
        <w:rPr>
          <w:szCs w:val="24"/>
          <w:highlight w:val="white"/>
          <w:lang w:eastAsia="ru-RU"/>
        </w:rPr>
        <w:t xml:space="preserve">№</w:t>
      </w:r>
      <w:r>
        <w:rPr>
          <w:szCs w:val="24"/>
          <w:highlight w:val="white"/>
          <w:lang w:eastAsia="ru-RU"/>
        </w:rPr>
        <w:t xml:space="preserve"> </w:t>
      </w:r>
      <w:r>
        <w:rPr>
          <w:b/>
          <w:szCs w:val="24"/>
          <w:highlight w:val="white"/>
          <w:lang w:eastAsia="ru-RU"/>
        </w:rPr>
        <w:t xml:space="preserve">__________</w:t>
      </w:r>
      <w:r>
        <w:rPr>
          <w:szCs w:val="24"/>
          <w:highlight w:val="white"/>
          <w:lang w:eastAsia="ru-RU"/>
        </w:rPr>
        <w:t xml:space="preserve">от ______________________</w:t>
      </w:r>
      <w:r>
        <w:rPr>
          <w:szCs w:val="24"/>
          <w:highlight w:val="white"/>
          <w:lang w:eastAsia="ru-RU"/>
        </w:rPr>
      </w:r>
      <w:r>
        <w:rPr>
          <w:szCs w:val="24"/>
          <w:highlight w:val="white"/>
          <w:lang w:eastAsia="ru-RU"/>
        </w:rPr>
      </w:r>
    </w:p>
    <w:p>
      <w:pPr>
        <w:pStyle w:val="931"/>
        <w:pBdr/>
        <w:spacing/>
        <w:ind w:firstLine="0"/>
        <w:jc w:val="center"/>
        <w:rPr>
          <w:b/>
          <w:szCs w:val="24"/>
          <w:highlight w:val="white"/>
        </w:rPr>
      </w:pPr>
      <w:r>
        <w:rPr>
          <w:b/>
          <w:szCs w:val="24"/>
          <w:highlight w:val="white"/>
          <w:lang w:eastAsia="ru-RU"/>
        </w:rPr>
        <w:t xml:space="preserve">СПЕЦИФИКАЦИЯ</w:t>
      </w:r>
      <w:r>
        <w:rPr>
          <w:b/>
          <w:szCs w:val="24"/>
          <w:highlight w:val="white"/>
          <w:lang w:eastAsia="ru-RU"/>
        </w:rPr>
      </w:r>
      <w:r>
        <w:rPr>
          <w:b/>
          <w:szCs w:val="24"/>
          <w:highlight w:val="white"/>
          <w:lang w:eastAsia="ru-RU"/>
        </w:rPr>
      </w:r>
    </w:p>
    <w:tbl>
      <w:tblPr>
        <w:tblStyle w:val="787"/>
        <w:tblInd w:w="-851" w:type="dxa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992"/>
        <w:gridCol w:w="3402"/>
        <w:gridCol w:w="9071"/>
        <w:gridCol w:w="1276"/>
        <w:gridCol w:w="1559"/>
      </w:tblGrid>
      <w:tr>
        <w:trPr>
          <w:trHeight w:val="276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Наименование товара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Характеристики товара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Ед. изм.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Кол-во</w:t>
            </w:r>
            <w:r>
              <w:rPr>
                <w:highlight w:val="white"/>
              </w:rPr>
            </w:r>
          </w:p>
        </w:tc>
      </w:tr>
      <w:tr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Скобы для степлера 24/6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Тип и размер скоб: 24/6.</w:t>
              <w:br/>
              <w:t xml:space="preserve">Максимальное количество сшиваемых листов: 30.</w:t>
              <w:br/>
              <w:t xml:space="preserve">Вид покрытия: цинковое.</w:t>
              <w:br/>
              <w:t xml:space="preserve">Материал скоб: сталь.</w:t>
              <w:br/>
              <w:t xml:space="preserve">Количество скоб в пачке: 1000 шт..</w:t>
              <w:br/>
              <w:t xml:space="preserve">Цвет: серебристый.</w:t>
              <w:br/>
              <w:t xml:space="preserve">Серия: Everyday.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02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Степлер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Подходящие скобы — № 24/6, 26/6.</w:t>
              <w:br/>
              <w:t xml:space="preserve">Максимальное количество скрепляемых листов — 30.</w:t>
              <w:br/>
              <w:t xml:space="preserve">Вместимость скоб — 100 шт..</w:t>
              <w:br/>
              <w:t xml:space="preserve">С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ерия — Universal.</w:t>
              <w:br/>
              <w:t xml:space="preserve">Глубина закладки бумаги — 55 мм.</w:t>
              <w:br/>
              <w:t xml:space="preserve">Виды сшивания степлером — закрытый, открытый, прямой.</w:t>
              <w:br/>
              <w:t xml:space="preserve">Цвет корпуса — синий.</w:t>
              <w:br/>
              <w:t xml:space="preserve">Материал корпуса — пластик.</w:t>
              <w:br/>
              <w:t xml:space="preserve">Высота корпуса — 58 мм.</w:t>
              <w:br/>
              <w:t xml:space="preserve">Длина корпуса — 125 мм.</w:t>
              <w:br/>
              <w:t xml:space="preserve">Ширина корпуса — 31 мм.</w:t>
              <w:br/>
              <w:t xml:space="preserve">Упаковка —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Скобы для степлера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Тип и размер скоб: 10.</w:t>
              <w:br/>
              <w:t xml:space="preserve">Максимальное количество сшиваемых листов: 20.</w:t>
              <w:br/>
              <w:t xml:space="preserve">Вид покрытия: цветное.</w:t>
              <w:br/>
              <w:t xml:space="preserve">Материал скоб: сталь.</w:t>
              <w:br/>
              <w:t xml:space="preserve">Количество скоб в пачке: 1000 шт..</w:t>
              <w:br/>
              <w:t xml:space="preserve">Цвет: ассорти.</w:t>
              <w:br/>
              <w:t xml:space="preserve">Серия: Extra.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Клей-карандаш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Вес: 40 г.</w:t>
              <w:br/>
              <w:t xml:space="preserve">Количество в комплекте: 1 шт..</w:t>
              <w:br/>
              <w:t xml:space="preserve">Основа клея: PVP.</w:t>
              <w:br/>
              <w:t xml:space="preserve">Назначение: бумага, картон, фотобумага.</w:t>
              <w:br/>
              <w:t xml:space="preserve">Серия: Standard.</w:t>
              <w:br/>
              <w:t xml:space="preserve">Дизайн: Классический.</w:t>
              <w:br/>
              <w:t xml:space="preserve">Форма корпуса: круглая.</w:t>
              <w:br/>
              <w:t xml:space="preserve">Срок годности: 60 мес..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Штрих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Тип товара: корректирующая жидкость.</w:t>
              <w:br/>
              <w:t xml:space="preserve">Основа: растворитель.</w:t>
              <w:br/>
              <w:t xml:space="preserve">Объем флакона: 20 мл.</w:t>
              <w:br/>
              <w:t xml:space="preserve">Вид нанесения: кисточка.</w:t>
              <w:br/>
              <w:t xml:space="preserve">Экстра-белизна: да.</w:t>
              <w:br/>
              <w:t xml:space="preserve">Морозоустойчивая: да.</w:t>
              <w:br/>
              <w:t xml:space="preserve">Количество в комплекте: 1 шт..</w:t>
              <w:br/>
              <w:t xml:space="preserve">Быстро высыхает на бумаге: да.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453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6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Маркер перманентный красный 0,5 - 2 мм (либо 1-7 и 7 мм)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Тип маркер                                            Цвет красный</w:t>
              <w:br/>
              <w:t xml:space="preserve">Мах толщина линии 2 мм</w:t>
              <w:br/>
              <w:t xml:space="preserve">По керамике да</w:t>
              <w:br/>
              <w:t xml:space="preserve">Перманентный есть</w:t>
              <w:br/>
              <w:t xml:space="preserve">Самоисчезающий нет</w:t>
              <w:br/>
              <w:t xml:space="preserve">Быстросохнущий есть</w:t>
              <w:br/>
              <w:t xml:space="preserve">Стираемый нет</w:t>
              <w:br/>
              <w:t xml:space="preserve">В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одостойкий есть</w:t>
              <w:br/>
              <w:t xml:space="preserve">Материал корпуса пластик</w:t>
              <w:br/>
              <w:t xml:space="preserve">Форма наконечника круглый/скошенный</w:t>
              <w:br/>
              <w:t xml:space="preserve">Ультрафиолетовый нет</w:t>
              <w:br/>
              <w:t xml:space="preserve">Лаковый нет</w:t>
              <w:br/>
              <w:t xml:space="preserve">Основа чернил спиртовая</w:t>
              <w:br/>
              <w:t xml:space="preserve">Светостойкий да</w:t>
              <w:br/>
              <w:t xml:space="preserve">Для отрицательных температур да</w:t>
              <w:br/>
              <w:t xml:space="preserve">Количество в наборе 1</w:t>
              <w:br/>
              <w:t xml:space="preserve">Габариты без упаковки 140х12х10 мм</w:t>
              <w:br/>
              <w:t xml:space="preserve">Вес нетто 0.01 кг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4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77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7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Бумага офисная 50 (коробок) (250 упаковок)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Формат: А4.</w:t>
              <w:br/>
              <w:t xml:space="preserve">Марка: B.</w:t>
              <w:br/>
              <w:t xml:space="preserve">Серия: Classic.</w:t>
              <w:br/>
              <w:t xml:space="preserve">Белизна по CIE: 15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0-165 +/- 3 %.</w:t>
              <w:br/>
              <w:t xml:space="preserve">Белизна по ISO: нет %.</w:t>
              <w:br/>
              <w:t xml:space="preserve">Плотность: 72-80 +/- 1.5-3 г/м2.</w:t>
              <w:br/>
              <w:t xml:space="preserve">Соответствует требованиям ГОСТа: ГОСТ Р 57641-2017.</w:t>
              <w:br/>
              <w:t xml:space="preserve">Количество листов в пачке: 500.</w:t>
              <w:br/>
              <w:t xml:space="preserve">Отбелка целлюлозы без хлора (ECF): да.</w:t>
              <w:br/>
              <w:t xml:space="preserve">Устойчива к старению: да.</w:t>
              <w:br/>
              <w:t xml:space="preserve">Количество пачек на палете: 240 шт..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200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52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8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Ручка 1 уп (60 шт/уп)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 чернил: синий.</w:t>
              <w:br/>
              <w:t xml:space="preserve">Количество в комплекте: 1 шт..</w:t>
              <w:br/>
              <w:t xml:space="preserve">Толщина линии письма: 0.35 мм.</w:t>
              <w:br/>
              <w:t xml:space="preserve">Диаметр п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ишущего узла: 0.7 мм.</w:t>
              <w:br/>
              <w:t xml:space="preserve">Одноразовая: да.</w:t>
              <w:br/>
              <w:t xml:space="preserve">Форма наконечника: игольчатый.</w:t>
              <w:br/>
              <w:t xml:space="preserve">Длина сменного стержня: 0 мм.</w:t>
              <w:br/>
              <w:t xml:space="preserve">Серия: College BP-12.</w:t>
              <w:br/>
              <w:t xml:space="preserve">Стиль: школьная.</w:t>
              <w:br/>
              <w:t xml:space="preserve">Цвет корпуса: ассорти.</w:t>
              <w:br/>
              <w:t xml:space="preserve">Дизайн: без дизайна.</w:t>
              <w:br/>
              <w:t xml:space="preserve">Форма корпуса: круглая.</w:t>
              <w:br/>
              <w:t xml:space="preserve">Покрытие корпуса: -.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60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52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9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Ручка  1 уп (60 шт/уп)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 чернил: синий.</w:t>
              <w:br/>
              <w:t xml:space="preserve">Количество в комплекте: 1 шт..</w:t>
              <w:br/>
              <w:t xml:space="preserve">Толщина линии письма: 0.32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 мм.</w:t>
              <w:br/>
              <w:t xml:space="preserve">Диаметр пишущего узла: 0.6 мм.</w:t>
              <w:br/>
              <w:t xml:space="preserve">Одноразовая: да.</w:t>
              <w:br/>
              <w:t xml:space="preserve">Форма наконечника: игольчатый.</w:t>
              <w:br/>
              <w:t xml:space="preserve">Серия: Cocktail.</w:t>
              <w:br/>
              <w:t xml:space="preserve">Стиль: школьная.</w:t>
              <w:br/>
              <w:t xml:space="preserve">Цвет корпуса: ассорти.</w:t>
              <w:br/>
              <w:t xml:space="preserve">Длина письма: 1000 м.</w:t>
              <w:br/>
              <w:t xml:space="preserve">Дизайн: без дизайна.</w:t>
              <w:br/>
              <w:t xml:space="preserve">Форма корпуса: круглая.</w:t>
              <w:br/>
              <w:t xml:space="preserve">Покрытие корпуса: -.</w:t>
              <w:br/>
              <w:t xml:space="preserve">Упаковка: пластиковая туба.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60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7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Карандаш простой 12 шт.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Твердость: HB.</w:t>
              <w:br/>
              <w:t xml:space="preserve">Заточенный: да.</w:t>
              <w:br/>
              <w:t xml:space="preserve">Наличие ластика: да.</w:t>
              <w:br/>
              <w:t xml:space="preserve">Диаметр грифеля: 2 мм.</w:t>
              <w:br/>
              <w:t xml:space="preserve">Количество карандашей в упаковке: 1 шт..</w:t>
              <w:br/>
              <w:t xml:space="preserve">Количество твер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достей в наборе: 1.</w:t>
              <w:br/>
              <w:t xml:space="preserve">Серия: ULTRA COLOR.</w:t>
              <w:br/>
              <w:t xml:space="preserve">Форма корпуса: трехгранная.</w:t>
              <w:br/>
              <w:t xml:space="preserve">Ударопрочный грифель: да.</w:t>
              <w:br/>
              <w:t xml:space="preserve">Длина карандаша: 185 мм.</w:t>
              <w:br/>
              <w:t xml:space="preserve">Материал корпуса: пластик.</w:t>
              <w:br/>
              <w:t xml:space="preserve">Цвет корпуса: ассорти.</w:t>
              <w:br/>
              <w:t xml:space="preserve">Дизайн: без дизайна.</w:t>
              <w:br/>
              <w:t xml:space="preserve">Количество дизайнов в упаковке: 5 шт..</w:t>
              <w:br/>
              <w:t xml:space="preserve">Упаковка: пластиковая туба.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упак</w:t>
            </w:r>
            <w:r>
              <w:rPr>
                <w:highlight w:val="white"/>
              </w:rPr>
            </w:r>
          </w:p>
        </w:tc>
      </w:tr>
      <w:tr>
        <w:trPr>
          <w:trHeight w:val="277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11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Картон цветной не мелованный!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Формат: А4.</w:t>
              <w:br/>
              <w:t xml:space="preserve">Количество лист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ов: 16.</w:t>
              <w:br/>
              <w:t xml:space="preserve">Количество цветов: 8.</w:t>
              <w:br/>
              <w:t xml:space="preserve">Тип картона: немелованный, с улучшенной прокраской.</w:t>
              <w:br/>
              <w:t xml:space="preserve">Плотность картона: 200 г/м2.</w:t>
              <w:br/>
              <w:t xml:space="preserve">Тип товара: картон цветной немелованный.</w:t>
              <w:br/>
              <w:t xml:space="preserve">Дизайн: Жирафики.</w:t>
              <w:br/>
              <w:t xml:space="preserve">Товар относится к сегменту ЭКОНОМ: да.</w:t>
              <w:br/>
              <w:t xml:space="preserve">Длина: 200 мм.</w:t>
              <w:br/>
              <w:t xml:space="preserve">Ширина: 290 мм.</w:t>
              <w:br/>
              <w:t xml:space="preserve">Упаковка: папка.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230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7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Бумага цветная не мелованная!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Тип бумаги: двусторонняя.</w:t>
              <w:br/>
              <w:t xml:space="preserve">Внутренний блок: офсет.</w:t>
              <w:br/>
              <w:t xml:space="preserve">Формат: А4.</w:t>
              <w:br/>
              <w:t xml:space="preserve">Количество листов: 16.</w:t>
              <w:br/>
              <w:t xml:space="preserve">Количес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тво цветов: 8.</w:t>
              <w:br/>
              <w:t xml:space="preserve">Тип скрепления: скоба.</w:t>
              <w:br/>
              <w:t xml:space="preserve">Тип товара: бумага цветная офсетная 2-сторонняя.</w:t>
              <w:br/>
              <w:t xml:space="preserve">Плотность бумаги: 65 г/м2.</w:t>
              <w:br/>
              <w:t xml:space="preserve">Прокрас бумаги: с 2 сторон.</w:t>
              <w:br/>
              <w:t xml:space="preserve">Дизайн ассорти: да.</w:t>
              <w:br/>
              <w:t xml:space="preserve">Дизайн: Ассорти.</w:t>
              <w:br/>
              <w:t xml:space="preserve">Ширина: 200 мм.</w:t>
              <w:br/>
              <w:t xml:space="preserve">Длина: 280 мм.</w:t>
              <w:br/>
              <w:t xml:space="preserve">Обложка: мелованная бумага.</w:t>
              <w:br/>
              <w:t xml:space="preserve">Упаковка: ассорти.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230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77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Альбом для рисования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Количество листов: 20.</w:t>
              <w:br/>
              <w:t xml:space="preserve">Формат: А4.</w:t>
              <w:br/>
              <w:t xml:space="preserve">Обложка: мелованный картон.</w:t>
              <w:br/>
              <w:t xml:space="preserve">Тип спецэффектов на 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обложке: нет.</w:t>
              <w:br/>
              <w:t xml:space="preserve">Тип товара: альбом для рисования на скрепке.</w:t>
              <w:br/>
              <w:t xml:space="preserve">Дизайн: Пингвинчики.</w:t>
              <w:br/>
              <w:t xml:space="preserve">Тип скрепления: скоба.</w:t>
              <w:br/>
              <w:t xml:space="preserve">Плотность бумаги: 100 г/м2.</w:t>
              <w:br/>
              <w:t xml:space="preserve">Пол ребенка: для всех.</w:t>
              <w:br/>
              <w:t xml:space="preserve">Количество дизайнов в минимальной упаковке: 2 шт..</w:t>
              <w:br/>
              <w:t xml:space="preserve">Количество дизайнов в транспортной упаковке: 2 шт..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230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15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14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Акварель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Количество цветов в наборе: 12 шт..</w:t>
              <w:br/>
              <w:t xml:space="preserve">Добавка в основу: мёд.</w:t>
              <w:br/>
              <w:t xml:space="preserve">Отделение для кисточки: да.</w:t>
              <w:br/>
              <w:t xml:space="preserve">Форма кювет: круглая.</w:t>
              <w:br/>
              <w:t xml:space="preserve">Серия: Веселая такса.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200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15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Гуашь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Количество цветов в наборе: 6 шт..</w:t>
              <w:br/>
              <w:t xml:space="preserve">Объем баночки: 20 мл.</w:t>
              <w:br/>
              <w:t xml:space="preserve">Общий объем: 120 мл.</w:t>
              <w:br/>
              <w:t xml:space="preserve">Тара: пластмассовая герметичная баночка.</w:t>
              <w:br/>
              <w:t xml:space="preserve">Серия: Магия цвета.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40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02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16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Резинка стирательная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Резинка стирательная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6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17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Мелки восковые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Тип основы — воско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вая основа.</w:t>
              <w:br/>
              <w:t xml:space="preserve">Количество цветов в наборе — 12 шт..</w:t>
              <w:br/>
              <w:t xml:space="preserve">Форма корпуса — круглая.</w:t>
              <w:br/>
              <w:t xml:space="preserve">Диаметр — 8 мм.</w:t>
              <w:br/>
              <w:t xml:space="preserve">Серия — Зверята.</w:t>
              <w:br/>
              <w:t xml:space="preserve">Бумажное покрытие корпуса — да.</w:t>
              <w:br/>
              <w:t xml:space="preserve">Упаковка — картонная с европодвесом.</w:t>
              <w:br/>
              <w:t xml:space="preserve">Производитель — Китай</w:t>
              <w:br/>
              <w:t xml:space="preserve">Вес с упаковкой — 66 г</w:t>
              <w:br/>
              <w:t xml:space="preserve">Размер в упаковке — 1.2x11.3x9.8 см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200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18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Мелки для асфальта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Цвет: ассорти.</w:t>
              <w:br/>
              <w:t xml:space="preserve">Назначение: для досок.</w:t>
              <w:br/>
              <w:t xml:space="preserve">Количество в упаковке: 6 шт..</w:t>
              <w:br/>
              <w:t xml:space="preserve">Количество цветов: 6.</w:t>
              <w:br/>
              <w:t xml:space="preserve">Форма корпуса: квадратная.</w:t>
              <w:br/>
              <w:t xml:space="preserve">Серия: Мультики.</w:t>
              <w:br/>
              <w:t xml:space="preserve">Длина: 76 мм.</w:t>
              <w:br/>
              <w:t xml:space="preserve">Диаметр: 13 мм.</w:t>
              <w:br/>
              <w:t xml:space="preserve">Твердость: средней твердости.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150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2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19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Пластилин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Количество цветов в наборе: 12 шт..</w:t>
              <w:br/>
              <w:t xml:space="preserve">Тип: классический.</w:t>
              <w:br/>
              <w:t xml:space="preserve">Эффекты: нет.</w:t>
              <w:br/>
              <w:t xml:space="preserve">Наличие аксессуара: стек.</w:t>
              <w:br/>
              <w:t xml:space="preserve">Масса: 240 г.</w:t>
              <w:br/>
              <w:t xml:space="preserve">Масса бруска: 20 г.</w:t>
              <w:br/>
              <w:t xml:space="preserve">Количество брусков в наборе: 12 шт..</w:t>
              <w:br/>
              <w:t xml:space="preserve">Серия: ЭНИКИ-БЕНИКИ СУПЕР.</w:t>
              <w:br/>
              <w:t xml:space="preserve">Вид упаковки: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230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17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Клей ПВА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Вес: 1000 г.</w:t>
              <w:br/>
              <w:t xml:space="preserve">Количество в комплекте: 1 шт..</w:t>
              <w:br/>
              <w:t xml:space="preserve">Назначение: бумага, дерево, картон, кожа, линолеум, текстиль, фотографии.</w:t>
              <w:br/>
              <w:t xml:space="preserve">Серия: Стандарт.</w:t>
              <w:br/>
              <w:t xml:space="preserve">Вид аппликатора: нет.</w:t>
              <w:br/>
              <w:t xml:space="preserve">Морозоустойчивый: да.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52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21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Нить для прошивки документов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Тип — нить прошивная.</w:t>
              <w:br/>
              <w:t xml:space="preserve">Материал — хлопок.</w:t>
              <w:br/>
              <w:t xml:space="preserve">Длина намотки — 120 м.</w:t>
              <w:br/>
              <w:t xml:space="preserve">Разрывная нагрузка — 6 кгс.</w:t>
              <w:br/>
              <w:t xml:space="preserve">Цвет — российский флаг.</w:t>
              <w:br/>
              <w:t xml:space="preserve">Отрезное лезв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ие на крышке диспенсера — да.</w:t>
              <w:br/>
              <w:t xml:space="preserve">Диаметр нити/Ширина ленты — 1.6 мм.</w:t>
              <w:br/>
              <w:t xml:space="preserve">Линейная плотность — 700 текс..</w:t>
              <w:br/>
              <w:t xml:space="preserve">Количество в комплекте — 1 шт..</w:t>
              <w:br/>
              <w:t xml:space="preserve">Вес бухты — 0.175 кг.</w:t>
              <w:br/>
              <w:t xml:space="preserve">Упаковка — диспенсер.</w:t>
              <w:br/>
              <w:t xml:space="preserve">Производитель — Россия</w:t>
              <w:br/>
              <w:t xml:space="preserve">Вес с упаковкой — 162 г</w:t>
              <w:br/>
              <w:t xml:space="preserve">Размер в упаковке — 7.1x10.2x6.6 см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17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Зажим для бумаг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Максимальное кол-во скрепляемых листов: 230.</w:t>
              <w:br/>
              <w:t xml:space="preserve">Тип зажима: классический.</w:t>
              <w:br/>
              <w:t xml:space="preserve">Ширина: 51 мм.</w:t>
              <w:br/>
              <w:t xml:space="preserve">Цвет: черный.</w:t>
              <w:br/>
              <w:t xml:space="preserve">Количество в упаковке: 12 шт..</w:t>
              <w:br/>
              <w:t xml:space="preserve">Тип упаковки: картонная коробка.</w:t>
              <w:br/>
              <w:t xml:space="preserve">Серия: Standard.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7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Закладки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Ширина — 12 мм.</w:t>
              <w:br/>
              <w:t xml:space="preserve">Длина — 45 мм.</w:t>
              <w:br/>
              <w:t xml:space="preserve">Количество цветов — 5.</w:t>
              <w:br/>
              <w:t xml:space="preserve">Количество закладок в блоке — 20 шт..</w:t>
              <w:br/>
              <w:t xml:space="preserve">Общее количество закладок — 100 шт.</w:t>
              <w:br/>
              <w:t xml:space="preserve">Хранение з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акладок — пластиковая книжка.</w:t>
              <w:br/>
              <w:t xml:space="preserve">Серия — Plastic sticky.</w:t>
              <w:br/>
              <w:t xml:space="preserve">Неоновые цвета — да.</w:t>
              <w:br/>
              <w:t xml:space="preserve">Материал — пластик.</w:t>
              <w:br/>
              <w:t xml:space="preserve">Форма закладок — прямоугольные.</w:t>
              <w:br/>
              <w:t xml:space="preserve">Цвет — ассорти.</w:t>
              <w:br/>
              <w:t xml:space="preserve">Упаковка — полибег с европодвесом.</w:t>
              <w:br/>
              <w:t xml:space="preserve">Производитель — Китай</w:t>
              <w:br/>
              <w:t xml:space="preserve">Вес с упаковкой — 7 г</w:t>
              <w:br/>
              <w:t xml:space="preserve">Размер в упаковке — 0.2x8.2x4.9 см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24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Блок-кубик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Блок-кубик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17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Лента оградительная сигнальная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Цвет: желтый/черный.</w:t>
              <w:br/>
              <w:t xml:space="preserve">Ширина: 50 мм.</w:t>
              <w:br/>
              <w:t xml:space="preserve">Длина намотки: 200 м.</w:t>
              <w:br/>
              <w:t xml:space="preserve">Толщина: 25 мкм.</w:t>
              <w:br/>
              <w:t xml:space="preserve">Серия: Грандмастер.</w:t>
              <w:br/>
              <w:t xml:space="preserve">Основа: полиэтилен.</w:t>
              <w:br/>
              <w:t xml:space="preserve">Упаковка: термоусадочная пленка.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26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Лента оградительная сигнальная (красно-белая)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 — красный/белый.</w:t>
              <w:br/>
              <w:t xml:space="preserve">Ширина — 50 мм.</w:t>
              <w:br/>
              <w:t xml:space="preserve">Длина намотки — 200 м.</w:t>
              <w:br/>
              <w:t xml:space="preserve">Толщина — 25 мкм.</w:t>
              <w:br/>
              <w:t xml:space="preserve">Серия — Грандмастер.</w:t>
              <w:br/>
              <w:t xml:space="preserve">Основа — полиэтилен.</w:t>
              <w:br/>
              <w:t xml:space="preserve">Упаковка — термоусадочная пленка.</w:t>
              <w:br/>
              <w:t xml:space="preserve">Производитель — Россия</w:t>
              <w:br/>
              <w:t xml:space="preserve">Вес с упаковкой — 283 г</w:t>
              <w:br/>
              <w:t xml:space="preserve">Размер в упаковке — 5.1x11.7x11.7 см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2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27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Блок-кубик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Блок-кубик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403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28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Маркер перманентный черный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 чернил: черный.</w:t>
              <w:br/>
              <w:t xml:space="preserve">Количество в комплекте: 1 шт..</w:t>
              <w:br/>
              <w:t xml:space="preserve">Форма наконечника: скошенный.</w:t>
              <w:br/>
              <w:t xml:space="preserve">Минимальная толщина линии письма: 3 мм.</w:t>
              <w:br/>
              <w:t xml:space="preserve">Максимальная толщина линии письма: 10 мм.</w:t>
              <w:br/>
              <w:t xml:space="preserve">Серия: Jumbo.</w:t>
              <w:br/>
              <w:t xml:space="preserve">Подходит для левшей: да.</w:t>
              <w:br/>
              <w:t xml:space="preserve">Водостой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кие чернила: да.</w:t>
              <w:br/>
              <w:t xml:space="preserve">Повышенная светостойкость: да.</w:t>
              <w:br/>
              <w:t xml:space="preserve">Быстросохнущие чернила: да.</w:t>
              <w:br/>
              <w:t xml:space="preserve">Наконечник устойчив к повреждению и истиранию: да.</w:t>
              <w:br/>
              <w:t xml:space="preserve">Форма корпуса: круглая.</w:t>
              <w:br/>
              <w:t xml:space="preserve">Диаметр корпуса: 26 мм.</w:t>
              <w:br/>
              <w:t xml:space="preserve">Материал корпуса: пластик.</w:t>
              <w:br/>
              <w:t xml:space="preserve">Основа чернил: спиртовая.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02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29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Набор текстовыделителей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 чернил: ассорти.</w:t>
              <w:br/>
              <w:t xml:space="preserve">Количество в комплекте: 6 шт..</w:t>
              <w:br/>
              <w:t xml:space="preserve">Форма наконечника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: скошенный.</w:t>
              <w:br/>
              <w:t xml:space="preserve">Спецэффект цвета чернил : пастельный.</w:t>
              <w:br/>
              <w:t xml:space="preserve">Основа чернил: водная.</w:t>
              <w:br/>
              <w:t xml:space="preserve">Серия: Original.</w:t>
              <w:br/>
              <w:t xml:space="preserve">Мин. толщина линии письма: 1 мм.</w:t>
              <w:br/>
              <w:t xml:space="preserve">Макс. толщина линии письма: 5 мм.</w:t>
              <w:br/>
              <w:t xml:space="preserve">Форма корпуса: плоская.</w:t>
              <w:br/>
              <w:t xml:space="preserve">Диаметр корпуса: 25 мм.</w:t>
              <w:br/>
              <w:t xml:space="preserve">Наличие клипа: да.</w:t>
              <w:br/>
              <w:t xml:space="preserve">Упаковка: ПВХ-чехол с подвесом.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Папка-скоросшиватель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Папка-скоросшиватель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31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 уголок 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Вид папки: непрозрачная.</w:t>
              <w:br/>
              <w:t xml:space="preserve">Толщина пластика: 180 мкм.</w:t>
              <w:br/>
              <w:t xml:space="preserve">Формат: А4.</w:t>
              <w:br/>
              <w:t xml:space="preserve">Количество отделений: 1.</w:t>
              <w:br/>
              <w:t xml:space="preserve">Количество в комплекте: 1 шт..</w:t>
              <w:br/>
              <w:t xml:space="preserve">Серия: L-shaped_EK.</w:t>
              <w:br/>
              <w:t xml:space="preserve">Особенности: вырез для извлечения бумаг.</w:t>
              <w:br/>
              <w:t xml:space="preserve">Цвет: ассорти.</w:t>
              <w:br/>
              <w:t xml:space="preserve">Высота: 220 мм.</w:t>
              <w:br/>
              <w:t xml:space="preserve">Ширина: 310 мм.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77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</w:t>
            </w:r>
            <w:r>
              <w:rPr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Папка-регистратор, фиолетовая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7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 w14:paraId="7DA1273D"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Папка-регистратор, жёлтая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403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34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Ручка шариковая (синяя)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 чернил: синий.</w:t>
              <w:br/>
              <w:t xml:space="preserve">Количество в комплекте: 1 шт..</w:t>
              <w:br/>
              <w:t xml:space="preserve">Толщина линии письма: 0.35 мм.</w:t>
              <w:br/>
              <w:t xml:space="preserve">Диаметр пишущего узла: 0.7 мм.</w:t>
              <w:br/>
              <w:t xml:space="preserve">Чернила на масляной основе: да.</w:t>
              <w:br/>
              <w:t xml:space="preserve">Форма наконечника: игольчаты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й.</w:t>
              <w:br/>
              <w:t xml:space="preserve">Длина сменного стержня: 140 мм.</w:t>
              <w:br/>
              <w:t xml:space="preserve">Серия: My-Tech.</w:t>
              <w:br/>
              <w:t xml:space="preserve">Стиль: для офиса и учебы.</w:t>
              <w:br/>
              <w:t xml:space="preserve">Эргономичная зона захвата: рифление.</w:t>
              <w:br/>
              <w:t xml:space="preserve">Цвет корпуса: прозрачный.</w:t>
              <w:br/>
              <w:t xml:space="preserve">Длина письма: 2000 м.</w:t>
              <w:br/>
              <w:t xml:space="preserve">Дизайн: без дизайна.</w:t>
              <w:br/>
              <w:t xml:space="preserve">Форма корпуса: круглая.</w:t>
              <w:br/>
              <w:t xml:space="preserve">Покрытие корпуса: -.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403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Ручка шариковая (черная)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Цвет чернил: черный.</w:t>
              <w:br/>
              <w:t xml:space="preserve">Количество в комплекте: 1 шт..</w:t>
              <w:br/>
              <w:t xml:space="preserve">Толщина линии письма: 0.35 мм.</w:t>
              <w:br/>
              <w:t xml:space="preserve">Диаметр пишущего узла: 0.7 мм.</w:t>
              <w:br/>
              <w:t xml:space="preserve">Чернила на масляной основе: да.</w:t>
              <w:br/>
              <w:t xml:space="preserve">Форма наконечника: игольчаты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й.</w:t>
              <w:br/>
              <w:t xml:space="preserve">Длина сменного стержня: 140 мм.</w:t>
              <w:br/>
              <w:t xml:space="preserve">Серия: My-Tech.</w:t>
              <w:br/>
              <w:t xml:space="preserve">Стиль: для офиса и учебы.</w:t>
              <w:br/>
              <w:t xml:space="preserve">Эргономичная зона захвата: рифление.</w:t>
              <w:br/>
              <w:t xml:space="preserve">Цвет корпуса: прозрачный.</w:t>
              <w:br/>
              <w:t xml:space="preserve">Длина письма: 2000 м.</w:t>
              <w:br/>
              <w:t xml:space="preserve">Дизайн: без дизайна.</w:t>
              <w:br/>
              <w:t xml:space="preserve">Форма корпуса: круглая.</w:t>
              <w:br/>
              <w:t xml:space="preserve">Покрытие корпуса: -.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17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36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Скрепки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Длина: 28 мм.</w:t>
              <w:br/>
              <w:t xml:space="preserve">Количество в упаковке: 100 шт..</w:t>
              <w:br/>
              <w:t xml:space="preserve">Покрытие: цветное полимерное покрытие.</w:t>
              <w:br/>
              <w:t xml:space="preserve">Форма скрепки: овальная.</w:t>
              <w:br/>
              <w:t xml:space="preserve">Серия: Russia.</w:t>
              <w:br/>
              <w:t xml:space="preserve">Цвет: ассорти.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6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17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37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Скрепки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Длина: 28 мм.</w:t>
              <w:br/>
              <w:t xml:space="preserve">Количество в упаковке: 100 шт..</w:t>
              <w:br/>
              <w:t xml:space="preserve">Покрытие: нет.</w:t>
              <w:br/>
              <w:t xml:space="preserve">Форма скрепки: овальная.</w:t>
              <w:br/>
              <w:t xml:space="preserve">Серия: Everyday.</w:t>
              <w:br/>
              <w:t xml:space="preserve">Цвет: серебристый.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4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38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Скрепки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Длина: 50 мм.</w:t>
              <w:br/>
              <w:t xml:space="preserve">Количество в упаковке: 50 шт..</w:t>
              <w:br/>
              <w:t xml:space="preserve">Покрытие: цинк.</w:t>
              <w:br/>
              <w:t xml:space="preserve">Форма скрепки: овальная.</w:t>
              <w:br/>
              <w:t xml:space="preserve">Гофрированные: да.</w:t>
              <w:br/>
              <w:t xml:space="preserve">Серия: Standard +.</w:t>
              <w:br/>
              <w:t xml:space="preserve">Цвет: серебристый.</w:t>
              <w:br/>
              <w:t xml:space="preserve">Упаковка: картонная коробка.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6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77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39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</w:t>
            </w:r>
            <w:r>
              <w:rPr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Папка-регистратор, лайм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6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40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Линейка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Тип: классическая.</w:t>
              <w:br/>
              <w:t xml:space="preserve">Длина шкалы: 30 см.</w:t>
              <w:br/>
              <w:t xml:space="preserve">Количество в комплекте: 1 шт..</w:t>
              <w:br/>
              <w:t xml:space="preserve">Материал: пластик.</w:t>
              <w:br/>
              <w:t xml:space="preserve">Серия: Neon.</w:t>
              <w:br/>
              <w:t xml:space="preserve">Количество шкал: 1 шт..</w:t>
              <w:br/>
              <w:t xml:space="preserve">Количество тактических элементов: 0 шт..</w:t>
              <w:br/>
              <w:t xml:space="preserve">Ширина линейки: 4.2 см.</w:t>
              <w:br/>
              <w:t xml:space="preserve">Цвет: ассорти.</w:t>
              <w:br/>
              <w:t xml:space="preserve">Упаковка: пакет с подвесом.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77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41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Ножницы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Длина: 190 мм.</w:t>
              <w:br/>
              <w:t xml:space="preserve">Тип ножниц: для правши.</w:t>
              <w:br/>
              <w:t xml:space="preserve">Заточка лезвий: трёх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сторонняя.</w:t>
              <w:br/>
              <w:t xml:space="preserve">Эргономичная форма ручек: да.</w:t>
              <w:br/>
              <w:t xml:space="preserve">Форма лезвий: остроконечные.</w:t>
              <w:br/>
              <w:t xml:space="preserve">Длина лезвий: 88 мм.</w:t>
              <w:br/>
              <w:t xml:space="preserve">Серия: Soft Grip.</w:t>
              <w:br/>
              <w:t xml:space="preserve">Материал лезвия: нержавеющая сталь.</w:t>
              <w:br/>
              <w:t xml:space="preserve">Материал ручек: пластик с резиновыми вставками.</w:t>
              <w:br/>
              <w:t xml:space="preserve">Цвет ручек: черный/красный.</w:t>
              <w:br/>
              <w:t xml:space="preserve">Упаковка: картонная с европодвесом.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17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42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Файлы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Формат: А4.</w:t>
              <w:br/>
              <w:t xml:space="preserve">Количество в комплекте: 100 шт..</w:t>
              <w:br/>
              <w:t xml:space="preserve">Толщина пленки: 35 мкм.</w:t>
              <w:br/>
              <w:t xml:space="preserve">Ориентация: вертикальная.</w:t>
              <w:br/>
              <w:t xml:space="preserve">Фактура: гладкая.</w:t>
              <w:br/>
              <w:t xml:space="preserve">Серия: Premium.</w:t>
              <w:br/>
              <w:t xml:space="preserve">Цвет: прозрачный.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4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352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Калькулятор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Разрядность дисплея: 12.</w:t>
              <w:br/>
              <w:t xml:space="preserve">Серия: OFM-888.</w:t>
              <w:br/>
              <w:t xml:space="preserve">Тип размера: полноразмерный.</w:t>
              <w:br/>
              <w:t xml:space="preserve">Тип применения: универсальны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й.</w:t>
              <w:br/>
              <w:t xml:space="preserve">Стиль: классический.</w:t>
              <w:br/>
              <w:t xml:space="preserve">Функционал: расчет процентов.</w:t>
              <w:br/>
              <w:t xml:space="preserve">Исполнение: настольный.</w:t>
              <w:br/>
              <w:t xml:space="preserve">Число строк дисплея: 1.</w:t>
              <w:br/>
              <w:t xml:space="preserve">Тип питания: 1 батарейка LR44 (LR1154/AG13), солнечный элемент.</w:t>
              <w:br/>
              <w:t xml:space="preserve">Цвет панели: черный.</w:t>
              <w:br/>
              <w:t xml:space="preserve">Длина корпуса: 200 мм.</w:t>
              <w:br/>
              <w:t xml:space="preserve">Ширина корпуса: 150 мм.</w:t>
              <w:br/>
              <w:t xml:space="preserve">Высота корпуса: 35 мм.</w:t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шт.</w:t>
            </w:r>
            <w:r>
              <w:rPr>
                <w:highlight w:val="whit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44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</w:t>
            </w:r>
            <w:r>
              <w:rPr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Папка-регистратор, зелёная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3</w:t>
            </w:r>
            <w:r>
              <w:rPr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highlight w:val="whit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vMerge w:val="restart"/>
            <w:textDirection w:val="lrTb"/>
            <w:noWrap w:val="false"/>
          </w:tcPr>
          <w:p w14:paraId="20ED7CCC">
            <w:pPr>
              <w:pBdr/>
              <w:spacing/>
              <w:ind/>
              <w:jc w:val="center"/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45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vMerge w:val="restart"/>
            <w:textDirection w:val="lrTb"/>
            <w:noWrap w:val="false"/>
          </w:tcPr>
          <w:p w14:paraId="1A85759B"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 w14:paraId="666659A4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vMerge w:val="restart"/>
            <w:textDirection w:val="lrTb"/>
            <w:noWrap w:val="false"/>
          </w:tcPr>
          <w:p w14:paraId="2876C4DD">
            <w:pPr>
              <w:pBdr/>
              <w:spacing/>
              <w:ind/>
              <w:jc w:val="left"/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Папка-регистратор, розовая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 w14:paraId="5F915623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 w14:paraId="67B46720"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 w14:paraId="1D442BD5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vMerge w:val="restart"/>
            <w:textDirection w:val="lrTb"/>
            <w:noWrap w:val="false"/>
          </w:tcPr>
          <w:p w14:paraId="1EE651B8">
            <w:pPr>
              <w:pBdr/>
              <w:spacing/>
              <w:ind/>
              <w:jc w:val="center"/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46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vMerge w:val="restart"/>
            <w:textDirection w:val="lrTb"/>
            <w:noWrap w:val="false"/>
          </w:tcPr>
          <w:p w14:paraId="1A85759B"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 w14:paraId="536718A1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vMerge w:val="restart"/>
            <w:textDirection w:val="lrTb"/>
            <w:noWrap w:val="false"/>
          </w:tcPr>
          <w:p w14:paraId="0DFC1980">
            <w:pPr>
              <w:pBdr/>
              <w:spacing/>
              <w:ind/>
              <w:jc w:val="left"/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Папка-регистратор, красная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 w14:paraId="39F22BCE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 w14:paraId="67B46720"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 w14:paraId="2551C722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vMerge w:val="restart"/>
            <w:textDirection w:val="lrTb"/>
            <w:noWrap w:val="false"/>
          </w:tcPr>
          <w:p w14:paraId="5FAB1586">
            <w:pPr>
              <w:pBdr/>
              <w:spacing/>
              <w:ind/>
              <w:jc w:val="center"/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47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vMerge w:val="restart"/>
            <w:textDirection w:val="lrTb"/>
            <w:noWrap w:val="false"/>
          </w:tcPr>
          <w:p w14:paraId="0BF2ED1F">
            <w:pPr>
              <w:pBdr/>
              <w:spacing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Блок-кубик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vMerge w:val="restart"/>
            <w:textDirection w:val="lrTb"/>
            <w:noWrap w:val="false"/>
          </w:tcPr>
          <w:p w14:paraId="2B8EAC43">
            <w:pPr>
              <w:pBdr/>
              <w:spacing/>
              <w:ind/>
              <w:jc w:val="left"/>
              <w:rPr>
                <w:highlight w:val="whit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Блок-кубик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 w14:paraId="3D803A8A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 w14:paraId="73A91E1D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</w:tr>
      <w:tr>
        <w:trPr>
          <w:trHeight w:val="25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" w:type="dxa"/>
            <w:vAlign w:val="center"/>
            <w:vMerge w:val="restart"/>
            <w:textDirection w:val="lrTb"/>
            <w:noWrap w:val="false"/>
          </w:tcPr>
          <w:p w14:paraId="52643C4A">
            <w:pPr>
              <w:pBdr/>
              <w:spacing/>
              <w:ind/>
              <w:jc w:val="center"/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48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02" w:type="dxa"/>
            <w:vAlign w:val="center"/>
            <w:vMerge w:val="restart"/>
            <w:textDirection w:val="lrTb"/>
            <w:noWrap w:val="false"/>
          </w:tcPr>
          <w:p w14:paraId="1F51A72F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Карандаши цветные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1" w:type="dxa"/>
            <w:vAlign w:val="center"/>
            <w:vMerge w:val="restart"/>
            <w:textDirection w:val="lrTb"/>
            <w:noWrap w:val="false"/>
          </w:tcPr>
          <w:p w14:paraId="462D6716">
            <w:pPr>
              <w:pBdr/>
              <w:spacing/>
              <w:ind/>
              <w:jc w:val="left"/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Карандаши цветные</w:t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 w14:paraId="20EF44F3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  <w:t xml:space="preserve">200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highlight w:val="whit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 w14:paraId="2AE46198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white"/>
                <w:u w:val="none"/>
                <w:vertAlign w:val="baseline"/>
              </w:rPr>
            </w:r>
          </w:p>
        </w:tc>
      </w:tr>
    </w:tbl>
    <w:p>
      <w:pPr>
        <w:pBdr/>
        <w:spacing/>
        <w:ind w:firstLine="0"/>
        <w:jc w:val="center"/>
        <w:rPr>
          <w:b/>
          <w:bCs/>
          <w:lang w:eastAsia="ru-RU"/>
        </w:rPr>
      </w:pPr>
      <w:r>
        <w:rPr>
          <w:b/>
          <w:szCs w:val="24"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Bdr/>
        <w:spacing/>
        <w:ind w:firstLine="0" w:left="0"/>
        <w:rPr>
          <w:bCs/>
          <w:i/>
          <w:highlight w:val="none"/>
        </w:rPr>
      </w:pPr>
      <w:r>
        <w:rPr>
          <w:i/>
          <w:highlight w:val="none"/>
        </w:rPr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p>
      <w:pPr>
        <w:pStyle w:val="931"/>
        <w:pBdr/>
        <w:spacing/>
        <w:ind w:firstLine="0" w:left="360"/>
        <w:rPr>
          <w:bCs/>
          <w:i/>
          <w:highlight w:val="none"/>
        </w:rPr>
      </w:pPr>
      <w:r>
        <w:t xml:space="preserve">Цена контракта составляет </w:t>
      </w:r>
      <w:r>
        <w:t xml:space="preserve"> </w:t>
      </w:r>
      <w:r>
        <w:t xml:space="preserve">______________руб. _________</w:t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tbl>
      <w:tblPr>
        <w:tblStyle w:val="787"/>
        <w:tblW w:w="0" w:type="auto"/>
        <w:tblBorders/>
        <w:tblLook w:val="04A0" w:firstRow="1" w:lastRow="0" w:firstColumn="1" w:lastColumn="0" w:noHBand="0" w:noVBand="1"/>
      </w:tblPr>
      <w:tblGrid>
        <w:gridCol w:w="7393"/>
        <w:gridCol w:w="7393"/>
      </w:tblGrid>
      <w:tr>
        <w:trPr/>
        <w:tc>
          <w:tcPr>
            <w:tcBorders/>
            <w:tcW w:w="7393" w:type="dxa"/>
            <w:textDirection w:val="lrTb"/>
            <w:noWrap w:val="false"/>
          </w:tcPr>
          <w:p>
            <w:pPr>
              <w:pStyle w:val="931"/>
              <w:pBdr/>
              <w:tabs>
                <w:tab w:val="left" w:leader="none" w:pos="8016"/>
              </w:tabs>
              <w:spacing/>
              <w:ind/>
              <w:rPr/>
            </w:pPr>
            <w:r>
              <w:t xml:space="preserve">Заказчик</w:t>
            </w:r>
            <w:r/>
          </w:p>
        </w:tc>
        <w:tc>
          <w:tcPr>
            <w:tcBorders/>
            <w:tcW w:w="7393" w:type="dxa"/>
            <w:textDirection w:val="lrTb"/>
            <w:noWrap w:val="false"/>
          </w:tcPr>
          <w:p>
            <w:pPr>
              <w:pStyle w:val="931"/>
              <w:pBdr/>
              <w:tabs>
                <w:tab w:val="left" w:leader="none" w:pos="8016"/>
              </w:tabs>
              <w:spacing/>
              <w:ind/>
              <w:rPr/>
            </w:pPr>
            <w:r>
              <w:t xml:space="preserve">Поставщик</w:t>
            </w:r>
            <w:r/>
          </w:p>
        </w:tc>
      </w:tr>
      <w:tr>
        <w:trPr/>
        <w:tc>
          <w:tcPr>
            <w:tcBorders/>
            <w:tcW w:w="7393" w:type="dxa"/>
            <w:textDirection w:val="lrTb"/>
            <w:noWrap w:val="false"/>
          </w:tcPr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4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Подписано ЭЦП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31"/>
              <w:pBdr/>
              <w:tabs>
                <w:tab w:val="left" w:leader="none" w:pos="8016"/>
              </w:tabs>
              <w:spacing/>
              <w:ind w:firstLine="0"/>
              <w:rPr/>
            </w:pPr>
            <w:r/>
            <w:r/>
          </w:p>
        </w:tc>
        <w:tc>
          <w:tcPr>
            <w:tcBorders/>
            <w:tcW w:w="7393" w:type="dxa"/>
            <w:textDirection w:val="lrTb"/>
            <w:noWrap w:val="false"/>
          </w:tcPr>
          <w:p>
            <w:pPr>
              <w:pBdr/>
              <w:spacing/>
              <w:ind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t xml:space="preserve">__________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/>
            </w:pPr>
            <w:r>
              <w:rPr>
                <w:highlight w:val="none"/>
              </w:rPr>
            </w:r>
            <w:r>
              <w:rPr>
                <w:highlight w:val="none"/>
              </w:rPr>
              <w:t xml:space="preserve">Подписано ЭЦП</w:t>
            </w:r>
            <w:r/>
          </w:p>
          <w:p>
            <w:pPr>
              <w:pStyle w:val="931"/>
              <w:pBdr/>
              <w:tabs>
                <w:tab w:val="left" w:leader="none" w:pos="8016"/>
              </w:tabs>
              <w:spacing/>
              <w:ind/>
              <w:rPr/>
            </w:pPr>
            <w:r/>
            <w:r/>
          </w:p>
        </w:tc>
      </w:tr>
    </w:tbl>
    <w:p>
      <w:pPr>
        <w:pStyle w:val="931"/>
        <w:pBdr/>
        <w:tabs>
          <w:tab w:val="left" w:leader="none" w:pos="8016"/>
        </w:tabs>
        <w:spacing/>
        <w:ind w:firstLine="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931"/>
        <w:pBdr/>
        <w:tabs>
          <w:tab w:val="left" w:leader="none" w:pos="8016"/>
        </w:tabs>
        <w:spacing/>
        <w:ind w:firstLine="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sectPr>
      <w:footnotePr/>
      <w:endnotePr/>
      <w:type w:val="nextPage"/>
      <w:pgSz w:h="11906" w:orient="landscape" w:w="16838"/>
      <w:pgMar w:top="426" w:right="1134" w:bottom="850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 Light">
    <w:panose1 w:val="020F0302020204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1068"/>
      </w:pPr>
      <w:rPr/>
      <w:start w:val="4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776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2124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8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31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888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4236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944"/>
      </w:pPr>
      <w:rPr/>
      <w:start w:val="1"/>
      <w:suff w:val="tab"/>
    </w:lvl>
  </w:abstractNum>
  <w:abstractNum w:abstractNumId="1">
    <w:lvl w:ilvl="0">
      <w:isLgl w:val="false"/>
      <w:lvlJc w:val="left"/>
      <w:lvlText w:val="6.3.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10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3.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tab"/>
    </w:lvl>
    <w:lvl w:ilvl="1">
      <w:isLgl w:val="false"/>
      <w:lvlJc w:val="left"/>
      <w:lvlText w:val="%1.%2."/>
      <w:numFmt w:val="decimal"/>
      <w:pPr>
        <w:pBdr/>
        <w:spacing/>
        <w:ind w:hanging="480" w:left="48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tab"/>
    </w:lvl>
  </w:abstractNum>
  <w:abstractNum w:abstractNumId="6">
    <w:lvl w:ilvl="0">
      <w:isLgl w:val="false"/>
      <w:lvlJc w:val="left"/>
      <w:lvlText w:val="9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11.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720"/>
      </w:pPr>
      <w:rPr/>
      <w:start w:val="3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/>
      <w:start w:val="1"/>
      <w:suff w:val="tab"/>
    </w:lvl>
  </w:abstractNum>
  <w:abstractNum w:abstractNumId="10">
    <w:lvl w:ilvl="0">
      <w:isLgl w:val="false"/>
      <w:lvlJc w:val="left"/>
      <w:lvlText w:val="12.%1."/>
      <w:numFmt w:val="decimal"/>
      <w:pPr>
        <w:pBdr/>
        <w:spacing/>
        <w:ind w:hanging="360" w:left="51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11">
    <w:lvl w:ilvl="0">
      <w:isLgl w:val="false"/>
      <w:lvlJc w:val="left"/>
      <w:lvlText w:val="14.%1."/>
      <w:numFmt w:val="decimal"/>
      <w:pPr>
        <w:pBdr/>
        <w:spacing/>
        <w:ind w:hanging="360" w:left="582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5.%1."/>
      <w:numFmt w:val="decimal"/>
      <w:pPr>
        <w:pBdr/>
        <w:spacing/>
        <w:ind w:hanging="360" w:left="185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8.%1."/>
      <w:numFmt w:val="decimal"/>
      <w:pPr>
        <w:pBdr/>
        <w:spacing/>
        <w:ind w:hanging="360" w:left="355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6.%1."/>
      <w:numFmt w:val="decimal"/>
      <w:pPr>
        <w:pBdr/>
        <w:spacing/>
        <w:ind w:hanging="360" w:left="242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7.%1."/>
      <w:numFmt w:val="decimal"/>
      <w:pPr>
        <w:pBdr/>
        <w:spacing/>
        <w:ind w:hanging="360" w:left="298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72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/>
      <w:start w:val="1"/>
      <w:suff w:val="tab"/>
    </w:lvl>
  </w:abstractNum>
  <w:abstractNum w:abstractNumId="18">
    <w:lvl w:ilvl="0">
      <w:isLgl w:val="false"/>
      <w:lvlJc w:val="left"/>
      <w:lvlText w:val="4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1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1069"/>
      </w:pPr>
      <w:rPr/>
      <w:start w:val="2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138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2847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3916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4625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5694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6403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7472"/>
      </w:pPr>
      <w:rPr/>
      <w:start w:val="1"/>
      <w:suff w:val="tab"/>
    </w:lvl>
  </w:abstractNum>
  <w:abstractNum w:abstractNumId="21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9"/>
  </w:num>
  <w:num w:numId="2">
    <w:abstractNumId w:val="3"/>
  </w:num>
  <w:num w:numId="3">
    <w:abstractNumId w:val="4"/>
  </w:num>
  <w:num w:numId="4">
    <w:abstractNumId w:val="18"/>
  </w:num>
  <w:num w:numId="5">
    <w:abstractNumId w:val="13"/>
  </w:num>
  <w:num w:numId="6">
    <w:abstractNumId w:val="15"/>
  </w:num>
  <w:num w:numId="7">
    <w:abstractNumId w:val="16"/>
  </w:num>
  <w:num w:numId="8">
    <w:abstractNumId w:val="14"/>
  </w:num>
  <w:num w:numId="9">
    <w:abstractNumId w:val="6"/>
  </w:num>
  <w:num w:numId="10">
    <w:abstractNumId w:val="2"/>
  </w:num>
  <w:num w:numId="11">
    <w:abstractNumId w:val="8"/>
  </w:num>
  <w:num w:numId="12">
    <w:abstractNumId w:val="10"/>
  </w:num>
  <w:num w:numId="13">
    <w:abstractNumId w:val="11"/>
  </w:num>
  <w:num w:numId="14">
    <w:abstractNumId w:val="1"/>
  </w:num>
  <w:num w:numId="15">
    <w:abstractNumId w:val="7"/>
  </w:num>
  <w:num w:numId="16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0"/>
  </w:num>
  <w:num w:numId="19">
    <w:abstractNumId w:val="17"/>
  </w:num>
  <w:num w:numId="20">
    <w:abstractNumId w:val="20"/>
  </w:num>
  <w:num w:numId="21">
    <w:abstractNumId w:val="9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6">
    <w:name w:val="Intense Emphasis"/>
    <w:basedOn w:val="9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9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9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953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953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9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95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9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953"/>
    <w:uiPriority w:val="99"/>
    <w:semiHidden/>
    <w:pPr>
      <w:pBdr/>
      <w:spacing/>
      <w:ind/>
    </w:pPr>
    <w:rPr>
      <w:color w:val="666666"/>
    </w:rPr>
  </w:style>
  <w:style w:type="paragraph" w:styleId="753">
    <w:name w:val="Heading 1"/>
    <w:basedOn w:val="931"/>
    <w:next w:val="931"/>
    <w:link w:val="75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54">
    <w:name w:val="Heading 1 Char"/>
    <w:link w:val="75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55">
    <w:name w:val="Heading 2"/>
    <w:basedOn w:val="931"/>
    <w:next w:val="931"/>
    <w:link w:val="75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56">
    <w:name w:val="Heading 2 Char"/>
    <w:link w:val="75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57">
    <w:name w:val="Heading 3"/>
    <w:basedOn w:val="931"/>
    <w:next w:val="931"/>
    <w:link w:val="75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58">
    <w:name w:val="Heading 3 Char"/>
    <w:link w:val="75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59">
    <w:name w:val="Heading 4"/>
    <w:basedOn w:val="931"/>
    <w:next w:val="931"/>
    <w:link w:val="76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0">
    <w:name w:val="Heading 4 Char"/>
    <w:link w:val="75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61">
    <w:name w:val="Heading 5"/>
    <w:basedOn w:val="931"/>
    <w:next w:val="931"/>
    <w:link w:val="76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2">
    <w:name w:val="Heading 5 Char"/>
    <w:link w:val="76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63">
    <w:name w:val="Heading 6"/>
    <w:basedOn w:val="931"/>
    <w:next w:val="931"/>
    <w:link w:val="76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4">
    <w:name w:val="Heading 6 Char"/>
    <w:link w:val="76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65">
    <w:name w:val="Heading 7"/>
    <w:basedOn w:val="931"/>
    <w:next w:val="931"/>
    <w:link w:val="76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6">
    <w:name w:val="Heading 7 Char"/>
    <w:link w:val="76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7">
    <w:name w:val="Heading 8"/>
    <w:basedOn w:val="931"/>
    <w:next w:val="931"/>
    <w:link w:val="76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8">
    <w:name w:val="Heading 8 Char"/>
    <w:link w:val="76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69">
    <w:name w:val="Heading 9"/>
    <w:basedOn w:val="931"/>
    <w:next w:val="931"/>
    <w:link w:val="77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0">
    <w:name w:val="Heading 9 Char"/>
    <w:link w:val="76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71">
    <w:name w:val="List Paragraph"/>
    <w:basedOn w:val="931"/>
    <w:uiPriority w:val="34"/>
    <w:qFormat/>
    <w:pPr>
      <w:pBdr/>
      <w:spacing/>
      <w:ind w:left="720"/>
      <w:contextualSpacing w:val="true"/>
    </w:pPr>
  </w:style>
  <w:style w:type="paragraph" w:styleId="772">
    <w:name w:val="No Spacing"/>
    <w:uiPriority w:val="1"/>
    <w:qFormat/>
    <w:pPr>
      <w:pBdr/>
      <w:spacing w:after="0" w:before="0" w:line="240" w:lineRule="auto"/>
      <w:ind/>
    </w:pPr>
  </w:style>
  <w:style w:type="paragraph" w:styleId="773">
    <w:name w:val="Title"/>
    <w:basedOn w:val="931"/>
    <w:next w:val="931"/>
    <w:link w:val="774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74">
    <w:name w:val="Title Char"/>
    <w:link w:val="773"/>
    <w:uiPriority w:val="10"/>
    <w:pPr>
      <w:pBdr/>
      <w:spacing/>
      <w:ind/>
    </w:pPr>
    <w:rPr>
      <w:sz w:val="48"/>
      <w:szCs w:val="48"/>
    </w:rPr>
  </w:style>
  <w:style w:type="paragraph" w:styleId="775">
    <w:name w:val="Subtitle"/>
    <w:basedOn w:val="931"/>
    <w:next w:val="931"/>
    <w:link w:val="776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76">
    <w:name w:val="Subtitle Char"/>
    <w:link w:val="775"/>
    <w:uiPriority w:val="11"/>
    <w:pPr>
      <w:pBdr/>
      <w:spacing/>
      <w:ind/>
    </w:pPr>
    <w:rPr>
      <w:sz w:val="24"/>
      <w:szCs w:val="24"/>
    </w:rPr>
  </w:style>
  <w:style w:type="paragraph" w:styleId="777">
    <w:name w:val="Quote"/>
    <w:basedOn w:val="931"/>
    <w:next w:val="931"/>
    <w:link w:val="778"/>
    <w:uiPriority w:val="29"/>
    <w:qFormat/>
    <w:pPr>
      <w:pBdr/>
      <w:spacing/>
      <w:ind w:right="720" w:left="720"/>
    </w:pPr>
    <w:rPr>
      <w:i/>
    </w:rPr>
  </w:style>
  <w:style w:type="character" w:styleId="778">
    <w:name w:val="Quote Char"/>
    <w:link w:val="777"/>
    <w:uiPriority w:val="29"/>
    <w:pPr>
      <w:pBdr/>
      <w:spacing/>
      <w:ind/>
    </w:pPr>
    <w:rPr>
      <w:i/>
    </w:rPr>
  </w:style>
  <w:style w:type="paragraph" w:styleId="779">
    <w:name w:val="Intense Quote"/>
    <w:basedOn w:val="931"/>
    <w:next w:val="931"/>
    <w:link w:val="78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80">
    <w:name w:val="Intense Quote Char"/>
    <w:link w:val="779"/>
    <w:uiPriority w:val="30"/>
    <w:pPr>
      <w:pBdr/>
      <w:spacing/>
      <w:ind/>
    </w:pPr>
    <w:rPr>
      <w:i/>
    </w:rPr>
  </w:style>
  <w:style w:type="paragraph" w:styleId="781">
    <w:name w:val="Header"/>
    <w:basedOn w:val="931"/>
    <w:link w:val="78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82">
    <w:name w:val="Header Char"/>
    <w:link w:val="781"/>
    <w:uiPriority w:val="99"/>
    <w:pPr>
      <w:pBdr/>
      <w:spacing/>
      <w:ind/>
    </w:pPr>
  </w:style>
  <w:style w:type="paragraph" w:styleId="783">
    <w:name w:val="Footer"/>
    <w:basedOn w:val="931"/>
    <w:link w:val="78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84">
    <w:name w:val="Footer Char"/>
    <w:link w:val="783"/>
    <w:uiPriority w:val="99"/>
    <w:pPr>
      <w:pBdr/>
      <w:spacing/>
      <w:ind/>
    </w:pPr>
  </w:style>
  <w:style w:type="paragraph" w:styleId="785">
    <w:name w:val="Caption"/>
    <w:basedOn w:val="931"/>
    <w:next w:val="93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86">
    <w:name w:val="Caption Char"/>
    <w:basedOn w:val="785"/>
    <w:link w:val="783"/>
    <w:uiPriority w:val="99"/>
    <w:pPr>
      <w:pBdr/>
      <w:spacing/>
      <w:ind/>
    </w:pPr>
  </w:style>
  <w:style w:type="table" w:styleId="787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3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14">
    <w:name w:val="footnote text"/>
    <w:basedOn w:val="931"/>
    <w:link w:val="915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15">
    <w:name w:val="Footnote Text Char"/>
    <w:link w:val="914"/>
    <w:uiPriority w:val="99"/>
    <w:pPr>
      <w:pBdr/>
      <w:spacing/>
      <w:ind/>
    </w:pPr>
    <w:rPr>
      <w:sz w:val="18"/>
    </w:rPr>
  </w:style>
  <w:style w:type="character" w:styleId="916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17">
    <w:name w:val="endnote text"/>
    <w:basedOn w:val="931"/>
    <w:link w:val="918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18">
    <w:name w:val="Endnote Text Char"/>
    <w:link w:val="917"/>
    <w:uiPriority w:val="99"/>
    <w:pPr>
      <w:pBdr/>
      <w:spacing/>
      <w:ind/>
    </w:pPr>
    <w:rPr>
      <w:sz w:val="20"/>
    </w:rPr>
  </w:style>
  <w:style w:type="character" w:styleId="919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20">
    <w:name w:val="toc 1"/>
    <w:basedOn w:val="931"/>
    <w:next w:val="931"/>
    <w:uiPriority w:val="39"/>
    <w:unhideWhenUsed/>
    <w:pPr>
      <w:pBdr/>
      <w:spacing w:after="57"/>
      <w:ind w:right="0" w:firstLine="0" w:left="0"/>
    </w:pPr>
  </w:style>
  <w:style w:type="paragraph" w:styleId="921">
    <w:name w:val="toc 2"/>
    <w:basedOn w:val="931"/>
    <w:next w:val="931"/>
    <w:uiPriority w:val="39"/>
    <w:unhideWhenUsed/>
    <w:pPr>
      <w:pBdr/>
      <w:spacing w:after="57"/>
      <w:ind w:right="0" w:firstLine="0" w:left="283"/>
    </w:pPr>
  </w:style>
  <w:style w:type="paragraph" w:styleId="922">
    <w:name w:val="toc 3"/>
    <w:basedOn w:val="931"/>
    <w:next w:val="931"/>
    <w:uiPriority w:val="39"/>
    <w:unhideWhenUsed/>
    <w:pPr>
      <w:pBdr/>
      <w:spacing w:after="57"/>
      <w:ind w:right="0" w:firstLine="0" w:left="567"/>
    </w:pPr>
  </w:style>
  <w:style w:type="paragraph" w:styleId="923">
    <w:name w:val="toc 4"/>
    <w:basedOn w:val="931"/>
    <w:next w:val="931"/>
    <w:uiPriority w:val="39"/>
    <w:unhideWhenUsed/>
    <w:pPr>
      <w:pBdr/>
      <w:spacing w:after="57"/>
      <w:ind w:right="0" w:firstLine="0" w:left="850"/>
    </w:pPr>
  </w:style>
  <w:style w:type="paragraph" w:styleId="924">
    <w:name w:val="toc 5"/>
    <w:basedOn w:val="931"/>
    <w:next w:val="931"/>
    <w:uiPriority w:val="39"/>
    <w:unhideWhenUsed/>
    <w:pPr>
      <w:pBdr/>
      <w:spacing w:after="57"/>
      <w:ind w:right="0" w:firstLine="0" w:left="1134"/>
    </w:pPr>
  </w:style>
  <w:style w:type="paragraph" w:styleId="925">
    <w:name w:val="toc 6"/>
    <w:basedOn w:val="931"/>
    <w:next w:val="931"/>
    <w:uiPriority w:val="39"/>
    <w:unhideWhenUsed/>
    <w:pPr>
      <w:pBdr/>
      <w:spacing w:after="57"/>
      <w:ind w:right="0" w:firstLine="0" w:left="1417"/>
    </w:pPr>
  </w:style>
  <w:style w:type="paragraph" w:styleId="926">
    <w:name w:val="toc 7"/>
    <w:basedOn w:val="931"/>
    <w:next w:val="931"/>
    <w:uiPriority w:val="39"/>
    <w:unhideWhenUsed/>
    <w:pPr>
      <w:pBdr/>
      <w:spacing w:after="57"/>
      <w:ind w:right="0" w:firstLine="0" w:left="1701"/>
    </w:pPr>
  </w:style>
  <w:style w:type="paragraph" w:styleId="927">
    <w:name w:val="toc 8"/>
    <w:basedOn w:val="931"/>
    <w:next w:val="931"/>
    <w:uiPriority w:val="39"/>
    <w:unhideWhenUsed/>
    <w:pPr>
      <w:pBdr/>
      <w:spacing w:after="57"/>
      <w:ind w:right="0" w:firstLine="0" w:left="1984"/>
    </w:pPr>
  </w:style>
  <w:style w:type="paragraph" w:styleId="928">
    <w:name w:val="toc 9"/>
    <w:basedOn w:val="931"/>
    <w:next w:val="931"/>
    <w:uiPriority w:val="39"/>
    <w:unhideWhenUsed/>
    <w:pPr>
      <w:pBdr/>
      <w:spacing w:after="57"/>
      <w:ind w:right="0" w:firstLine="0" w:left="2268"/>
    </w:pPr>
  </w:style>
  <w:style w:type="paragraph" w:styleId="929">
    <w:name w:val="TOC Heading"/>
    <w:uiPriority w:val="39"/>
    <w:unhideWhenUsed/>
    <w:pPr>
      <w:pBdr/>
      <w:spacing/>
      <w:ind/>
    </w:pPr>
  </w:style>
  <w:style w:type="paragraph" w:styleId="930">
    <w:name w:val="table of figures"/>
    <w:basedOn w:val="931"/>
    <w:next w:val="931"/>
    <w:uiPriority w:val="99"/>
    <w:unhideWhenUsed/>
    <w:pPr>
      <w:pBdr/>
      <w:spacing w:after="0" w:afterAutospacing="0"/>
      <w:ind/>
    </w:pPr>
  </w:style>
  <w:style w:type="paragraph" w:styleId="931" w:default="1">
    <w:name w:val="Normal"/>
    <w:next w:val="931"/>
    <w:link w:val="931"/>
    <w:qFormat/>
    <w:pPr>
      <w:pBdr/>
      <w:spacing/>
      <w:ind w:firstLine="709"/>
      <w:jc w:val="both"/>
    </w:pPr>
    <w:rPr>
      <w:sz w:val="24"/>
      <w:szCs w:val="22"/>
      <w:lang w:val="ru-RU" w:eastAsia="en-US" w:bidi="ar-SA"/>
    </w:rPr>
  </w:style>
  <w:style w:type="paragraph" w:styleId="932">
    <w:name w:val="Заголовок 2"/>
    <w:basedOn w:val="931"/>
    <w:next w:val="931"/>
    <w:link w:val="942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933">
    <w:name w:val="Основной шрифт абзаца"/>
    <w:next w:val="933"/>
    <w:link w:val="931"/>
    <w:uiPriority w:val="1"/>
    <w:unhideWhenUsed/>
    <w:pPr>
      <w:pBdr/>
      <w:spacing/>
      <w:ind/>
    </w:pPr>
  </w:style>
  <w:style w:type="table" w:styleId="934">
    <w:name w:val="Обычная таблица"/>
    <w:next w:val="934"/>
    <w:link w:val="931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5">
    <w:name w:val="Нет списка"/>
    <w:next w:val="935"/>
    <w:link w:val="931"/>
    <w:uiPriority w:val="99"/>
    <w:semiHidden/>
    <w:unhideWhenUsed/>
    <w:pPr>
      <w:pBdr/>
      <w:spacing/>
      <w:ind/>
    </w:pPr>
  </w:style>
  <w:style w:type="paragraph" w:styleId="936">
    <w:name w:val="Основной текст,Знак1,Основной текст Знак Знак Знак,Знак Знак Знак,Основной текст Знак1,Основной текст Знак Знак"/>
    <w:basedOn w:val="931"/>
    <w:next w:val="936"/>
    <w:link w:val="937"/>
    <w:uiPriority w:val="99"/>
    <w:pPr>
      <w:pBdr/>
      <w:spacing w:after="100" w:afterAutospacing="1" w:before="100" w:beforeAutospacing="1"/>
      <w:ind w:firstLine="0"/>
      <w:jc w:val="left"/>
    </w:pPr>
    <w:rPr>
      <w:rFonts w:ascii="Calibri" w:hAnsi="Calibri" w:eastAsia="Times New Roman"/>
      <w:szCs w:val="24"/>
      <w:lang w:eastAsia="ru-RU"/>
    </w:rPr>
  </w:style>
  <w:style w:type="character" w:styleId="937">
    <w:name w:val="Основной текст Знак,Знак1 Знак,Основной текст Знак Знак Знак Знак,Знак Знак Знак Знак,Основной текст Знак1 Знак,Основной текст Знак Знак Знак1"/>
    <w:next w:val="937"/>
    <w:link w:val="936"/>
    <w:uiPriority w:val="99"/>
    <w:pPr>
      <w:pBdr/>
      <w:spacing/>
      <w:ind/>
    </w:pPr>
    <w:rPr>
      <w:rFonts w:ascii="Calibri" w:hAnsi="Calibri" w:eastAsia="Times New Roman"/>
      <w:sz w:val="24"/>
      <w:szCs w:val="24"/>
    </w:rPr>
  </w:style>
  <w:style w:type="paragraph" w:styleId="938">
    <w:name w:val="Основной текст с отступом"/>
    <w:basedOn w:val="931"/>
    <w:next w:val="938"/>
    <w:link w:val="939"/>
    <w:uiPriority w:val="99"/>
    <w:semiHidden/>
    <w:unhideWhenUsed/>
    <w:pPr>
      <w:pBdr/>
      <w:spacing w:after="120"/>
      <w:ind w:left="283"/>
    </w:pPr>
  </w:style>
  <w:style w:type="character" w:styleId="939">
    <w:name w:val="Основной текст с отступом Знак"/>
    <w:next w:val="939"/>
    <w:link w:val="938"/>
    <w:uiPriority w:val="99"/>
    <w:semiHidden/>
    <w:pPr>
      <w:pBdr/>
      <w:spacing/>
      <w:ind/>
    </w:pPr>
    <w:rPr>
      <w:sz w:val="24"/>
      <w:szCs w:val="22"/>
      <w:lang w:eastAsia="en-US"/>
    </w:rPr>
  </w:style>
  <w:style w:type="paragraph" w:styleId="940">
    <w:name w:val="Пункты"/>
    <w:basedOn w:val="932"/>
    <w:next w:val="940"/>
    <w:link w:val="941"/>
    <w:qFormat/>
    <w:pPr>
      <w:pBdr/>
      <w:tabs>
        <w:tab w:val="left" w:leader="none" w:pos="1134"/>
      </w:tabs>
      <w:spacing w:after="0" w:before="120"/>
      <w:ind w:firstLine="567"/>
    </w:pPr>
    <w:rPr>
      <w:rFonts w:ascii="Calibri" w:hAnsi="Calibri" w:eastAsia="Times New Roman" w:cs="Times New Roman"/>
      <w:b w:val="0"/>
      <w:bCs w:val="0"/>
      <w:i w:val="0"/>
      <w:iCs w:val="0"/>
      <w:szCs w:val="20"/>
      <w:lang w:val="en-US" w:eastAsia="en-US"/>
    </w:rPr>
  </w:style>
  <w:style w:type="character" w:styleId="941">
    <w:name w:val="Пункты Знак"/>
    <w:next w:val="941"/>
    <w:link w:val="940"/>
    <w:pPr>
      <w:pBdr/>
      <w:spacing/>
      <w:ind/>
    </w:pPr>
    <w:rPr>
      <w:rFonts w:ascii="Calibri" w:hAnsi="Calibri" w:eastAsia="Times New Roman"/>
      <w:sz w:val="28"/>
      <w:lang w:val="en-US" w:eastAsia="en-US"/>
    </w:rPr>
  </w:style>
  <w:style w:type="character" w:styleId="942">
    <w:name w:val="Заголовок 2 Знак"/>
    <w:next w:val="942"/>
    <w:link w:val="932"/>
    <w:uiPriority w:val="9"/>
    <w:semiHidden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character" w:styleId="943">
    <w:name w:val="Гиперссылка"/>
    <w:next w:val="943"/>
    <w:link w:val="931"/>
    <w:uiPriority w:val="99"/>
    <w:unhideWhenUsed/>
    <w:pPr>
      <w:pBdr/>
      <w:spacing/>
      <w:ind/>
    </w:pPr>
    <w:rPr>
      <w:color w:val="0000ff"/>
      <w:u w:val="single"/>
    </w:rPr>
  </w:style>
  <w:style w:type="paragraph" w:styleId="944">
    <w:name w:val="Без интервала1"/>
    <w:next w:val="944"/>
    <w:link w:val="931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945">
    <w:name w:val="Основной текст 2"/>
    <w:basedOn w:val="931"/>
    <w:next w:val="945"/>
    <w:link w:val="946"/>
    <w:uiPriority w:val="99"/>
    <w:semiHidden/>
    <w:unhideWhenUsed/>
    <w:pPr>
      <w:pBdr/>
      <w:spacing w:after="120" w:line="480" w:lineRule="auto"/>
      <w:ind/>
    </w:pPr>
  </w:style>
  <w:style w:type="character" w:styleId="946">
    <w:name w:val="Основной текст 2 Знак"/>
    <w:next w:val="946"/>
    <w:link w:val="945"/>
    <w:uiPriority w:val="99"/>
    <w:semiHidden/>
    <w:pPr>
      <w:pBdr/>
      <w:spacing/>
      <w:ind/>
    </w:pPr>
    <w:rPr>
      <w:sz w:val="24"/>
      <w:szCs w:val="22"/>
      <w:lang w:eastAsia="en-US"/>
    </w:rPr>
  </w:style>
  <w:style w:type="character" w:styleId="947">
    <w:name w:val="Неразрешенное упоминание"/>
    <w:next w:val="947"/>
    <w:link w:val="931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48">
    <w:name w:val="ConsPlusNormal"/>
    <w:next w:val="948"/>
    <w:link w:val="931"/>
    <w:pPr>
      <w:widowControl w:val="false"/>
      <w:pBdr/>
      <w:spacing/>
      <w:ind/>
    </w:pPr>
    <w:rPr>
      <w:rFonts w:ascii="Calibri" w:hAnsi="Calibri" w:eastAsia="Times New Roman" w:cs="Calibri"/>
      <w:sz w:val="22"/>
      <w:lang w:val="ru-RU" w:eastAsia="ru-RU" w:bidi="ar-SA"/>
    </w:rPr>
  </w:style>
  <w:style w:type="table" w:styleId="949">
    <w:name w:val="Сетка таблицы"/>
    <w:basedOn w:val="934"/>
    <w:next w:val="949"/>
    <w:link w:val="931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50">
    <w:name w:val="Текст выноски"/>
    <w:basedOn w:val="931"/>
    <w:next w:val="950"/>
    <w:link w:val="951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51">
    <w:name w:val="Текст выноски Знак"/>
    <w:next w:val="951"/>
    <w:link w:val="950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952">
    <w:name w:val="Default"/>
    <w:next w:val="952"/>
    <w:link w:val="931"/>
    <w:pPr>
      <w:pBdr/>
      <w:spacing/>
      <w:ind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character" w:styleId="953" w:default="1">
    <w:name w:val="Default Paragraph Font"/>
    <w:uiPriority w:val="1"/>
    <w:semiHidden/>
    <w:unhideWhenUsed/>
    <w:pPr>
      <w:pBdr/>
      <w:spacing/>
      <w:ind/>
    </w:pPr>
  </w:style>
  <w:style w:type="numbering" w:styleId="954" w:default="1">
    <w:name w:val="No List"/>
    <w:uiPriority w:val="99"/>
    <w:semiHidden/>
    <w:unhideWhenUsed/>
    <w:pPr>
      <w:pBdr/>
      <w:spacing/>
      <w:ind/>
    </w:pPr>
  </w:style>
  <w:style w:type="table" w:styleId="955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16</cp:revision>
  <dcterms:created xsi:type="dcterms:W3CDTF">2025-03-21T07:26:00Z</dcterms:created>
  <dcterms:modified xsi:type="dcterms:W3CDTF">2026-06-13T00:32:28Z</dcterms:modified>
  <cp:version>983040</cp:version>
</cp:coreProperties>
</file>