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rPr>
      </w:pPr>
      <w:r>
        <w:rPr>
          <w:b/>
        </w:rPr>
        <w:t>ДОГОВОР № ____</w:t>
      </w:r>
    </w:p>
    <w:p>
      <w:pPr>
        <w:pStyle w:val="Normal"/>
        <w:jc w:val="both"/>
        <w:rPr/>
      </w:pPr>
      <w:r>
        <w:rPr/>
        <w:t xml:space="preserve">           </w:t>
      </w:r>
      <w:r>
        <w:rPr/>
        <w:t>Санкт-Петербург                                                                                          ____________202</w:t>
      </w:r>
      <w:r>
        <w:rPr/>
        <w:t>6</w:t>
      </w:r>
      <w:r>
        <w:rPr/>
        <w:t>г.</w:t>
      </w:r>
    </w:p>
    <w:p>
      <w:pPr>
        <w:pStyle w:val="NormalWeb"/>
        <w:spacing w:before="280" w:after="280"/>
        <w:ind w:firstLine="709"/>
        <w:jc w:val="both"/>
        <w:rPr/>
      </w:pPr>
      <w:r>
        <w:rPr/>
        <w:t>Санкт-Петербургское государственное бюджетное учреждение здравоохранения  «Городская больница № 33»</w:t>
      </w:r>
      <w:r>
        <w:rPr>
          <w:color w:val="000000"/>
          <w:sz w:val="27"/>
          <w:szCs w:val="27"/>
        </w:rPr>
        <w:t xml:space="preserve"> </w:t>
      </w:r>
      <w:r>
        <w:rPr/>
        <w:t>(СПБ ГБУЗ «Городская больница № 33»), именуемое в дальнейшем «Заказчик», в лице главного врача Журавлева Сергея Васильевича,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pPr>
        <w:pStyle w:val="Normal"/>
        <w:jc w:val="center"/>
        <w:rPr>
          <w:b/>
          <w:b/>
        </w:rPr>
      </w:pPr>
      <w:r>
        <w:rPr>
          <w:b/>
        </w:rPr>
        <w:t>1. Предмет Договора</w:t>
      </w:r>
    </w:p>
    <w:p>
      <w:pPr>
        <w:pStyle w:val="Normal"/>
        <w:ind w:firstLine="708"/>
        <w:jc w:val="both"/>
        <w:rPr/>
      </w:pPr>
      <w:r>
        <w:rPr/>
        <w:t>1.1. Поставщик обязуется поставить Заказчику Товар, наименование, количество, технические характеристики, общая и единичная стоимость которого установлены в Спецификации (приложение № 1 к Договору), являющейся неотъемлемой частью Договора, на условиях, установленных настоящим Договором, а Заказчик обязуется принять Товар надлежащего качества и оплатить его в порядке и на условиях, предусмотренных настоящим Договором.</w:t>
      </w:r>
    </w:p>
    <w:p>
      <w:pPr>
        <w:pStyle w:val="Normal"/>
        <w:jc w:val="both"/>
        <w:rPr/>
      </w:pPr>
      <w:r>
        <w:rPr/>
        <w:t xml:space="preserve">            </w:t>
      </w:r>
      <w:r>
        <w:rPr/>
        <w:t>1.2. Идентификационный код закупки __________________________.</w:t>
      </w:r>
    </w:p>
    <w:p>
      <w:pPr>
        <w:pStyle w:val="Normal"/>
        <w:jc w:val="both"/>
        <w:rPr/>
      </w:pPr>
      <w:r>
        <w:rPr/>
      </w:r>
    </w:p>
    <w:p>
      <w:pPr>
        <w:pStyle w:val="Normal"/>
        <w:jc w:val="center"/>
        <w:rPr>
          <w:b/>
          <w:b/>
        </w:rPr>
      </w:pPr>
      <w:r>
        <w:rPr>
          <w:b/>
        </w:rPr>
        <w:t>2. Цена Договора и порядок расчетов</w:t>
      </w:r>
    </w:p>
    <w:p>
      <w:pPr>
        <w:pStyle w:val="Normal"/>
        <w:ind w:firstLine="708"/>
        <w:jc w:val="both"/>
        <w:rPr/>
      </w:pPr>
      <w:r>
        <w:rPr/>
        <w:t xml:space="preserve">2.1. Цена Договора составляет </w:t>
      </w:r>
      <w:r>
        <w:rPr>
          <w:b/>
        </w:rPr>
        <w:t>____ рублей ____копеек</w:t>
      </w:r>
      <w:r>
        <w:rPr/>
        <w:t>, включая НДС/без НДС.</w:t>
      </w:r>
    </w:p>
    <w:p>
      <w:pPr>
        <w:pStyle w:val="Normal"/>
        <w:jc w:val="both"/>
        <w:rPr/>
      </w:pPr>
      <w:r>
        <w:rPr/>
        <w:t xml:space="preserve">            </w:t>
      </w:r>
      <w:r>
        <w:rPr/>
        <w:t>Источник финансирования внебюджетные средства ________________________________</w:t>
      </w:r>
    </w:p>
    <w:p>
      <w:pPr>
        <w:pStyle w:val="Normal"/>
        <w:ind w:firstLine="708"/>
        <w:jc w:val="both"/>
        <w:rPr/>
      </w:pPr>
      <w:r>
        <w:rPr/>
        <w:t>2.2. Цена Договора является твердой и определяется на весь срок исполнения Договора. Цена Договора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ind w:firstLine="708"/>
        <w:jc w:val="both"/>
        <w:rPr/>
      </w:pPr>
      <w:r>
        <w:rPr/>
        <w:t xml:space="preserve">2.3. Оплата производится Заказчиком единовременным платежом на расчетный счет Поставщика, указанный в Договоре, по факту поставки Заказчику Товара </w:t>
      </w:r>
      <w:r>
        <w:rPr>
          <w:b/>
        </w:rPr>
        <w:t>в течение 10 (десяти) рабочих дней</w:t>
      </w:r>
      <w:r>
        <w:rPr/>
        <w:t xml:space="preserve">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Основанием для оплаты является счет, счет-фактура (при наличии), товарная накладная, либо УПД, подписанные Сторонами.</w:t>
      </w:r>
    </w:p>
    <w:p>
      <w:pPr>
        <w:pStyle w:val="Normal"/>
        <w:jc w:val="both"/>
        <w:rPr/>
      </w:pPr>
      <w:r>
        <w:rPr/>
      </w:r>
    </w:p>
    <w:p>
      <w:pPr>
        <w:pStyle w:val="Normal"/>
        <w:jc w:val="center"/>
        <w:rPr>
          <w:b/>
          <w:b/>
        </w:rPr>
      </w:pPr>
      <w:r>
        <w:rPr>
          <w:b/>
        </w:rPr>
        <w:t>3. Порядок поставки Товара</w:t>
      </w:r>
    </w:p>
    <w:p>
      <w:pPr>
        <w:pStyle w:val="Normal"/>
        <w:ind w:firstLine="708"/>
        <w:jc w:val="both"/>
        <w:rPr/>
      </w:pPr>
      <w:r>
        <w:rPr/>
        <w:t xml:space="preserve">3.1. Поставка Товара осуществляется Поставщиком по рабочим дням с 09.00 до 16.00 по московскому времени по адресу: 196653, г. Санкт-Петербург, г. Колпино, ул. Карла Маркса, дом 21, лит. А (склад) до места складирования, указанного Заказчиком, по заявке Заказчика, </w:t>
      </w:r>
      <w:r>
        <w:rPr>
          <w:b/>
        </w:rPr>
        <w:t>в течение 10 (десяти) рабочих дней с момента направления заявки</w:t>
      </w:r>
      <w:r>
        <w:rPr/>
        <w:t>. Погрузо-разгрузочные работы, осуществляются силами и за счет средств Поставщика.</w:t>
      </w:r>
    </w:p>
    <w:p>
      <w:pPr>
        <w:pStyle w:val="Normal"/>
        <w:ind w:firstLine="708"/>
        <w:jc w:val="both"/>
        <w:rPr/>
      </w:pPr>
      <w:r>
        <w:rPr>
          <w:b/>
        </w:rPr>
        <w:t>Не допускается разбивка партии товара, определенной заявкой, в период поставки по инициативе Поставщика.</w:t>
      </w:r>
      <w:r>
        <w:rPr/>
        <w:t xml:space="preserve"> Разбивка партии Товара в период поставки допускается по инициативе Заказчика по согласованию с Поставщиком. Заявка направляется Заказчиком Поставщику в письменном виде по электронной почте.</w:t>
      </w:r>
    </w:p>
    <w:p>
      <w:pPr>
        <w:pStyle w:val="Normal"/>
        <w:suppressAutoHyphens w:val="true"/>
        <w:ind w:firstLine="709"/>
        <w:jc w:val="both"/>
        <w:rPr>
          <w:rFonts w:eastAsia="Calibri"/>
          <w:bCs/>
          <w:color w:val="FF0000"/>
        </w:rPr>
      </w:pPr>
      <w:r>
        <w:rPr>
          <w:rFonts w:eastAsia="SimSun" w:cs="Mangal"/>
          <w:bCs/>
          <w:kern w:val="2"/>
        </w:rPr>
        <w:t xml:space="preserve">Ответственное лицо Заказчика за приемку товара – </w:t>
      </w:r>
      <w:r>
        <w:rPr>
          <w:rFonts w:eastAsia="Calibri"/>
          <w:b/>
          <w:bCs/>
        </w:rPr>
        <w:t xml:space="preserve">начальник хозяйственного отдела Бостонов </w:t>
      </w:r>
      <w:r>
        <w:rPr>
          <w:rFonts w:eastAsia="Calibri" w:cs="Times New Roman"/>
          <w:b/>
          <w:bCs/>
          <w:sz w:val="24"/>
          <w:szCs w:val="24"/>
          <w:lang w:eastAsia="ru-RU"/>
        </w:rPr>
        <w:t>Юрий</w:t>
      </w:r>
      <w:r>
        <w:rPr>
          <w:rFonts w:eastAsia="Calibri"/>
          <w:b/>
          <w:bCs/>
        </w:rPr>
        <w:t xml:space="preserve"> Васильевич, тел: (812) 417-32-79</w:t>
      </w:r>
    </w:p>
    <w:p>
      <w:pPr>
        <w:pStyle w:val="Normal"/>
        <w:ind w:firstLine="708"/>
        <w:jc w:val="both"/>
        <w:rPr/>
      </w:pPr>
      <w:r>
        <w:rPr/>
        <w:t>О конкретной дате и времени поставки товара Поставщик уведомляет лицо, ответственное за приемку товара за два дня до поставки товара.</w:t>
      </w:r>
    </w:p>
    <w:p>
      <w:pPr>
        <w:pStyle w:val="Normal"/>
        <w:ind w:firstLine="708"/>
        <w:jc w:val="both"/>
        <w:rPr/>
      </w:pPr>
      <w:r>
        <w:rPr/>
        <w:t xml:space="preserve">3.2. Товар должен иметь упаковку, предотвращающую его порчу при транспортировке. </w:t>
      </w:r>
    </w:p>
    <w:p>
      <w:pPr>
        <w:pStyle w:val="Normal"/>
        <w:ind w:firstLine="708"/>
        <w:jc w:val="both"/>
        <w:rPr/>
      </w:pPr>
      <w:r>
        <w:rPr/>
        <w:t>3.3. В день поставки Поставщик о</w:t>
      </w:r>
      <w:bookmarkStart w:id="0" w:name="_GoBack"/>
      <w:bookmarkEnd w:id="0"/>
      <w:r>
        <w:rPr/>
        <w:t>дновременно с Товаром должен передать Заказчику сопроводительные документы, относящиеся к Товару и указанные в п. 2.3 Договора, а также документы, подтверждающие качество товара. В случае отсутствия вышеназванных документов Заказчик вправе отказаться от приемки Товара. Товар будет считаться не поставленным.</w:t>
      </w:r>
    </w:p>
    <w:p>
      <w:pPr>
        <w:pStyle w:val="Normal"/>
        <w:jc w:val="center"/>
        <w:rPr>
          <w:rFonts w:eastAsia="Calibri"/>
          <w:bCs/>
          <w:kern w:val="2"/>
          <w:sz w:val="20"/>
          <w:szCs w:val="20"/>
          <w:lang w:eastAsia="zh-CN"/>
        </w:rPr>
      </w:pPr>
      <w:r>
        <w:rPr>
          <w:rFonts w:eastAsia="Calibri"/>
          <w:bCs/>
          <w:kern w:val="2"/>
          <w:sz w:val="20"/>
          <w:szCs w:val="20"/>
          <w:lang w:eastAsia="zh-CN"/>
        </w:rPr>
      </w:r>
    </w:p>
    <w:p>
      <w:pPr>
        <w:pStyle w:val="Normal"/>
        <w:jc w:val="center"/>
        <w:rPr>
          <w:b/>
          <w:b/>
        </w:rPr>
      </w:pPr>
      <w:r>
        <w:rPr>
          <w:b/>
        </w:rPr>
        <w:t>4. Порядок приемки Товара</w:t>
      </w:r>
    </w:p>
    <w:p>
      <w:pPr>
        <w:pStyle w:val="Normal"/>
        <w:jc w:val="both"/>
        <w:rPr/>
      </w:pPr>
      <w:r>
        <w:rPr/>
      </w:r>
    </w:p>
    <w:p>
      <w:pPr>
        <w:pStyle w:val="Normal"/>
        <w:ind w:firstLine="708"/>
        <w:jc w:val="both"/>
        <w:rPr/>
      </w:pPr>
      <w:r>
        <w:rPr/>
        <w:t>4.1. Приемка Товара осуществляется Заказчиком и заключается в проверке предоставленного исполнения на соответствие требованиям Договора. В случае соответствия поставленного Товара требованиям Договора, составляется документ о приемке Товара.</w:t>
      </w:r>
    </w:p>
    <w:p>
      <w:pPr>
        <w:pStyle w:val="Normal"/>
        <w:ind w:firstLine="708"/>
        <w:jc w:val="both"/>
        <w:rPr/>
      </w:pPr>
      <w:r>
        <w:rPr/>
        <w:t xml:space="preserve">4.2. В случае несоответствия Товара требованиям Договора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pStyle w:val="Normal"/>
        <w:ind w:firstLine="708"/>
        <w:jc w:val="both"/>
        <w:rPr/>
      </w:pPr>
      <w:r>
        <w:rPr/>
        <w:t>4.3. При выявлении несоответствия поставленного Товара условиям Договора,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ind w:firstLine="708"/>
        <w:jc w:val="both"/>
        <w:rPr/>
      </w:pPr>
      <w:r>
        <w:rPr/>
        <w:t>4.4. Претензии по скрытым недостаткам могут быть заявлены Заказчиком в течение срока полезного использования, гарантийного срока и срока годности Товара.</w:t>
      </w:r>
    </w:p>
    <w:p>
      <w:pPr>
        <w:pStyle w:val="Normal"/>
        <w:ind w:firstLine="708"/>
        <w:jc w:val="both"/>
        <w:rPr/>
      </w:pPr>
      <w:r>
        <w:rPr/>
        <w:t>4.5. 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ind w:firstLine="708"/>
        <w:jc w:val="both"/>
        <w:rPr/>
      </w:pPr>
      <w:r>
        <w:rPr/>
        <w:t>4.6. Все расходы, связанные с устранением недостатков, несет Поставщик.</w:t>
      </w:r>
    </w:p>
    <w:p>
      <w:pPr>
        <w:pStyle w:val="Normal"/>
        <w:ind w:firstLine="708"/>
        <w:jc w:val="both"/>
        <w:rPr/>
      </w:pPr>
      <w:r>
        <w:rPr/>
        <w:t xml:space="preserve">4.7. Срок приемки товара и проведения экспертизы его качества – </w:t>
      </w:r>
      <w:r>
        <w:rPr>
          <w:b/>
        </w:rPr>
        <w:t>5 (пять) рабочих дней</w:t>
      </w:r>
      <w:r>
        <w:rPr/>
        <w:t xml:space="preserve"> с момента поставки товара и предъявления товаросопроводительных документов. </w:t>
      </w:r>
    </w:p>
    <w:p>
      <w:pPr>
        <w:pStyle w:val="Normal"/>
        <w:jc w:val="both"/>
        <w:rPr/>
      </w:pPr>
      <w:r>
        <w:rPr/>
      </w:r>
    </w:p>
    <w:p>
      <w:pPr>
        <w:pStyle w:val="Normal"/>
        <w:jc w:val="center"/>
        <w:rPr>
          <w:b/>
          <w:b/>
        </w:rPr>
      </w:pPr>
      <w:r>
        <w:rPr>
          <w:b/>
        </w:rPr>
        <w:t>5. Права и обязанности сторон</w:t>
      </w:r>
    </w:p>
    <w:p>
      <w:pPr>
        <w:pStyle w:val="Normal"/>
        <w:ind w:firstLine="708"/>
        <w:jc w:val="both"/>
        <w:rPr/>
      </w:pPr>
      <w:r>
        <w:rPr/>
        <w:t>5.1. Заказчик вправе:</w:t>
      </w:r>
    </w:p>
    <w:p>
      <w:pPr>
        <w:pStyle w:val="Normal"/>
        <w:ind w:firstLine="708"/>
        <w:jc w:val="both"/>
        <w:rPr/>
      </w:pPr>
      <w:r>
        <w:rPr/>
        <w:t>5.1.1.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w:t>
      </w:r>
    </w:p>
    <w:p>
      <w:pPr>
        <w:pStyle w:val="Normal"/>
        <w:ind w:firstLine="708"/>
        <w:jc w:val="both"/>
        <w:rPr/>
      </w:pPr>
      <w:r>
        <w:rPr/>
        <w:t>5.1.2 В случае досрочного исполнения Поставщиком обязательств по Договору принять и оплатить Товар в соответствии с установленным в Договоре порядком.</w:t>
      </w:r>
    </w:p>
    <w:p>
      <w:pPr>
        <w:pStyle w:val="Normal"/>
        <w:ind w:firstLine="708"/>
        <w:jc w:val="both"/>
        <w:rPr/>
      </w:pPr>
      <w:r>
        <w:rPr/>
        <w:t>5.1.3. Запрашивать у Поставщика информацию о ходе исполнения обязательств по Договору.</w:t>
      </w:r>
    </w:p>
    <w:p>
      <w:pPr>
        <w:pStyle w:val="Normal"/>
        <w:ind w:firstLine="708"/>
        <w:jc w:val="both"/>
        <w:rPr/>
      </w:pPr>
      <w:r>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ind w:firstLine="708"/>
        <w:jc w:val="both"/>
        <w:rPr/>
      </w:pPr>
      <w:r>
        <w:rPr/>
        <w:t>5.1.5. Отказаться от приемки Товара в случаях, предусмотренных Договором.</w:t>
      </w:r>
    </w:p>
    <w:p>
      <w:pPr>
        <w:pStyle w:val="Normal"/>
        <w:ind w:firstLine="708"/>
        <w:jc w:val="both"/>
        <w:rPr/>
      </w:pPr>
      <w:r>
        <w:rPr/>
        <w:t>5.1.6. В одностороннем порядке отказаться от исполнения Договора в соответствии с Законом о контрактной системе.</w:t>
      </w:r>
    </w:p>
    <w:p>
      <w:pPr>
        <w:pStyle w:val="Normal"/>
        <w:ind w:firstLine="708"/>
        <w:jc w:val="both"/>
        <w:rPr/>
      </w:pPr>
      <w:r>
        <w:rPr/>
        <w:t>5.2. Заказчик обязан:</w:t>
      </w:r>
    </w:p>
    <w:p>
      <w:pPr>
        <w:pStyle w:val="Normal"/>
        <w:ind w:firstLine="708"/>
        <w:jc w:val="both"/>
        <w:rPr/>
      </w:pPr>
      <w:r>
        <w:rPr/>
        <w:t>5.2.1. Своевременно принять поставленный Товар в соответствии с Договором, включая проведение экспертизы поставленного Товара.</w:t>
      </w:r>
    </w:p>
    <w:p>
      <w:pPr>
        <w:pStyle w:val="Normal"/>
        <w:ind w:firstLine="708"/>
        <w:jc w:val="both"/>
        <w:rPr/>
      </w:pPr>
      <w:r>
        <w:rPr/>
        <w:t>5.2.2. Своевременно оплатить поставленный Товар надлежащего качества в соответствии с Договором.</w:t>
      </w:r>
    </w:p>
    <w:p>
      <w:pPr>
        <w:pStyle w:val="Normal"/>
        <w:ind w:firstLine="708"/>
        <w:jc w:val="both"/>
        <w:rPr/>
      </w:pPr>
      <w:r>
        <w:rPr/>
        <w:t>5.3. Поставщик вправе:</w:t>
      </w:r>
    </w:p>
    <w:p>
      <w:pPr>
        <w:pStyle w:val="Normal"/>
        <w:ind w:firstLine="708"/>
        <w:jc w:val="both"/>
        <w:rPr/>
      </w:pPr>
      <w:r>
        <w:rPr/>
        <w:t>5.3.1. Требовать своевременной приемки и оплаты за поставленный Товар в соответствии с условиями Договора.</w:t>
      </w:r>
    </w:p>
    <w:p>
      <w:pPr>
        <w:pStyle w:val="Normal"/>
        <w:ind w:firstLine="708"/>
        <w:jc w:val="both"/>
        <w:rPr/>
      </w:pPr>
      <w:r>
        <w:rPr/>
        <w:t>5.3.2. Запрашивать у Заказчика разъяснения и уточнения относительно Товара в рамках Договора.</w:t>
      </w:r>
    </w:p>
    <w:p>
      <w:pPr>
        <w:pStyle w:val="Normal"/>
        <w:ind w:firstLine="708"/>
        <w:jc w:val="both"/>
        <w:rPr/>
      </w:pPr>
      <w:r>
        <w:rPr/>
        <w:t>5.3.3. Получать от Заказчика содействие при поставке Товара в соответствии с условиями Договора.</w:t>
      </w:r>
    </w:p>
    <w:p>
      <w:pPr>
        <w:pStyle w:val="Normal"/>
        <w:ind w:firstLine="708"/>
        <w:jc w:val="both"/>
        <w:rPr/>
      </w:pPr>
      <w:r>
        <w:rPr/>
        <w:t>5.3.4. Досрочно исполнить обязательства по Договору с согласия Заказчика.</w:t>
      </w:r>
    </w:p>
    <w:p>
      <w:pPr>
        <w:pStyle w:val="Normal"/>
        <w:ind w:firstLine="708"/>
        <w:jc w:val="both"/>
        <w:rPr/>
      </w:pPr>
      <w:r>
        <w:rPr/>
        <w:t>5.4. Поставщик обязан:</w:t>
      </w:r>
    </w:p>
    <w:p>
      <w:pPr>
        <w:pStyle w:val="Normal"/>
        <w:ind w:firstLine="708"/>
        <w:jc w:val="both"/>
        <w:rPr/>
      </w:pPr>
      <w:r>
        <w:rPr/>
        <w:t>5.4.1. Своевременно и надлежащим образом исполнять обязательства по поставке Товара в соответствии с условиями Договора.</w:t>
      </w:r>
    </w:p>
    <w:p>
      <w:pPr>
        <w:pStyle w:val="Normal"/>
        <w:ind w:firstLine="708"/>
        <w:jc w:val="both"/>
        <w:rPr/>
      </w:pPr>
      <w:r>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pPr>
        <w:pStyle w:val="Normal"/>
        <w:ind w:firstLine="708"/>
        <w:jc w:val="both"/>
        <w:rPr/>
      </w:pPr>
      <w:r>
        <w:rPr/>
        <w:t>5.4.3. Обеспечить устранение недостатков, выявленных при приемке Заказчиком Товара и в течение гарантийного срока, за свой счет.</w:t>
      </w:r>
    </w:p>
    <w:p>
      <w:pPr>
        <w:pStyle w:val="Normal"/>
        <w:ind w:firstLine="708"/>
        <w:jc w:val="both"/>
        <w:rPr/>
      </w:pPr>
      <w:r>
        <w:rPr/>
        <w:t xml:space="preserve">5.4.4. Приостановить поставку Товара в случае обнаружения не зависящих </w:t>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w:t>
        <w:br/>
        <w:t>и сообщить об этом Заказчику в течение одного рабочего дня после приостановления поставки.</w:t>
      </w:r>
    </w:p>
    <w:p>
      <w:pPr>
        <w:pStyle w:val="Normal"/>
        <w:ind w:firstLine="708"/>
        <w:jc w:val="both"/>
        <w:rPr/>
      </w:pPr>
      <w:r>
        <w:rPr/>
        <w:t>5.4.5. Представить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Договоре, будут считаться надлежащими.</w:t>
      </w:r>
    </w:p>
    <w:p>
      <w:pPr>
        <w:pStyle w:val="Normal"/>
        <w:ind w:firstLine="708"/>
        <w:jc w:val="both"/>
        <w:rPr/>
      </w:pPr>
      <w:r>
        <w:rPr/>
      </w:r>
    </w:p>
    <w:p>
      <w:pPr>
        <w:pStyle w:val="Normal"/>
        <w:jc w:val="center"/>
        <w:rPr>
          <w:b/>
          <w:b/>
        </w:rPr>
      </w:pPr>
      <w:r>
        <w:rPr>
          <w:b/>
        </w:rPr>
        <w:t>6. Гарантии</w:t>
      </w:r>
    </w:p>
    <w:p>
      <w:pPr>
        <w:pStyle w:val="Normal"/>
        <w:ind w:firstLine="708"/>
        <w:jc w:val="both"/>
        <w:rPr/>
      </w:pPr>
      <w:r>
        <w:rPr/>
        <w:t>6.1. 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 Срок гарантии 12 месяцев с момента подписания Заказчиком документа о приемке Товара.</w:t>
      </w:r>
    </w:p>
    <w:p>
      <w:pPr>
        <w:pStyle w:val="Normal"/>
        <w:ind w:firstLine="708"/>
        <w:jc w:val="both"/>
        <w:rPr/>
      </w:pPr>
      <w:r>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bookmarkStart w:id="1" w:name="_Hlk63080360"/>
      <w:r>
        <w:rPr/>
        <w:t xml:space="preserve">Срок замены некачественного Товара </w:t>
      </w:r>
      <w:bookmarkEnd w:id="1"/>
      <w:r>
        <w:rPr/>
        <w:t>– 5 рабочих дней с момента получения претензии по качеству Товара.</w:t>
      </w:r>
    </w:p>
    <w:p>
      <w:pPr>
        <w:pStyle w:val="Normal"/>
        <w:ind w:firstLine="708"/>
        <w:jc w:val="both"/>
        <w:rPr/>
      </w:pPr>
      <w:r>
        <w:rPr/>
        <w:t xml:space="preserve">6.3. Если в период действия гарантийного срока Поставщик осуществляет замену Товара, то на замененный Товар предоставляется аналогичный срок гарантии, тому, что был предоставлен на замененный товар.  </w:t>
      </w:r>
    </w:p>
    <w:p>
      <w:pPr>
        <w:pStyle w:val="Normal"/>
        <w:ind w:firstLine="708"/>
        <w:jc w:val="both"/>
        <w:rPr/>
      </w:pPr>
      <w:r>
        <w:rPr/>
        <w:t>6.4. Все расходы, связанные с заменой Товара, ненадлежащего качества, осуществляются за счет Поставщика.</w:t>
      </w:r>
    </w:p>
    <w:p>
      <w:pPr>
        <w:pStyle w:val="Normal"/>
        <w:ind w:firstLine="708"/>
        <w:jc w:val="both"/>
        <w:rPr/>
      </w:pPr>
      <w:r>
        <w:rPr/>
      </w:r>
    </w:p>
    <w:p>
      <w:pPr>
        <w:pStyle w:val="Normal"/>
        <w:jc w:val="center"/>
        <w:rPr>
          <w:b/>
          <w:b/>
        </w:rPr>
      </w:pPr>
      <w:r>
        <w:rPr>
          <w:b/>
        </w:rPr>
        <w:t>7. Ответственность сторон</w:t>
      </w:r>
    </w:p>
    <w:p>
      <w:pPr>
        <w:pStyle w:val="Normal"/>
        <w:ind w:firstLine="708"/>
        <w:jc w:val="both"/>
        <w:rPr/>
      </w:pPr>
      <w:r>
        <w:rPr/>
        <w:t xml:space="preserve">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pPr>
        <w:pStyle w:val="Normal"/>
        <w:ind w:firstLine="540"/>
        <w:jc w:val="both"/>
        <w:rPr/>
      </w:pPr>
      <w:r>
        <w:rPr/>
        <w:t xml:space="preserve">  </w:t>
      </w:r>
      <w:r>
        <w:rPr/>
        <w:t xml:space="preserve">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2">
        <w:r>
          <w:rPr>
            <w:rStyle w:val="Style14"/>
            <w:color w:val="auto"/>
            <w:u w:val="none"/>
          </w:rPr>
          <w:t>ключевой ставки</w:t>
        </w:r>
      </w:hyperlink>
      <w:r>
        <w:rPr/>
        <w:t xml:space="preserve"> Центрального банка Российской Федерации от не уплаченной в срок суммы. </w:t>
      </w:r>
    </w:p>
    <w:p>
      <w:pPr>
        <w:pStyle w:val="Normal"/>
        <w:ind w:firstLine="708"/>
        <w:jc w:val="both"/>
        <w:rPr/>
      </w:pPr>
      <w:r>
        <w:rPr/>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(одна тысяча) рублей.</w:t>
      </w:r>
    </w:p>
    <w:p>
      <w:pPr>
        <w:pStyle w:val="Normal"/>
        <w:ind w:firstLine="708"/>
        <w:jc w:val="both"/>
        <w:rPr/>
      </w:pPr>
      <w:r>
        <w:rPr/>
        <w:t>7.4. 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Поставщиком.</w:t>
      </w:r>
    </w:p>
    <w:p>
      <w:pPr>
        <w:pStyle w:val="Normal"/>
        <w:ind w:firstLine="708"/>
        <w:jc w:val="both"/>
        <w:rPr/>
      </w:pPr>
      <w:r>
        <w:rPr/>
        <w:t>7.5.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10 % цены Договора и составляет ______ рублей______ копеек.</w:t>
      </w:r>
    </w:p>
    <w:p>
      <w:pPr>
        <w:pStyle w:val="Normal"/>
        <w:ind w:firstLine="708"/>
        <w:jc w:val="both"/>
        <w:rPr/>
      </w:pPr>
      <w:r>
        <w:rPr/>
        <w:t>7.6.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1000 (одной тысячи) рублей.</w:t>
      </w:r>
    </w:p>
    <w:p>
      <w:pPr>
        <w:pStyle w:val="Normal"/>
        <w:ind w:firstLine="708"/>
        <w:jc w:val="both"/>
        <w:rPr/>
      </w:pPr>
      <w:r>
        <w:rPr/>
        <w:t>7.7.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rmal"/>
        <w:ind w:firstLine="708"/>
        <w:jc w:val="both"/>
        <w:rPr/>
      </w:pPr>
      <w:r>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ind w:firstLine="708"/>
        <w:jc w:val="both"/>
        <w:rPr/>
      </w:pPr>
      <w:r>
        <w:rPr/>
        <w:t xml:space="preserve">7.8.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подлежащего уплате Поставщиком за ненадлежащее исполнение условий Договора. </w:t>
      </w:r>
    </w:p>
    <w:p>
      <w:pPr>
        <w:pStyle w:val="Normal"/>
        <w:ind w:firstLine="708"/>
        <w:jc w:val="both"/>
        <w:rPr/>
      </w:pPr>
      <w:r>
        <w:rPr/>
        <w:t>7.9. Уплата Стороной неустойки не освобождает ее от исполнения обязательств по Договору.</w:t>
      </w:r>
    </w:p>
    <w:p>
      <w:pPr>
        <w:pStyle w:val="Normal"/>
        <w:ind w:firstLine="708"/>
        <w:jc w:val="both"/>
        <w:rPr/>
      </w:pPr>
      <w:r>
        <w:rPr/>
        <w:t>7.10.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pPr>
        <w:pStyle w:val="Normal"/>
        <w:ind w:firstLine="708"/>
        <w:jc w:val="both"/>
        <w:rPr/>
      </w:pPr>
      <w:r>
        <w:rPr/>
        <w:t xml:space="preserve"> </w:t>
      </w:r>
    </w:p>
    <w:p>
      <w:pPr>
        <w:pStyle w:val="Normal"/>
        <w:jc w:val="center"/>
        <w:rPr>
          <w:b/>
          <w:b/>
        </w:rPr>
      </w:pPr>
      <w:r>
        <w:rPr>
          <w:b/>
        </w:rPr>
        <w:t>8. Срок действия, порядок изменения и расторжения Договора.</w:t>
      </w:r>
    </w:p>
    <w:p>
      <w:pPr>
        <w:pStyle w:val="Normal"/>
        <w:ind w:firstLine="708"/>
        <w:jc w:val="both"/>
        <w:rPr/>
      </w:pPr>
      <w:r>
        <w:rPr/>
        <w:t>8.1. Договор вступает в силу со дня его подписания Сторонами.</w:t>
      </w:r>
    </w:p>
    <w:p>
      <w:pPr>
        <w:pStyle w:val="Normal"/>
        <w:ind w:firstLine="708"/>
        <w:jc w:val="both"/>
        <w:rPr/>
      </w:pPr>
      <w:r>
        <w:rPr/>
        <w:t xml:space="preserve">8.2. Договор действует </w:t>
      </w:r>
      <w:r>
        <w:rPr>
          <w:b/>
          <w:bCs/>
        </w:rPr>
        <w:t>по 31.12.202</w:t>
      </w:r>
      <w:r>
        <w:rPr>
          <w:b/>
          <w:bCs/>
        </w:rPr>
        <w:t>6</w:t>
      </w:r>
      <w:r>
        <w:rPr>
          <w:b/>
          <w:bCs/>
        </w:rPr>
        <w:t xml:space="preserve"> </w:t>
      </w:r>
      <w:r>
        <w:rPr/>
        <w:t xml:space="preserve">года, но в любом случае до полного исполнения Сторонами обязательств по Договору в полном объеме, в том числе и гарантийных обязательств. </w:t>
      </w:r>
    </w:p>
    <w:p>
      <w:pPr>
        <w:pStyle w:val="Normal"/>
        <w:ind w:firstLine="708"/>
        <w:jc w:val="both"/>
        <w:rPr/>
      </w:pPr>
      <w:r>
        <w:rPr/>
        <w:t>8.3. Договор может быть расторгнут:</w:t>
      </w:r>
    </w:p>
    <w:p>
      <w:pPr>
        <w:pStyle w:val="Normal"/>
        <w:jc w:val="both"/>
        <w:rPr/>
      </w:pPr>
      <w:r>
        <w:rPr/>
        <w:t>- по соглашению сторон;</w:t>
      </w:r>
    </w:p>
    <w:p>
      <w:pPr>
        <w:pStyle w:val="Normal"/>
        <w:jc w:val="both"/>
        <w:rPr/>
      </w:pPr>
      <w:r>
        <w:rPr/>
        <w:t>- по решению суда;</w:t>
      </w:r>
    </w:p>
    <w:p>
      <w:pPr>
        <w:pStyle w:val="Normal"/>
        <w:jc w:val="both"/>
        <w:rPr/>
      </w:pPr>
      <w:r>
        <w:rPr/>
        <w:t xml:space="preserve">- в случае одностороннего отказа Стороны Договора от исполнения Договора </w:t>
        <w:br/>
        <w:t>в соответствии с гражданским законодательством.</w:t>
      </w:r>
    </w:p>
    <w:p>
      <w:pPr>
        <w:pStyle w:val="Normal"/>
        <w:ind w:firstLine="708"/>
        <w:jc w:val="both"/>
        <w:rPr/>
      </w:pPr>
      <w:r>
        <w:rPr/>
        <w:t>8.4.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w:t>
      </w:r>
    </w:p>
    <w:p>
      <w:pPr>
        <w:pStyle w:val="Normal"/>
        <w:ind w:firstLine="708"/>
        <w:jc w:val="both"/>
        <w:rPr/>
      </w:pPr>
      <w:r>
        <w:rPr/>
        <w:t>8.5. Односторонний отказ от исполнения Договора должен происходить в порядке, предусмотренном Законом о контрактной системе.</w:t>
      </w:r>
    </w:p>
    <w:p>
      <w:pPr>
        <w:pStyle w:val="Normal"/>
        <w:ind w:firstLine="708"/>
        <w:jc w:val="both"/>
        <w:rPr/>
      </w:pPr>
      <w:r>
        <w:rPr/>
        <w:t>8.6. При исполнении Договора по соглашению сторон могут быть внесены изменения в Договор только в случаях, предусмотренных Законом о контрактной системе.</w:t>
      </w:r>
    </w:p>
    <w:p>
      <w:pPr>
        <w:pStyle w:val="Normal"/>
        <w:jc w:val="center"/>
        <w:rPr>
          <w:b/>
          <w:b/>
        </w:rPr>
      </w:pPr>
      <w:r>
        <w:rPr>
          <w:b/>
        </w:rPr>
      </w:r>
    </w:p>
    <w:p>
      <w:pPr>
        <w:pStyle w:val="Normal"/>
        <w:jc w:val="center"/>
        <w:rPr>
          <w:b/>
          <w:b/>
        </w:rPr>
      </w:pPr>
      <w:r>
        <w:rPr>
          <w:b/>
        </w:rPr>
        <w:t>9. Порядок урегулирования споров</w:t>
      </w:r>
    </w:p>
    <w:p>
      <w:pPr>
        <w:pStyle w:val="Normal"/>
        <w:ind w:firstLine="708"/>
        <w:jc w:val="both"/>
        <w:rPr/>
      </w:pPr>
      <w:r>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pPr>
        <w:pStyle w:val="Normal"/>
        <w:ind w:firstLine="708"/>
        <w:jc w:val="both"/>
        <w:rPr/>
      </w:pPr>
      <w:r>
        <w:rPr/>
        <w:t>9.2. В случае не достижения взаимного согласия все споры по Договору разрешаются в Арбитражном суде города Санкт-Петербурга и Ленинградской области.</w:t>
      </w:r>
    </w:p>
    <w:p>
      <w:pPr>
        <w:pStyle w:val="Normal"/>
        <w:ind w:firstLine="708"/>
        <w:jc w:val="both"/>
        <w:rPr/>
      </w:pPr>
      <w:r>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jc w:val="center"/>
        <w:rPr>
          <w:b/>
          <w:b/>
        </w:rPr>
      </w:pPr>
      <w:r>
        <w:rPr>
          <w:b/>
        </w:rPr>
        <w:t>10. Прочие условия</w:t>
      </w:r>
    </w:p>
    <w:p>
      <w:pPr>
        <w:pStyle w:val="Normal"/>
        <w:ind w:firstLine="708"/>
        <w:jc w:val="both"/>
        <w:rPr/>
      </w:pPr>
      <w:r>
        <w:rPr/>
        <w:t xml:space="preserve">10.1. Все уведомления сторон, связанные с исполнением Договора, направляются </w:t>
        <w:br/>
        <w:t xml:space="preserve">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w:t>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ind w:firstLine="708"/>
        <w:jc w:val="both"/>
        <w:rPr/>
      </w:pPr>
      <w:r>
        <w:rPr/>
        <w:t>10.2. Договор составлен в 2 (двух) экземплярах по одному для каждой из Сторон, имеющих одинаковую юридическую силу.</w:t>
      </w:r>
    </w:p>
    <w:p>
      <w:pPr>
        <w:pStyle w:val="Normal"/>
        <w:ind w:firstLine="708"/>
        <w:jc w:val="both"/>
        <w:rPr/>
      </w:pPr>
      <w:r>
        <w:rPr/>
        <w:t>10.3. Во всем, что не предусмотрено Договором, Стороны руководствуются законодательством Российской Федерации.</w:t>
      </w:r>
    </w:p>
    <w:p>
      <w:pPr>
        <w:pStyle w:val="Normal"/>
        <w:ind w:firstLine="708"/>
        <w:jc w:val="both"/>
        <w:rPr/>
      </w:pPr>
      <w:r>
        <w:rPr/>
      </w:r>
    </w:p>
    <w:p>
      <w:pPr>
        <w:pStyle w:val="Normal"/>
        <w:jc w:val="center"/>
        <w:rPr>
          <w:b/>
          <w:b/>
        </w:rPr>
      </w:pPr>
      <w:r>
        <w:rPr>
          <w:b/>
        </w:rPr>
        <w:t>11. Приложения</w:t>
      </w:r>
    </w:p>
    <w:p>
      <w:pPr>
        <w:pStyle w:val="Normal"/>
        <w:ind w:firstLine="708"/>
        <w:jc w:val="both"/>
        <w:rPr/>
      </w:pPr>
      <w:r>
        <w:rPr/>
        <w:t>11.1 Неотъемлемой частью Договора являются:</w:t>
      </w:r>
    </w:p>
    <w:p>
      <w:pPr>
        <w:pStyle w:val="Normal"/>
        <w:ind w:firstLine="708"/>
        <w:jc w:val="both"/>
        <w:rPr/>
      </w:pPr>
      <w:r>
        <w:rPr/>
        <w:t>Приложение № 1 «Спецификация».</w:t>
      </w:r>
    </w:p>
    <w:p>
      <w:pPr>
        <w:pStyle w:val="Normal"/>
        <w:ind w:firstLine="708"/>
        <w:jc w:val="both"/>
        <w:rPr/>
      </w:pPr>
      <w:r>
        <w:rPr/>
      </w:r>
    </w:p>
    <w:p>
      <w:pPr>
        <w:pStyle w:val="Normal"/>
        <w:jc w:val="center"/>
        <w:rPr>
          <w:b/>
          <w:b/>
        </w:rPr>
      </w:pPr>
      <w:r>
        <w:rPr>
          <w:b/>
        </w:rPr>
        <w:t>12. Реквизиты и подписи сторон</w:t>
      </w:r>
    </w:p>
    <w:tbl>
      <w:tblPr>
        <w:tblW w:w="10920" w:type="dxa"/>
        <w:jc w:val="left"/>
        <w:tblInd w:w="-109" w:type="dxa"/>
        <w:tblCellMar>
          <w:top w:w="0" w:type="dxa"/>
          <w:left w:w="108" w:type="dxa"/>
          <w:bottom w:w="0" w:type="dxa"/>
          <w:right w:w="108" w:type="dxa"/>
        </w:tblCellMar>
        <w:tblLook w:firstRow="1" w:noVBand="1" w:lastRow="0" w:firstColumn="1" w:lastColumn="0" w:noHBand="0" w:val="04a0"/>
      </w:tblPr>
      <w:tblGrid>
        <w:gridCol w:w="5319"/>
        <w:gridCol w:w="5600"/>
      </w:tblGrid>
      <w:tr>
        <w:trPr/>
        <w:tc>
          <w:tcPr>
            <w:tcW w:w="5319" w:type="dxa"/>
            <w:tcBorders/>
            <w:shd w:color="auto" w:fill="auto" w:val="clear"/>
          </w:tcPr>
          <w:p>
            <w:pPr>
              <w:pStyle w:val="Standard"/>
              <w:spacing w:lineRule="auto" w:line="276"/>
              <w:jc w:val="center"/>
              <w:rPr>
                <w:rFonts w:ascii="Times New Roman" w:hAnsi="Times New Roman" w:eastAsia="Calibri" w:cs="Times New Roman"/>
                <w:b/>
                <w:b/>
                <w:bCs/>
                <w:sz w:val="22"/>
                <w:szCs w:val="22"/>
                <w:lang w:val="ru-RU" w:eastAsia="en-US" w:bidi="ar-SA"/>
              </w:rPr>
            </w:pPr>
            <w:r>
              <w:rPr>
                <w:rFonts w:eastAsia="Calibri" w:cs="Times New Roman" w:ascii="Times New Roman" w:hAnsi="Times New Roman"/>
                <w:b/>
                <w:bCs/>
                <w:sz w:val="22"/>
                <w:szCs w:val="22"/>
                <w:lang w:val="ru-RU" w:eastAsia="en-US" w:bidi="ar-SA"/>
              </w:rPr>
              <w:t>Заказчик</w:t>
            </w:r>
          </w:p>
        </w:tc>
        <w:tc>
          <w:tcPr>
            <w:tcW w:w="5600" w:type="dxa"/>
            <w:tcBorders/>
            <w:shd w:color="auto" w:fill="auto" w:val="clear"/>
          </w:tcPr>
          <w:p>
            <w:pPr>
              <w:pStyle w:val="Standard"/>
              <w:spacing w:lineRule="auto" w:line="276"/>
              <w:jc w:val="center"/>
              <w:rPr>
                <w:rFonts w:ascii="Times New Roman" w:hAnsi="Times New Roman" w:eastAsia="Calibri" w:cs="Times New Roman"/>
                <w:b/>
                <w:b/>
                <w:bCs/>
                <w:sz w:val="22"/>
                <w:szCs w:val="22"/>
                <w:lang w:val="ru-RU" w:eastAsia="en-US" w:bidi="ar-SA"/>
              </w:rPr>
            </w:pPr>
            <w:r>
              <w:rPr>
                <w:rFonts w:eastAsia="Calibri" w:cs="Times New Roman" w:ascii="Times New Roman" w:hAnsi="Times New Roman"/>
                <w:b/>
                <w:bCs/>
                <w:sz w:val="22"/>
                <w:szCs w:val="22"/>
                <w:lang w:val="ru-RU" w:eastAsia="en-US" w:bidi="ar-SA"/>
              </w:rPr>
              <w:t>Поставщик</w:t>
            </w:r>
          </w:p>
        </w:tc>
      </w:tr>
      <w:tr>
        <w:trPr/>
        <w:tc>
          <w:tcPr>
            <w:tcW w:w="5319" w:type="dxa"/>
            <w:tcBorders/>
            <w:shd w:color="auto" w:fill="auto" w:val="clear"/>
          </w:tcPr>
          <w:p>
            <w:pPr>
              <w:pStyle w:val="Standard"/>
              <w:jc w:val="center"/>
              <w:rPr>
                <w:rFonts w:ascii="Times New Roman" w:hAnsi="Times New Roman" w:cs="Times New Roman"/>
                <w:b/>
                <w:b/>
                <w:bCs/>
                <w:lang w:val="ru-RU"/>
              </w:rPr>
            </w:pPr>
            <w:r>
              <w:rPr>
                <w:rFonts w:cs="Times New Roman" w:ascii="Times New Roman" w:hAnsi="Times New Roman"/>
                <w:b/>
                <w:bCs/>
                <w:lang w:val="ru-RU"/>
              </w:rPr>
              <w:t xml:space="preserve">Санкт-Петербургское государственное </w:t>
            </w:r>
          </w:p>
          <w:p>
            <w:pPr>
              <w:pStyle w:val="Standard"/>
              <w:jc w:val="center"/>
              <w:rPr>
                <w:rFonts w:ascii="Times New Roman" w:hAnsi="Times New Roman" w:cs="Times New Roman"/>
                <w:b/>
                <w:b/>
                <w:bCs/>
                <w:lang w:val="ru-RU"/>
              </w:rPr>
            </w:pPr>
            <w:r>
              <w:rPr>
                <w:rFonts w:cs="Times New Roman" w:ascii="Times New Roman" w:hAnsi="Times New Roman"/>
                <w:b/>
                <w:bCs/>
                <w:lang w:val="ru-RU"/>
              </w:rPr>
              <w:t xml:space="preserve">бюджетное учреждение здравоохранения </w:t>
            </w:r>
          </w:p>
          <w:p>
            <w:pPr>
              <w:pStyle w:val="Standard"/>
              <w:jc w:val="center"/>
              <w:rPr>
                <w:rFonts w:ascii="Times New Roman" w:hAnsi="Times New Roman" w:cs="Times New Roman"/>
                <w:b/>
                <w:b/>
                <w:bCs/>
                <w:lang w:val="ru-RU"/>
              </w:rPr>
            </w:pPr>
            <w:r>
              <w:rPr>
                <w:rFonts w:cs="Times New Roman" w:ascii="Times New Roman" w:hAnsi="Times New Roman"/>
                <w:b/>
                <w:bCs/>
                <w:lang w:val="ru-RU"/>
              </w:rPr>
              <w:t>«Городская больница № 33»</w:t>
            </w:r>
          </w:p>
          <w:p>
            <w:pPr>
              <w:pStyle w:val="Standard"/>
              <w:jc w:val="center"/>
              <w:rPr>
                <w:rFonts w:ascii="Times New Roman" w:hAnsi="Times New Roman" w:cs="Times New Roman"/>
                <w:lang w:val="ru-RU"/>
              </w:rPr>
            </w:pPr>
            <w:r>
              <w:rPr>
                <w:rFonts w:cs="Times New Roman" w:ascii="Times New Roman" w:hAnsi="Times New Roman"/>
                <w:b/>
                <w:bCs/>
                <w:lang w:val="ru-RU"/>
              </w:rPr>
              <w:t>(СПб ГБУЗ «Городская больница № 33»)</w:t>
            </w:r>
          </w:p>
          <w:p>
            <w:pPr>
              <w:pStyle w:val="Standard"/>
              <w:jc w:val="both"/>
              <w:rPr>
                <w:rFonts w:ascii="Times New Roman" w:hAnsi="Times New Roman" w:eastAsia="Calibri" w:cs="Times New Roman"/>
                <w:b/>
                <w:b/>
                <w:bCs/>
                <w:lang w:val="ru-RU" w:eastAsia="en-US" w:bidi="ar-SA"/>
              </w:rPr>
            </w:pPr>
            <w:r>
              <w:rPr>
                <w:rFonts w:eastAsia="Calibri" w:cs="Times New Roman" w:ascii="Times New Roman" w:hAnsi="Times New Roman"/>
                <w:b/>
                <w:bCs/>
                <w:lang w:val="ru-RU" w:eastAsia="en-US" w:bidi="ar-SA"/>
              </w:rPr>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196653, Санкт-Петербург, Колпино,</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Павловская ул., дом 16, лит.А,</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тел: 242-38-02, факс: 242-36-20</w:t>
            </w:r>
          </w:p>
          <w:p>
            <w:pPr>
              <w:pStyle w:val="Standard"/>
              <w:widowControl w:val="false"/>
              <w:rPr/>
            </w:pPr>
            <w:r>
              <w:rPr>
                <w:rFonts w:eastAsia="Calibri" w:cs="Times New Roman" w:ascii="Times New Roman" w:hAnsi="Times New Roman"/>
                <w:bCs/>
                <w:lang w:val="ru-RU" w:eastAsia="en-US" w:bidi="ar-SA"/>
              </w:rPr>
              <w:t xml:space="preserve">e-mail: </w:t>
            </w:r>
            <w:hyperlink r:id="rId3">
              <w:r>
                <w:rPr>
                  <w:rStyle w:val="Internetlink"/>
                  <w:rFonts w:cs="Times New Roman" w:ascii="Times New Roman" w:hAnsi="Times New Roman"/>
                </w:rPr>
                <w:t>b</w:t>
              </w:r>
            </w:hyperlink>
            <w:hyperlink r:id="rId4">
              <w:r>
                <w:rPr>
                  <w:rStyle w:val="Internetlink"/>
                  <w:rFonts w:cs="Times New Roman" w:ascii="Times New Roman" w:hAnsi="Times New Roman"/>
                  <w:lang w:val="ru-RU"/>
                </w:rPr>
                <w:t>33@</w:t>
              </w:r>
            </w:hyperlink>
            <w:hyperlink r:id="rId5">
              <w:r>
                <w:rPr>
                  <w:rStyle w:val="Internetlink"/>
                  <w:rFonts w:cs="Times New Roman" w:ascii="Times New Roman" w:hAnsi="Times New Roman"/>
                </w:rPr>
                <w:t>zdrav</w:t>
              </w:r>
            </w:hyperlink>
            <w:hyperlink r:id="rId6">
              <w:r>
                <w:rPr>
                  <w:rStyle w:val="Internetlink"/>
                  <w:rFonts w:cs="Times New Roman" w:ascii="Times New Roman" w:hAnsi="Times New Roman"/>
                  <w:lang w:val="ru-RU"/>
                </w:rPr>
                <w:t>.</w:t>
              </w:r>
            </w:hyperlink>
            <w:hyperlink r:id="rId7">
              <w:r>
                <w:rPr>
                  <w:rStyle w:val="Internetlink"/>
                  <w:rFonts w:cs="Times New Roman" w:ascii="Times New Roman" w:hAnsi="Times New Roman"/>
                </w:rPr>
                <w:t>spb</w:t>
              </w:r>
            </w:hyperlink>
            <w:hyperlink r:id="rId8">
              <w:r>
                <w:rPr>
                  <w:rStyle w:val="Internetlink"/>
                  <w:rFonts w:cs="Times New Roman" w:ascii="Times New Roman" w:hAnsi="Times New Roman"/>
                  <w:lang w:val="ru-RU"/>
                </w:rPr>
                <w:t>.</w:t>
              </w:r>
            </w:hyperlink>
            <w:hyperlink r:id="rId9">
              <w:r>
                <w:rPr>
                  <w:rStyle w:val="Internetlink"/>
                  <w:rFonts w:cs="Times New Roman" w:ascii="Times New Roman" w:hAnsi="Times New Roman"/>
                </w:rPr>
                <w:t>ru</w:t>
              </w:r>
            </w:hyperlink>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ИНН 7817033895   КПП 781701001</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ОКОНХ 91511   ОКПО 34389593</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ОГРН 1027808756469</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Лицевой счет 0531007 в Комитете</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финансов Санкт-Петербурга</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Банк плательщика (получателя): Северо-Западное ГУ Банка России//</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УФК по г.Санкт-Петербургу, г.Санкт-Петербург</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БИК банка плательщика (получателя): 014030106</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Номер счета банка плательщика (получателя): 40102810945370000005</w:t>
            </w:r>
          </w:p>
          <w:p>
            <w:pPr>
              <w:pStyle w:val="Standard"/>
              <w:widowControl w:val="false"/>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Номер казначейского счета: 03224643400000007200</w:t>
            </w:r>
          </w:p>
          <w:p>
            <w:pPr>
              <w:pStyle w:val="Standard"/>
              <w:jc w:val="both"/>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r>
          </w:p>
          <w:p>
            <w:pPr>
              <w:pStyle w:val="Standard"/>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Главный врач</w:t>
            </w:r>
          </w:p>
          <w:p>
            <w:pPr>
              <w:pStyle w:val="Standard"/>
              <w:rPr>
                <w:rFonts w:ascii="Times New Roman" w:hAnsi="Times New Roman" w:eastAsia="Calibri" w:cs="Times New Roman"/>
                <w:bCs/>
                <w:lang w:val="ru-RU" w:eastAsia="en-US" w:bidi="ar-SA"/>
              </w:rPr>
            </w:pPr>
            <w:r>
              <w:rPr>
                <w:rFonts w:eastAsia="Calibri" w:cs="Times New Roman" w:ascii="Times New Roman" w:hAnsi="Times New Roman"/>
                <w:bCs/>
                <w:lang w:val="ru-RU" w:eastAsia="en-US" w:bidi="ar-SA"/>
              </w:rPr>
              <w:t>__________________ С.В.Журавлев</w:t>
            </w:r>
          </w:p>
        </w:tc>
        <w:tc>
          <w:tcPr>
            <w:tcW w:w="5600" w:type="dxa"/>
            <w:tcBorders/>
            <w:shd w:color="auto" w:fill="auto" w:val="clear"/>
          </w:tcPr>
          <w:p>
            <w:pPr>
              <w:pStyle w:val="Normal"/>
              <w:rPr>
                <w:rFonts w:eastAsia="Calibri"/>
                <w:bCs/>
                <w:lang w:eastAsia="en-US"/>
              </w:rPr>
            </w:pPr>
            <w:r>
              <w:rPr>
                <w:rFonts w:eastAsia="Calibri"/>
                <w:bCs/>
                <w:lang w:eastAsia="en-US"/>
              </w:rPr>
            </w:r>
          </w:p>
        </w:tc>
      </w:tr>
    </w:tbl>
    <w:p>
      <w:pPr>
        <w:sectPr>
          <w:type w:val="nextPage"/>
          <w:pgSz w:w="11906" w:h="16838"/>
          <w:pgMar w:left="1134" w:right="567" w:header="0" w:top="567" w:footer="0" w:bottom="567" w:gutter="0"/>
          <w:pgNumType w:fmt="decimal"/>
          <w:formProt w:val="false"/>
          <w:textDirection w:val="lrTb"/>
          <w:docGrid w:type="default" w:linePitch="360" w:charSpace="0"/>
        </w:sectPr>
      </w:pPr>
    </w:p>
    <w:p>
      <w:pPr>
        <w:pStyle w:val="NoSpacing"/>
        <w:jc w:val="right"/>
        <w:rPr/>
      </w:pPr>
      <w:r>
        <w:rPr/>
        <w:t>Приложение № 1 к Договору</w:t>
      </w:r>
    </w:p>
    <w:p>
      <w:pPr>
        <w:pStyle w:val="NoSpacing"/>
        <w:jc w:val="right"/>
        <w:rPr/>
      </w:pPr>
      <w:r>
        <w:rPr/>
        <w:t>от ____________2024г. № _______</w:t>
      </w:r>
      <w:bookmarkStart w:id="2" w:name="_Hlk63079330"/>
      <w:bookmarkEnd w:id="2"/>
    </w:p>
    <w:p>
      <w:pPr>
        <w:pStyle w:val="Normal"/>
        <w:jc w:val="right"/>
        <w:rPr/>
      </w:pPr>
      <w:r>
        <w:rPr/>
      </w:r>
    </w:p>
    <w:p>
      <w:pPr>
        <w:pStyle w:val="Normal"/>
        <w:jc w:val="both"/>
        <w:rPr/>
      </w:pPr>
      <w:r>
        <w:rPr/>
      </w:r>
    </w:p>
    <w:p>
      <w:pPr>
        <w:pStyle w:val="Normal"/>
        <w:jc w:val="center"/>
        <w:rPr>
          <w:b/>
          <w:b/>
        </w:rPr>
      </w:pPr>
      <w:r>
        <w:rPr>
          <w:b/>
        </w:rPr>
        <w:t>СПЕЦИФИКАЦИЯ</w:t>
      </w:r>
    </w:p>
    <w:p>
      <w:pPr>
        <w:pStyle w:val="Normal"/>
        <w:jc w:val="center"/>
        <w:rPr>
          <w:b/>
          <w:b/>
          <w:color w:val="FF0000"/>
        </w:rPr>
      </w:pPr>
      <w:r>
        <w:rPr>
          <w:b/>
          <w:color w:val="FF0000"/>
        </w:rPr>
        <w:t>(заполняется в соответствии с предложением Поставщика)</w:t>
      </w:r>
    </w:p>
    <w:p>
      <w:pPr>
        <w:pStyle w:val="Normal"/>
        <w:jc w:val="center"/>
        <w:rPr>
          <w:b/>
          <w:b/>
        </w:rPr>
      </w:pPr>
      <w:r>
        <w:rPr>
          <w:b/>
        </w:rPr>
      </w:r>
    </w:p>
    <w:p>
      <w:pPr>
        <w:pStyle w:val="Normal"/>
        <w:jc w:val="center"/>
        <w:rPr>
          <w:b/>
          <w:b/>
        </w:rPr>
      </w:pPr>
      <w:r>
        <w:rPr>
          <w:b/>
        </w:rPr>
      </w:r>
    </w:p>
    <w:p>
      <w:pPr>
        <w:pStyle w:val="Normal"/>
        <w:jc w:val="both"/>
        <w:rPr/>
      </w:pPr>
      <w:r>
        <w:rPr/>
      </w:r>
    </w:p>
    <w:tbl>
      <w:tblPr>
        <w:tblStyle w:val="9"/>
        <w:tblW w:w="9488" w:type="dxa"/>
        <w:jc w:val="left"/>
        <w:tblInd w:w="0" w:type="dxa"/>
        <w:tblCellMar>
          <w:top w:w="0" w:type="dxa"/>
          <w:left w:w="108" w:type="dxa"/>
          <w:bottom w:w="0" w:type="dxa"/>
          <w:right w:w="108" w:type="dxa"/>
        </w:tblCellMar>
        <w:tblLook w:firstRow="1" w:noVBand="1" w:lastRow="0" w:firstColumn="1" w:lastColumn="0" w:noHBand="0" w:val="04a0"/>
      </w:tblPr>
      <w:tblGrid>
        <w:gridCol w:w="4815"/>
        <w:gridCol w:w="4672"/>
      </w:tblGrid>
      <w:tr>
        <w:trPr/>
        <w:tc>
          <w:tcPr>
            <w:tcW w:w="4815" w:type="dxa"/>
            <w:tcBorders>
              <w:top w:val="single" w:sz="4" w:space="0" w:color="FFFFFF"/>
              <w:left w:val="single" w:sz="4" w:space="0" w:color="FFFFFF"/>
              <w:bottom w:val="single" w:sz="4" w:space="0" w:color="FFFFFF"/>
              <w:right w:val="single" w:sz="4" w:space="0" w:color="FFFFFF"/>
            </w:tcBorders>
            <w:shd w:fill="auto" w:val="clear"/>
          </w:tcPr>
          <w:p>
            <w:pPr>
              <w:pStyle w:val="Normal"/>
              <w:spacing w:lineRule="auto" w:line="240" w:before="0" w:after="0"/>
              <w:jc w:val="center"/>
              <w:rPr>
                <w:b/>
                <w:b/>
              </w:rPr>
            </w:pPr>
            <w:r>
              <w:rPr>
                <w:b/>
              </w:rPr>
              <w:t>Заказчик:</w:t>
            </w:r>
          </w:p>
          <w:p>
            <w:pPr>
              <w:pStyle w:val="Normal"/>
              <w:spacing w:lineRule="auto" w:line="240" w:before="0" w:after="0"/>
              <w:jc w:val="center"/>
              <w:rPr>
                <w:b/>
                <w:b/>
              </w:rPr>
            </w:pPr>
            <w:r>
              <w:rPr>
                <w:b/>
              </w:rPr>
            </w:r>
          </w:p>
          <w:p>
            <w:pPr>
              <w:pStyle w:val="Normal"/>
              <w:spacing w:lineRule="auto" w:line="240" w:before="0" w:after="0"/>
              <w:jc w:val="center"/>
              <w:rPr/>
            </w:pPr>
            <w:r>
              <w:rPr/>
              <w:t>______________________С.В.Журавлев</w:t>
            </w:r>
          </w:p>
          <w:p>
            <w:pPr>
              <w:pStyle w:val="Normal"/>
              <w:spacing w:lineRule="auto" w:line="240" w:before="0" w:after="0"/>
              <w:jc w:val="center"/>
              <w:rPr>
                <w:b/>
                <w:b/>
              </w:rPr>
            </w:pPr>
            <w:r>
              <w:rPr>
                <w:b/>
              </w:rPr>
            </w:r>
          </w:p>
          <w:p>
            <w:pPr>
              <w:pStyle w:val="Normal"/>
              <w:spacing w:lineRule="auto" w:line="240" w:before="0" w:after="0"/>
              <w:jc w:val="center"/>
              <w:rPr>
                <w:b/>
                <w:b/>
              </w:rPr>
            </w:pPr>
            <w:r>
              <w:rPr>
                <w:b/>
              </w:rPr>
            </w:r>
          </w:p>
        </w:tc>
        <w:tc>
          <w:tcPr>
            <w:tcW w:w="4672" w:type="dxa"/>
            <w:tcBorders>
              <w:top w:val="single" w:sz="4" w:space="0" w:color="FFFFFF"/>
              <w:left w:val="single" w:sz="4" w:space="0" w:color="FFFFFF"/>
              <w:bottom w:val="single" w:sz="4" w:space="0" w:color="FFFFFF"/>
              <w:right w:val="single" w:sz="4" w:space="0" w:color="FFFFFF"/>
            </w:tcBorders>
            <w:shd w:fill="auto" w:val="clear"/>
          </w:tcPr>
          <w:p>
            <w:pPr>
              <w:pStyle w:val="Normal"/>
              <w:spacing w:lineRule="auto" w:line="240" w:before="0" w:after="0"/>
              <w:jc w:val="center"/>
              <w:rPr>
                <w:b/>
                <w:b/>
              </w:rPr>
            </w:pPr>
            <w:r>
              <w:rPr>
                <w:b/>
              </w:rPr>
              <w:t>Поставщик:</w:t>
            </w:r>
          </w:p>
          <w:p>
            <w:pPr>
              <w:pStyle w:val="Normal"/>
              <w:spacing w:lineRule="auto" w:line="240" w:before="0" w:after="0"/>
              <w:jc w:val="center"/>
              <w:rPr>
                <w:b/>
                <w:b/>
              </w:rPr>
            </w:pPr>
            <w:r>
              <w:rPr>
                <w:b/>
              </w:rPr>
            </w:r>
          </w:p>
          <w:p>
            <w:pPr>
              <w:pStyle w:val="Normal"/>
              <w:spacing w:lineRule="auto" w:line="240" w:before="0" w:after="0"/>
              <w:jc w:val="center"/>
              <w:rPr>
                <w:b/>
                <w:b/>
              </w:rPr>
            </w:pPr>
            <w:r>
              <w:rPr>
                <w:b/>
              </w:rPr>
              <w:t>_________________________</w:t>
            </w:r>
            <w:bookmarkStart w:id="3" w:name="_Hlk63268112"/>
            <w:bookmarkEnd w:id="3"/>
          </w:p>
        </w:tc>
      </w:tr>
    </w:tbl>
    <w:p>
      <w:pPr>
        <w:pStyle w:val="Normal"/>
        <w:spacing w:lineRule="auto" w:line="259" w:before="0" w:after="160"/>
        <w:rPr/>
      </w:pPr>
      <w:r>
        <w:rPr/>
      </w:r>
    </w:p>
    <w:sectPr>
      <w:type w:val="nextPage"/>
      <w:pgSz w:orient="landscape" w:w="16838" w:h="11906"/>
      <w:pgMar w:left="851" w:right="851" w:header="0" w:top="1418" w:footer="0"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e570e"/>
    <w:pPr>
      <w:widowControl/>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semiHidden/>
    <w:unhideWhenUsed/>
    <w:rsid w:val="00e339cc"/>
    <w:rPr>
      <w:color w:val="0000FF"/>
      <w:u w:val="single"/>
    </w:rPr>
  </w:style>
  <w:style w:type="character" w:styleId="Internetlink" w:customStyle="1">
    <w:name w:val="Internet link"/>
    <w:qFormat/>
    <w:rsid w:val="00f53285"/>
    <w:rPr>
      <w:color w:val="000080"/>
      <w:u w:val="single" w:color="000000"/>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ListParagraph">
    <w:name w:val="List Paragraph"/>
    <w:basedOn w:val="Normal"/>
    <w:uiPriority w:val="34"/>
    <w:qFormat/>
    <w:rsid w:val="00794920"/>
    <w:pPr>
      <w:spacing w:lineRule="auto" w:line="259" w:before="0" w:after="160"/>
      <w:ind w:left="720" w:hanging="0"/>
      <w:contextualSpacing/>
    </w:pPr>
    <w:rPr>
      <w:rFonts w:ascii="Calibri" w:hAnsi="Calibri" w:eastAsia="Calibri" w:cs="" w:asciiTheme="minorHAnsi" w:cstheme="minorBidi" w:eastAsiaTheme="minorHAnsi" w:hAnsiTheme="minorHAnsi"/>
      <w:sz w:val="22"/>
      <w:szCs w:val="22"/>
      <w:lang w:eastAsia="en-US"/>
    </w:rPr>
  </w:style>
  <w:style w:type="paragraph" w:styleId="NoSpacing">
    <w:name w:val="No Spacing"/>
    <w:uiPriority w:val="1"/>
    <w:qFormat/>
    <w:rsid w:val="00d42c9b"/>
    <w:pPr>
      <w:widowControl/>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NormalWeb">
    <w:name w:val="Normal (Web)"/>
    <w:basedOn w:val="Normal"/>
    <w:uiPriority w:val="99"/>
    <w:unhideWhenUsed/>
    <w:qFormat/>
    <w:rsid w:val="001c621e"/>
    <w:pPr>
      <w:spacing w:beforeAutospacing="1" w:afterAutospacing="1"/>
    </w:pPr>
    <w:rPr/>
  </w:style>
  <w:style w:type="paragraph" w:styleId="Standard" w:customStyle="1">
    <w:name w:val="Standard"/>
    <w:qFormat/>
    <w:rsid w:val="00f53285"/>
    <w:pPr>
      <w:widowControl/>
      <w:suppressAutoHyphens w:val="true"/>
      <w:bidi w:val="0"/>
      <w:spacing w:lineRule="auto" w:line="240" w:before="0" w:after="0"/>
      <w:jc w:val="left"/>
    </w:pPr>
    <w:rPr>
      <w:rFonts w:ascii="Liberation Serif" w:hAnsi="Liberation Serif" w:eastAsia="SimSun" w:cs="Mangal"/>
      <w:color w:val="auto"/>
      <w:kern w:val="2"/>
      <w:sz w:val="24"/>
      <w:szCs w:val="24"/>
      <w:lang w:val="en-US" w:eastAsia="zh-CN" w:bidi="hi-IN"/>
    </w:rPr>
  </w:style>
  <w:style w:type="paragraph" w:styleId="ConsPlusTitle" w:customStyle="1">
    <w:name w:val="ConsPlusTitle"/>
    <w:qFormat/>
    <w:rsid w:val="00f53285"/>
    <w:pPr>
      <w:widowControl/>
      <w:suppressAutoHyphens w:val="true"/>
      <w:bidi w:val="0"/>
      <w:spacing w:lineRule="auto" w:line="240" w:before="0" w:after="0"/>
      <w:jc w:val="left"/>
    </w:pPr>
    <w:rPr>
      <w:rFonts w:ascii="Liberation Serif" w:hAnsi="Liberation Serif" w:eastAsia="NSimSun" w:cs="Arial"/>
      <w:b/>
      <w:bCs/>
      <w:color w:val="auto"/>
      <w:kern w:val="2"/>
      <w:sz w:val="24"/>
      <w:szCs w:val="24"/>
      <w:lang w:val="ru-RU" w:eastAsia="zh-CN" w:bidi="hi-IN"/>
    </w:rPr>
  </w:style>
  <w:style w:type="paragraph" w:styleId="ConsPlusNormal" w:customStyle="1">
    <w:name w:val="ConsPlusNormal"/>
    <w:qFormat/>
    <w:rsid w:val="003f6653"/>
    <w:pPr>
      <w:widowControl/>
      <w:suppressAutoHyphens w:val="true"/>
      <w:bidi w:val="0"/>
      <w:spacing w:lineRule="auto" w:line="240" w:before="0" w:after="0"/>
      <w:jc w:val="left"/>
    </w:pPr>
    <w:rPr>
      <w:rFonts w:ascii="Times New Roman" w:hAnsi="Times New Roman" w:eastAsia="Times New Roman" w:cs="Times New Roman"/>
      <w:color w:val="auto"/>
      <w:kern w:val="2"/>
      <w:sz w:val="24"/>
      <w:szCs w:val="24"/>
      <w:lang w:val="ru-RU" w:eastAsia="zh-CN"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3">
    <w:name w:val="Table Grid"/>
    <w:basedOn w:val="a1"/>
    <w:uiPriority w:val="39"/>
    <w:rsid w:val="00ce570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Сетка таблицы9"/>
    <w:basedOn w:val="a1"/>
    <w:uiPriority w:val="39"/>
    <w:rsid w:val="001c621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login.consultant.ru/link/?rnd=10D19135589A0783F28F632FE0653031&amp;req=doc&amp;base=LAW&amp;n=12453&amp;dst=100163&amp;fld=134&amp;REFFIELD=134&amp;REFDST=1156&amp;REFDOC=356065&amp;REFBASE=LAW&amp;stat=refcode%3D16610%3Bdstident%3D100163%3Bindex%3D990&amp;date=01.02.2021" TargetMode="External"/><Relationship Id="rId3" Type="http://schemas.openxmlformats.org/officeDocument/2006/relationships/hyperlink" Target="http://mail.rambler.ru/mail/compose.cgi?enc=UTF-8&amp;mailto=b33@zdrav.spb.ru" TargetMode="External"/><Relationship Id="rId4" Type="http://schemas.openxmlformats.org/officeDocument/2006/relationships/hyperlink" Target="http://mail.rambler.ru/mail/compose.cgi?enc=UTF-8&amp;mailto=b33@zdrav.spb.ru" TargetMode="External"/><Relationship Id="rId5" Type="http://schemas.openxmlformats.org/officeDocument/2006/relationships/hyperlink" Target="http://mail.rambler.ru/mail/compose.cgi?enc=UTF-8&amp;mailto=b33@zdrav.spb.ru" TargetMode="External"/><Relationship Id="rId6" Type="http://schemas.openxmlformats.org/officeDocument/2006/relationships/hyperlink" Target="http://mail.rambler.ru/mail/compose.cgi?enc=UTF-8&amp;mailto=b33@zdrav.spb.ru" TargetMode="External"/><Relationship Id="rId7" Type="http://schemas.openxmlformats.org/officeDocument/2006/relationships/hyperlink" Target="http://mail.rambler.ru/mail/compose.cgi?enc=UTF-8&amp;mailto=b33@zdrav.spb.ru" TargetMode="External"/><Relationship Id="rId8" Type="http://schemas.openxmlformats.org/officeDocument/2006/relationships/hyperlink" Target="http://mail.rambler.ru/mail/compose.cgi?enc=UTF-8&amp;mailto=b33@zdrav.spb.ru" TargetMode="External"/><Relationship Id="rId9" Type="http://schemas.openxmlformats.org/officeDocument/2006/relationships/hyperlink" Target="http://mail.rambler.ru/mail/compose.cgi?enc=UTF-8&amp;mailto=b33@zdrav.spb.ru" TargetMode="Externa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3A648-272C-49D6-A823-0E90B1348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Application>LibreOffice/6.3.5.2$Windows_X86_64 LibreOffice_project/dd0751754f11728f69b42ee2af66670068624673</Application>
  <Pages>6</Pages>
  <Words>1950</Words>
  <Characters>13903</Characters>
  <CharactersWithSpaces>15888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2022-05-23T06:20:00Z</dcterms:created>
  <dc:creator>Сергеев Алексей Борисович</dc:creator>
  <dc:description/>
  <dc:language>ru-RU</dc:language>
  <cp:lastModifiedBy/>
  <cp:lastPrinted>2018-12-15T12:55:00Z</cp:lastPrinted>
  <dcterms:modified xsi:type="dcterms:W3CDTF">2026-02-03T10:01:42Z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