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A69F7D">
      <w:pPr>
        <w:jc w:val="center"/>
      </w:pPr>
      <w:r>
        <w:rPr>
          <w:b/>
        </w:rPr>
        <w:t xml:space="preserve">КОНТРАКТ № </w:t>
      </w:r>
      <w:r>
        <w:t>_______</w:t>
      </w:r>
    </w:p>
    <w:p w14:paraId="7CB75C59">
      <w:pPr>
        <w:jc w:val="center"/>
        <w:rPr>
          <w:b/>
        </w:rPr>
      </w:pPr>
    </w:p>
    <w:p w14:paraId="7461890C">
      <w:pPr>
        <w:jc w:val="both"/>
      </w:pPr>
      <w:r>
        <w:t>г. Санкт- Петербург                                                                               от «___»_____________г.</w:t>
      </w:r>
    </w:p>
    <w:p w14:paraId="5FECB285">
      <w:pPr>
        <w:jc w:val="both"/>
      </w:pPr>
    </w:p>
    <w:p w14:paraId="389C32FB">
      <w:pPr>
        <w:ind w:firstLine="600" w:firstLineChars="250"/>
        <w:jc w:val="both"/>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MERGEFIELD Наименование_организации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Государственное бюджетное </w:t>
      </w:r>
      <w:r>
        <w:rPr>
          <w:color w:val="000000" w:themeColor="text1"/>
          <w:lang w:val="ru-RU"/>
          <w14:textFill>
            <w14:solidFill>
              <w14:schemeClr w14:val="tx1"/>
            </w14:solidFill>
          </w14:textFill>
        </w:rPr>
        <w:t>дошкольное</w:t>
      </w:r>
      <w:r>
        <w:rPr>
          <w:rFonts w:hint="default"/>
          <w:color w:val="000000" w:themeColor="text1"/>
          <w:lang w:val="ru-RU"/>
          <w14:textFill>
            <w14:solidFill>
              <w14:schemeClr w14:val="tx1"/>
            </w14:solidFill>
          </w14:textFill>
        </w:rPr>
        <w:t xml:space="preserve"> о</w:t>
      </w:r>
      <w:r>
        <w:rPr>
          <w:color w:val="000000" w:themeColor="text1"/>
          <w14:textFill>
            <w14:solidFill>
              <w14:schemeClr w14:val="tx1"/>
            </w14:solidFill>
          </w14:textFill>
        </w:rPr>
        <w:t xml:space="preserve">образовательное учреждение </w:t>
      </w:r>
      <w:r>
        <w:rPr>
          <w:color w:val="000000" w:themeColor="text1"/>
          <w:lang w:val="ru-RU"/>
          <w14:textFill>
            <w14:solidFill>
              <w14:schemeClr w14:val="tx1"/>
            </w14:solidFill>
          </w14:textFill>
        </w:rPr>
        <w:t>детский</w:t>
      </w:r>
      <w:r>
        <w:rPr>
          <w:rFonts w:hint="default"/>
          <w:color w:val="000000" w:themeColor="text1"/>
          <w:lang w:val="ru-RU"/>
          <w14:textFill>
            <w14:solidFill>
              <w14:schemeClr w14:val="tx1"/>
            </w14:solidFill>
          </w14:textFill>
        </w:rPr>
        <w:t xml:space="preserve"> сад </w:t>
      </w:r>
      <w:r>
        <w:rPr>
          <w:color w:val="000000" w:themeColor="text1"/>
          <w14:textFill>
            <w14:solidFill>
              <w14:schemeClr w14:val="tx1"/>
            </w14:solidFill>
          </w14:textFill>
        </w:rPr>
        <w:t xml:space="preserve">№ </w:t>
      </w:r>
      <w:r>
        <w:rPr>
          <w:rFonts w:hint="default"/>
          <w:color w:val="000000" w:themeColor="text1"/>
          <w:lang w:val="ru-RU"/>
          <w14:textFill>
            <w14:solidFill>
              <w14:schemeClr w14:val="tx1"/>
            </w14:solidFill>
          </w14:textFill>
        </w:rPr>
        <w:t xml:space="preserve">36 </w:t>
      </w:r>
      <w:r>
        <w:rPr>
          <w:color w:val="000000" w:themeColor="text1"/>
          <w14:textFill>
            <w14:solidFill>
              <w14:schemeClr w14:val="tx1"/>
            </w14:solidFill>
          </w14:textFill>
        </w:rPr>
        <w:t>Невского района Санкт-Петербурга Невского района Санкт-Петербурга</w: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именуемое в дальнейшем «Заказчик», в лице </w:t>
      </w:r>
      <w:r>
        <w:rPr>
          <w:color w:val="000000" w:themeColor="text1"/>
          <w:lang w:val="ru-RU"/>
          <w14:textFill>
            <w14:solidFill>
              <w14:schemeClr w14:val="tx1"/>
            </w14:solidFill>
          </w14:textFill>
        </w:rPr>
        <w:t>заведующего</w:t>
      </w:r>
      <w:r>
        <w:rPr>
          <w:rFonts w:hint="default"/>
          <w:color w:val="000000" w:themeColor="text1"/>
          <w:lang w:val="ru-RU"/>
          <w14:textFill>
            <w14:solidFill>
              <w14:schemeClr w14:val="tx1"/>
            </w14:solidFill>
          </w14:textFill>
        </w:rPr>
        <w:t xml:space="preserve"> Чепуриной Т.А.</w:t>
      </w:r>
      <w:r>
        <w:rPr>
          <w:color w:val="000000" w:themeColor="text1"/>
          <w14:textFill>
            <w14:solidFill>
              <w14:schemeClr w14:val="tx1"/>
            </w14:solidFill>
          </w14:textFill>
        </w:rPr>
        <w:t xml:space="preserve">, </w:t>
      </w:r>
      <w:r>
        <w:t xml:space="preserve">действующего на основании </w:t>
      </w:r>
      <w:r>
        <w:rPr>
          <w:lang w:val="ru-RU"/>
        </w:rPr>
        <w:t>Устава</w:t>
      </w:r>
      <w: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38EC0D92">
      <w:pPr>
        <w:jc w:val="both"/>
      </w:pPr>
    </w:p>
    <w:p w14:paraId="24835732">
      <w:pPr>
        <w:jc w:val="center"/>
        <w:rPr>
          <w:b/>
        </w:rPr>
      </w:pPr>
      <w:r>
        <w:rPr>
          <w:b/>
        </w:rPr>
        <w:t>1. Предмет контракта</w:t>
      </w:r>
    </w:p>
    <w:p w14:paraId="7B6F4B88">
      <w:pPr>
        <w:ind w:firstLine="708"/>
        <w:jc w:val="both"/>
      </w:pPr>
      <w:r>
        <w:t xml:space="preserve">1.1. Поставщик обязуется оказать Заказчику </w:t>
      </w:r>
      <w:r>
        <w:rPr>
          <w:lang w:val="ru-RU"/>
        </w:rPr>
        <w:t>Товар</w:t>
      </w:r>
      <w:bookmarkStart w:id="0" w:name="_GoBack"/>
      <w:bookmarkEnd w:id="0"/>
      <w:r>
        <w:t xml:space="preserve">, наименование, количество, общая и единичная стоимость которых установлены в Спецификации (приложение </w:t>
      </w:r>
      <w:r>
        <w:br w:type="textWrapping"/>
      </w:r>
      <w:r>
        <w:t>№ 1 к Контракту), являющейся неотъемлемой частью Контракта, на условиях, установленных настоящим Контрактом, а Заказчик обязуется принять оказанные Услуги надлежащего качества и оплатить их в порядке и на условиях, предусмотренных настоящим Контрактом.</w:t>
      </w:r>
    </w:p>
    <w:p w14:paraId="03720B8E">
      <w:pPr>
        <w:jc w:val="both"/>
      </w:pPr>
    </w:p>
    <w:p w14:paraId="089643BB">
      <w:pPr>
        <w:jc w:val="center"/>
        <w:rPr>
          <w:b/>
        </w:rPr>
      </w:pPr>
      <w:r>
        <w:rPr>
          <w:b/>
        </w:rPr>
        <w:t>2. Цена Контракта и порядок расчетов</w:t>
      </w:r>
    </w:p>
    <w:p w14:paraId="0FB4EB2D">
      <w:pPr>
        <w:ind w:firstLine="708"/>
        <w:jc w:val="both"/>
      </w:pPr>
      <w:r>
        <w:t>2.1. 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5EB416A1">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оказанием Услуг (страхование, уплату таможенных пошлин, налогов, сборов и иных обязательных платежей).</w:t>
      </w:r>
    </w:p>
    <w:p w14:paraId="54327D37">
      <w:pPr>
        <w:ind w:firstLine="708"/>
        <w:jc w:val="both"/>
      </w:pPr>
      <w:r>
        <w:t>2.3. Оплата производится Заказчиком единовременным платежом на расчетный счет Поставщика, указанный в Контракте, по факту оказания Услуг Заказчику в течение 10 (десяти) рабочих дней с даты подписания Заказчиком документа о приемке, при отсутствии у Заказчика претензий по количеству и качеству оказанных Услуг. Датой оплаты является дата списания денежных средств со счета Заказчика.</w:t>
      </w:r>
    </w:p>
    <w:p w14:paraId="48A041B0">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ype="textWrapping"/>
      </w:r>
      <w:r>
        <w:t>и сборах такие налоги, сборы и иные обязательные платежи подлежат уплате в бюджеты бюджетной системы Российской Федерации Заказчиком.</w:t>
      </w:r>
    </w:p>
    <w:p w14:paraId="38E18D4A">
      <w:pPr>
        <w:jc w:val="both"/>
      </w:pPr>
    </w:p>
    <w:p w14:paraId="6B0996FB">
      <w:pPr>
        <w:jc w:val="center"/>
        <w:rPr>
          <w:b/>
        </w:rPr>
      </w:pPr>
      <w:r>
        <w:rPr>
          <w:b/>
        </w:rPr>
        <w:t>3. Порядок оказания Услуг</w:t>
      </w:r>
    </w:p>
    <w:p w14:paraId="666833F2">
      <w:r>
        <w:t xml:space="preserve">             3.1 Требования к качеству Услуг и иные требования содержатся в Техническом задании, являющемся неотъемлемой частью настоящего Контракта (Приложение № 2 к Контракту). </w:t>
      </w:r>
    </w:p>
    <w:p w14:paraId="5B77D3B5">
      <w:pPr>
        <w:ind w:firstLine="708"/>
        <w:jc w:val="both"/>
      </w:pPr>
      <w:r>
        <w:t>3.2. Оказание услуг осуществляется по адресу, указанному в Техническом задании (приложение № 2 к Контракту).</w:t>
      </w:r>
    </w:p>
    <w:p w14:paraId="0CEE3907">
      <w:pPr>
        <w:ind w:firstLine="708"/>
        <w:jc w:val="both"/>
      </w:pPr>
      <w:r>
        <w:t>3.3. В день оказания Услуг Поставщик должен передать Заказчику сопроводительные документы, относящиеся к оказываемым Услугам, указанные в Техническом задании (приложение № 2 к Контракту). В случае отсутствия вышеназванных документов Заказчик вправе отказаться от приемки Услуг. Услуги будут считаться не оказанными.</w:t>
      </w:r>
    </w:p>
    <w:p w14:paraId="431B5343">
      <w:pPr>
        <w:ind w:firstLine="708"/>
        <w:jc w:val="both"/>
      </w:pPr>
      <w:r>
        <w:t xml:space="preserve">3.4. Срок оказания Услуг указывается в Техническом задании (приложение </w:t>
      </w:r>
      <w:r>
        <w:br w:type="textWrapping"/>
      </w:r>
      <w:r>
        <w:t>№ 2 к Контракту).</w:t>
      </w:r>
    </w:p>
    <w:p w14:paraId="2BDE4E1A">
      <w:pPr>
        <w:jc w:val="center"/>
      </w:pPr>
    </w:p>
    <w:p w14:paraId="788635D4">
      <w:pPr>
        <w:jc w:val="center"/>
        <w:rPr>
          <w:b/>
        </w:rPr>
      </w:pPr>
      <w:r>
        <w:rPr>
          <w:b/>
        </w:rPr>
        <w:t>4. Порядок приемки Услуг</w:t>
      </w:r>
    </w:p>
    <w:p w14:paraId="1237CD45">
      <w:pPr>
        <w:ind w:firstLine="708"/>
        <w:jc w:val="both"/>
      </w:pPr>
      <w:r>
        <w:t>4.1. Приемка Услуг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оказанных Услуг требованиям Контракта, составляется документ о приемке, указанный в Техническом задании (приложение № 2</w:t>
      </w:r>
      <w:r>
        <w:rPr>
          <w:rFonts w:hint="default"/>
          <w:lang w:val="ru-RU"/>
        </w:rPr>
        <w:t>,3</w:t>
      </w:r>
      <w:r>
        <w:t xml:space="preserve"> к Контракту).</w:t>
      </w:r>
    </w:p>
    <w:p w14:paraId="00A2047E">
      <w:pPr>
        <w:ind w:firstLine="708"/>
        <w:jc w:val="both"/>
      </w:pPr>
      <w:r>
        <w:t>4.2. Срок приемки указан в Техническом задании (приложение № 2 к Контракту).</w:t>
      </w:r>
    </w:p>
    <w:p w14:paraId="5C331E06">
      <w:pPr>
        <w:ind w:firstLine="708"/>
        <w:jc w:val="both"/>
      </w:pPr>
      <w:r>
        <w:t xml:space="preserve">4.3. В случае несоответствия оказанных Услуг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537341E2">
      <w:pPr>
        <w:ind w:firstLine="708"/>
        <w:jc w:val="both"/>
      </w:pPr>
      <w:r>
        <w:t xml:space="preserve">4.4. При выявлении несоответствия оказанных Услуг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ype="textWrapping"/>
      </w:r>
      <w:r>
        <w:t>в уведомлении, последний отказывается от приемки и оплаты. Мотивированный отказ направляется Поставщику в письменной форме.</w:t>
      </w:r>
    </w:p>
    <w:p w14:paraId="49EE3EFC">
      <w:pPr>
        <w:ind w:firstLine="708"/>
        <w:jc w:val="both"/>
      </w:pPr>
      <w:r>
        <w:t>4.5.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FAF7D66">
      <w:pPr>
        <w:ind w:firstLine="708"/>
        <w:jc w:val="both"/>
      </w:pPr>
      <w:r>
        <w:t>4.6. Все расходы, связанные с устранением недостатков, несет Поставщик.</w:t>
      </w:r>
    </w:p>
    <w:p w14:paraId="44F2AA9A">
      <w:pPr>
        <w:jc w:val="both"/>
      </w:pPr>
    </w:p>
    <w:p w14:paraId="1DB32F29">
      <w:pPr>
        <w:jc w:val="center"/>
        <w:rPr>
          <w:b/>
        </w:rPr>
      </w:pPr>
      <w:r>
        <w:rPr>
          <w:b/>
        </w:rPr>
        <w:t>5. Права и обязанности сторон</w:t>
      </w:r>
    </w:p>
    <w:p w14:paraId="4EE5B04F">
      <w:pPr>
        <w:ind w:firstLine="708"/>
        <w:jc w:val="both"/>
      </w:pPr>
      <w:r>
        <w:t>5.1. Заказчик вправе:</w:t>
      </w:r>
    </w:p>
    <w:p w14:paraId="1920491B">
      <w:pPr>
        <w:ind w:firstLine="708"/>
        <w:jc w:val="both"/>
      </w:pPr>
      <w:r>
        <w:t xml:space="preserve">5.1.1.Требовать от Поставщика надлежащего исполнения обязательств </w:t>
      </w:r>
      <w:r>
        <w:br w:type="textWrapping"/>
      </w:r>
      <w:r>
        <w:t>в соответствии с Контрактом, а также требовать своевременного устранения выявленных недостатков.</w:t>
      </w:r>
    </w:p>
    <w:p w14:paraId="0180BC15">
      <w:pPr>
        <w:ind w:firstLine="708"/>
        <w:jc w:val="both"/>
      </w:pPr>
      <w:r>
        <w:t>5.1.2. В случае досрочного исполнения Поставщиком обязательств по Контракту принять и оплатить Услуги в соответствии с установленным в Контракте порядком.</w:t>
      </w:r>
    </w:p>
    <w:p w14:paraId="3E92CFE1">
      <w:pPr>
        <w:ind w:firstLine="708"/>
        <w:jc w:val="both"/>
      </w:pPr>
      <w:r>
        <w:t>5.1.3. Запрашивать у Поставщика информацию о ходе исполнения обязательств по Контракту.</w:t>
      </w:r>
    </w:p>
    <w:p w14:paraId="61A5D457">
      <w:pPr>
        <w:ind w:firstLine="708"/>
        <w:jc w:val="both"/>
      </w:pPr>
      <w:r>
        <w:t>5.1.4. Осуществлять контроль и надзор за качеством, порядком и сроками оказываемых Услуг, не вмешиваясь при этом в хозяйственную деятельность Поставщика.</w:t>
      </w:r>
    </w:p>
    <w:p w14:paraId="31449376">
      <w:pPr>
        <w:ind w:firstLine="708"/>
        <w:jc w:val="both"/>
      </w:pPr>
      <w:r>
        <w:t>5.1.5. Отказаться от приемки Услуг в случаях, предусмотренных Контрактом.</w:t>
      </w:r>
    </w:p>
    <w:p w14:paraId="09879F03">
      <w:pPr>
        <w:ind w:firstLine="708"/>
        <w:jc w:val="both"/>
      </w:pPr>
      <w:r>
        <w:t>5.1.6. В одностороннем порядке отказаться от исполнения Контракта в соответствии с Законом о контрактной системе.</w:t>
      </w:r>
    </w:p>
    <w:p w14:paraId="2E17D681">
      <w:pPr>
        <w:ind w:firstLine="708"/>
        <w:jc w:val="both"/>
      </w:pPr>
      <w:r>
        <w:t>5.2. Заказчик обязан:</w:t>
      </w:r>
    </w:p>
    <w:p w14:paraId="495AA6EB">
      <w:pPr>
        <w:ind w:firstLine="708"/>
        <w:jc w:val="both"/>
      </w:pPr>
      <w:r>
        <w:t>5.2.1. Своевременно принять оказанные Услуги в соответствии с Контрактом, включая проведение экспертизы оказанных Услуг.</w:t>
      </w:r>
    </w:p>
    <w:p w14:paraId="13582634">
      <w:pPr>
        <w:ind w:firstLine="708"/>
        <w:jc w:val="both"/>
      </w:pPr>
      <w:r>
        <w:t xml:space="preserve">5.2.2. Своевременно оплатить оказанные Услуги надлежащего качества </w:t>
      </w:r>
      <w:r>
        <w:br w:type="textWrapping"/>
      </w:r>
      <w:r>
        <w:t>в соответствии с Контрактом.</w:t>
      </w:r>
    </w:p>
    <w:p w14:paraId="041D074C">
      <w:pPr>
        <w:ind w:firstLine="708"/>
        <w:jc w:val="both"/>
      </w:pPr>
      <w:r>
        <w:t>5.3. Поставщик вправе:</w:t>
      </w:r>
    </w:p>
    <w:p w14:paraId="5176CE8C">
      <w:pPr>
        <w:ind w:firstLine="708"/>
        <w:jc w:val="both"/>
      </w:pPr>
      <w:r>
        <w:t xml:space="preserve">5.3.1. Требовать своевременной приемки и оплаты за оказанные Услуги </w:t>
      </w:r>
      <w:r>
        <w:br w:type="textWrapping"/>
      </w:r>
      <w:r>
        <w:t>в соответствии с условиями Контракта.</w:t>
      </w:r>
    </w:p>
    <w:p w14:paraId="21139CCB">
      <w:pPr>
        <w:ind w:firstLine="708"/>
        <w:jc w:val="both"/>
      </w:pPr>
      <w:r>
        <w:t xml:space="preserve">5.3.2. Запрашивать у Заказчика разъяснения и уточнения относительно Услуг </w:t>
      </w:r>
      <w:r>
        <w:br w:type="textWrapping"/>
      </w:r>
      <w:r>
        <w:t>в рамках Контракта.</w:t>
      </w:r>
    </w:p>
    <w:p w14:paraId="711500DB">
      <w:pPr>
        <w:ind w:firstLine="708"/>
        <w:jc w:val="both"/>
      </w:pPr>
      <w:r>
        <w:t xml:space="preserve">5.3.3. Получать от Заказчика содействие при оказании Услуг в соответствии </w:t>
      </w:r>
      <w:r>
        <w:br w:type="textWrapping"/>
      </w:r>
      <w:r>
        <w:t>с условиями Контракта.</w:t>
      </w:r>
    </w:p>
    <w:p w14:paraId="66AACA1C">
      <w:pPr>
        <w:ind w:firstLine="708"/>
        <w:jc w:val="both"/>
      </w:pPr>
      <w:r>
        <w:t>5.3.4. Досрочно исполнить обязательства по Контракту с согласия Заказчика.</w:t>
      </w:r>
    </w:p>
    <w:p w14:paraId="67A86081">
      <w:pPr>
        <w:ind w:firstLine="708"/>
        <w:jc w:val="both"/>
      </w:pPr>
      <w:r>
        <w:t>5.4. Поставщик обязан:</w:t>
      </w:r>
    </w:p>
    <w:p w14:paraId="5B0F1E0D">
      <w:pPr>
        <w:ind w:firstLine="708"/>
        <w:jc w:val="both"/>
      </w:pPr>
      <w:r>
        <w:t>5.4.1. Своевременно и надлежащим образом исполнять обязательства по оказанию Услуг в соответствии с условиями Контракта.</w:t>
      </w:r>
    </w:p>
    <w:p w14:paraId="6B75E9A0">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9DF09A9">
      <w:pPr>
        <w:ind w:firstLine="708"/>
        <w:jc w:val="both"/>
      </w:pPr>
      <w:r>
        <w:t>5.4.3. Обеспечить устранение недостатков, выявленных при приемке Заказчиком Услуг, за свой счет.</w:t>
      </w:r>
    </w:p>
    <w:p w14:paraId="5FA0E411">
      <w:pPr>
        <w:ind w:firstLine="708"/>
        <w:jc w:val="both"/>
      </w:pPr>
      <w:r>
        <w:t xml:space="preserve">5.4.4. Приостановить оказание Услуг в случае обнаружения не зависящих </w:t>
      </w:r>
      <w:r>
        <w:br w:type="textWrapping"/>
      </w:r>
      <w:r>
        <w:t xml:space="preserve">от Поставщика обстоятельств, которые могут оказать негативное влияние на качество Услуг или создать невозможность оказания Услуг в установленный Контрактом срок, </w:t>
      </w:r>
      <w:r>
        <w:br w:type="textWrapping"/>
      </w:r>
      <w:r>
        <w:t>и сообщить об этом Заказчику в течение одного рабочего дня после приостановления поставки.</w:t>
      </w:r>
    </w:p>
    <w:p w14:paraId="4293D9EC">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A3E800F">
      <w:pPr>
        <w:ind w:firstLine="708"/>
        <w:jc w:val="both"/>
      </w:pPr>
      <w:r>
        <w:t>5.5. Поставщик гарантирует, что на момент заключения Контракта:</w:t>
      </w:r>
    </w:p>
    <w:p w14:paraId="263A3F54">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ype="textWrapping"/>
      </w:r>
      <w:r>
        <w:t xml:space="preserve">в бюджеты бюджетной системы Российской Федерации за прошедший календарный год </w:t>
      </w:r>
      <w:r>
        <w:br w:type="textWrapping"/>
      </w:r>
      <w:r>
        <w:t>не превышает 25% балансовой стоимости активов по данным бухгалтерской (бюджетной) отчетности за последний отчетный период.</w:t>
      </w:r>
    </w:p>
    <w:p w14:paraId="4D100752">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00A6650C">
      <w:pPr>
        <w:ind w:firstLine="708"/>
        <w:jc w:val="both"/>
      </w:pPr>
      <w:r>
        <w:t xml:space="preserve">5.5.3. За последние два года не нарушал контрактных (договорных) обязательств </w:t>
      </w:r>
      <w:r>
        <w:br w:type="textWrapping"/>
      </w:r>
      <w:r>
        <w:t>и не причинял ущерба (либо погасил причиненный ущерб) по аналогичным контрактам (договорам).</w:t>
      </w:r>
    </w:p>
    <w:p w14:paraId="035E613F">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ype="textWrapping"/>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7D6A5C3">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F8886E5">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90F8492">
      <w:pPr>
        <w:ind w:firstLine="708"/>
        <w:jc w:val="both"/>
      </w:pPr>
      <w:r>
        <w:t xml:space="preserve">5.5.7. </w:t>
      </w:r>
      <w:r>
        <w:rPr>
          <w:rFonts w:eastAsiaTheme="minorHAnsi"/>
          <w:lang w:eastAsia="en-US"/>
        </w:rPr>
        <w:t>Поставщик не является иностранным агентом.</w:t>
      </w:r>
    </w:p>
    <w:p w14:paraId="194B7BC5">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0CE802FF">
      <w:pPr>
        <w:ind w:firstLine="708"/>
        <w:jc w:val="both"/>
      </w:pPr>
    </w:p>
    <w:p w14:paraId="2A51B524">
      <w:pPr>
        <w:jc w:val="center"/>
        <w:rPr>
          <w:b/>
        </w:rPr>
      </w:pPr>
      <w:r>
        <w:rPr>
          <w:b/>
        </w:rPr>
        <w:t>6. Гарантии</w:t>
      </w:r>
    </w:p>
    <w:p w14:paraId="3D03B13B">
      <w:pPr>
        <w:pStyle w:val="196"/>
        <w:keepNext w:val="0"/>
        <w:numPr>
          <w:ilvl w:val="0"/>
          <w:numId w:val="0"/>
        </w:numPr>
        <w:tabs>
          <w:tab w:val="left" w:pos="851"/>
          <w:tab w:val="clear" w:pos="1134"/>
        </w:tabs>
        <w:spacing w:before="0"/>
        <w:ind w:firstLine="709"/>
        <w:outlineLvl w:val="0"/>
        <w:rPr>
          <w:szCs w:val="24"/>
        </w:rPr>
      </w:pPr>
      <w:r>
        <w:t>6.1.</w:t>
      </w:r>
      <w:r>
        <w:rPr>
          <w:szCs w:val="24"/>
        </w:rPr>
        <w:t xml:space="preserve"> Гарантийный срок на оказанные услуги: не менее 12 месяцев с момента подписания Акта сдачи-приемки оказанных услуг.</w:t>
      </w:r>
    </w:p>
    <w:p w14:paraId="198B946B">
      <w:pPr>
        <w:ind w:firstLine="708"/>
        <w:jc w:val="both"/>
        <w:rPr>
          <w:b/>
        </w:rPr>
      </w:pPr>
    </w:p>
    <w:p w14:paraId="42EC513E">
      <w:pPr>
        <w:jc w:val="center"/>
        <w:rPr>
          <w:b/>
        </w:rPr>
      </w:pPr>
      <w:r>
        <w:rPr>
          <w:b/>
        </w:rPr>
        <w:t>7. Ответственность сторон</w:t>
      </w:r>
    </w:p>
    <w:p w14:paraId="6C90E8F7">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68CE18B3">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D8F088A">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26D9AA">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7FB20A6">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D9D750F">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 и составляет __________ рублей __________ копеек (_______).</w:t>
      </w:r>
    </w:p>
    <w:p w14:paraId="52652869">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8BE4BB3">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ype="textWrapping"/>
      </w:r>
      <w:r>
        <w:t>не может превышать цену Контракта.</w:t>
      </w:r>
    </w:p>
    <w:p w14:paraId="646CD98E">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D087969">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674C178">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BEDDFF1">
      <w:pPr>
        <w:ind w:firstLine="708"/>
        <w:jc w:val="both"/>
      </w:pPr>
    </w:p>
    <w:p w14:paraId="1815D323">
      <w:pPr>
        <w:jc w:val="center"/>
        <w:rPr>
          <w:b/>
        </w:rPr>
      </w:pPr>
      <w:r>
        <w:rPr>
          <w:b/>
        </w:rPr>
        <w:t>8. Срок действия, порядок изменения и расторжения Контракта.</w:t>
      </w:r>
    </w:p>
    <w:p w14:paraId="5A6FD8D2">
      <w:pPr>
        <w:ind w:firstLine="708"/>
        <w:jc w:val="both"/>
      </w:pPr>
      <w:r>
        <w:t>8.1. Контракт вступает в силу со дня его подписания Сторонами.</w:t>
      </w:r>
    </w:p>
    <w:p w14:paraId="707D7581">
      <w:pPr>
        <w:ind w:firstLine="708"/>
        <w:jc w:val="both"/>
      </w:pPr>
      <w:r>
        <w:t xml:space="preserve">8.2. Контракт действует по </w:t>
      </w:r>
      <w:r>
        <w:rPr>
          <w:color w:val="FF0000"/>
        </w:rPr>
        <w:t>31.12.202</w:t>
      </w:r>
      <w:r>
        <w:rPr>
          <w:rFonts w:hint="default"/>
          <w:color w:val="FF0000"/>
          <w:lang w:val="ru-RU"/>
        </w:rPr>
        <w:t>6</w:t>
      </w:r>
      <w:r>
        <w:rPr>
          <w:color w:val="FF0000"/>
        </w:rPr>
        <w:t>г</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A9282AA">
      <w:pPr>
        <w:ind w:firstLine="708"/>
        <w:jc w:val="both"/>
      </w:pPr>
      <w:r>
        <w:t>8.3. Контракт может быть расторгнут:</w:t>
      </w:r>
    </w:p>
    <w:p w14:paraId="00E081AB">
      <w:pPr>
        <w:jc w:val="both"/>
      </w:pPr>
      <w:r>
        <w:t>- по соглашению сторон;</w:t>
      </w:r>
    </w:p>
    <w:p w14:paraId="4CFFCF1A">
      <w:pPr>
        <w:jc w:val="both"/>
      </w:pPr>
      <w:r>
        <w:t>- по решению суда;</w:t>
      </w:r>
    </w:p>
    <w:p w14:paraId="2F42E928">
      <w:pPr>
        <w:jc w:val="both"/>
      </w:pPr>
      <w:r>
        <w:t xml:space="preserve">- в случае одностороннего отказа Стороны Контракта от исполнения Контракта </w:t>
      </w:r>
      <w:r>
        <w:br w:type="textWrapping"/>
      </w:r>
      <w:r>
        <w:t>в соответствии с гражданским законодательством.</w:t>
      </w:r>
    </w:p>
    <w:p w14:paraId="7CBA1612">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138C2A3D">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14:paraId="0E162BEB">
      <w:pPr>
        <w:ind w:firstLine="708"/>
        <w:jc w:val="both"/>
      </w:pPr>
      <w:r>
        <w:t>8.6.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выбор которых осуществляется в соответствии с Законом о контрактной системе.</w:t>
      </w:r>
    </w:p>
    <w:p w14:paraId="26110060">
      <w:pPr>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F8C4E7E">
      <w:pPr>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19A24DC">
      <w:pPr>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D7FC3BD">
      <w:pPr>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F03C5C7">
      <w:pPr>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FAB1095">
      <w:pPr>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72542E5">
      <w:pPr>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7763F5D">
      <w:pPr>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E1CF6A0">
      <w:pPr>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7DEDF5B">
      <w:pPr>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F773058">
      <w:pPr>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D2FE0F8">
      <w:pPr>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268A00F9">
      <w:pPr>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EF15237">
      <w:pPr>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992834D">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4D73C71C">
      <w:pPr>
        <w:jc w:val="center"/>
        <w:rPr>
          <w:b/>
        </w:rPr>
      </w:pPr>
    </w:p>
    <w:p w14:paraId="1B069784">
      <w:pPr>
        <w:jc w:val="center"/>
        <w:rPr>
          <w:b/>
        </w:rPr>
      </w:pPr>
      <w:r>
        <w:rPr>
          <w:b/>
        </w:rPr>
        <w:t>9. Порядок урегулирования споров</w:t>
      </w:r>
    </w:p>
    <w:p w14:paraId="3861118B">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CA17F17">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DFEB77F">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B88ECFA">
      <w:pPr>
        <w:jc w:val="center"/>
        <w:rPr>
          <w:b/>
        </w:rPr>
      </w:pPr>
    </w:p>
    <w:p w14:paraId="479E9D81">
      <w:pPr>
        <w:jc w:val="center"/>
        <w:rPr>
          <w:b/>
        </w:rPr>
      </w:pPr>
      <w:r>
        <w:rPr>
          <w:b/>
        </w:rPr>
        <w:t>10. Прочие условия</w:t>
      </w:r>
    </w:p>
    <w:p w14:paraId="1F139848">
      <w:pPr>
        <w:widowControl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F8ECCAA">
      <w:pPr>
        <w:ind w:firstLine="708"/>
        <w:jc w:val="both"/>
      </w:pPr>
      <w:r>
        <w:t>10.2. Во всем, что не предусмотрено Контрактом, Стороны руководствуются законодательством Российской Федерации.</w:t>
      </w:r>
    </w:p>
    <w:p w14:paraId="7C2ACE45">
      <w:pPr>
        <w:ind w:firstLine="708"/>
        <w:jc w:val="both"/>
      </w:pPr>
    </w:p>
    <w:p w14:paraId="37E8F9A3">
      <w:pPr>
        <w:jc w:val="center"/>
        <w:rPr>
          <w:b/>
        </w:rPr>
      </w:pPr>
      <w:r>
        <w:rPr>
          <w:b/>
        </w:rPr>
        <w:t>11. Приложения</w:t>
      </w:r>
    </w:p>
    <w:p w14:paraId="7F4FB04D">
      <w:pPr>
        <w:ind w:firstLine="708"/>
        <w:jc w:val="both"/>
      </w:pPr>
      <w:r>
        <w:t>11.1 Неотъемлемой частью Контракта являются:</w:t>
      </w:r>
    </w:p>
    <w:p w14:paraId="40609169">
      <w:pPr>
        <w:ind w:left="708" w:firstLine="708"/>
      </w:pPr>
      <w:r>
        <w:t>Приложение № 1 «Спецификация»;</w:t>
      </w:r>
    </w:p>
    <w:p w14:paraId="47055BC2">
      <w:pPr>
        <w:ind w:left="708" w:firstLine="708"/>
      </w:pPr>
      <w:r>
        <w:t>Приложение № 2 «Техническое задание»</w:t>
      </w:r>
    </w:p>
    <w:p w14:paraId="625F1C1B">
      <w:pPr>
        <w:ind w:left="708" w:firstLine="708"/>
        <w:rPr>
          <w:rFonts w:hint="default" w:ascii="Times New Roman" w:hAnsi="Times New Roman" w:cs="Times New Roman"/>
          <w:b w:val="0"/>
          <w:bCs w:val="0"/>
          <w:lang w:val="ru-RU"/>
        </w:rPr>
      </w:pPr>
      <w:r>
        <w:rPr>
          <w:b w:val="0"/>
          <w:bCs w:val="0"/>
          <w:lang w:val="ru-RU"/>
        </w:rPr>
        <w:t>Приложение</w:t>
      </w:r>
      <w:r>
        <w:rPr>
          <w:rFonts w:hint="default"/>
          <w:b w:val="0"/>
          <w:bCs w:val="0"/>
          <w:lang w:val="ru-RU"/>
        </w:rPr>
        <w:t xml:space="preserve"> № 3 «Форма акта № </w:t>
      </w:r>
      <w:r>
        <w:rPr>
          <w:rFonts w:ascii="Times New Roman" w:hAnsi="Times New Roman" w:cs="Times New Roman"/>
          <w:b w:val="0"/>
          <w:bCs w:val="0"/>
        </w:rPr>
        <w:t>0510452</w:t>
      </w:r>
      <w:r>
        <w:rPr>
          <w:rFonts w:hint="default" w:ascii="Times New Roman" w:hAnsi="Times New Roman" w:cs="Times New Roman"/>
          <w:b w:val="0"/>
          <w:bCs w:val="0"/>
          <w:lang w:val="ru-RU"/>
        </w:rPr>
        <w:t>»</w:t>
      </w:r>
    </w:p>
    <w:p w14:paraId="4B8A7AAE">
      <w:pPr>
        <w:ind w:left="708" w:firstLine="708"/>
        <w:rPr>
          <w:rFonts w:hint="default" w:ascii="Times New Roman" w:hAnsi="Times New Roman" w:cs="Times New Roman"/>
          <w:b w:val="0"/>
          <w:bCs/>
          <w:lang w:val="ru-RU"/>
        </w:rPr>
      </w:pPr>
    </w:p>
    <w:p w14:paraId="563A5562">
      <w:pPr>
        <w:ind w:left="708" w:firstLine="708"/>
        <w:rPr>
          <w:b/>
        </w:rPr>
      </w:pPr>
      <w:r>
        <w:rPr>
          <w:b/>
        </w:rPr>
        <w:t>12. Реквизиты и подписи сторон</w:t>
      </w:r>
    </w:p>
    <w:p w14:paraId="55E51D3D">
      <w:pPr>
        <w:jc w:val="center"/>
        <w:rPr>
          <w:b/>
        </w:rPr>
      </w:pPr>
    </w:p>
    <w:tbl>
      <w:tblPr>
        <w:tblStyle w:val="38"/>
        <w:tblW w:w="94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15"/>
        <w:gridCol w:w="4673"/>
      </w:tblGrid>
      <w:tr w14:paraId="2DCCB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1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noWrap w:val="0"/>
          </w:tcPr>
          <w:p w14:paraId="2E424BC6">
            <w:pPr>
              <w:jc w:val="both"/>
              <w:rPr>
                <w:b/>
              </w:rPr>
            </w:pPr>
          </w:p>
        </w:tc>
        <w:tc>
          <w:tcPr>
            <w:tcW w:w="4673"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noWrap w:val="0"/>
          </w:tcPr>
          <w:p w14:paraId="2BCD1070">
            <w:pPr>
              <w:jc w:val="both"/>
              <w:rPr>
                <w:b/>
              </w:rPr>
            </w:pPr>
          </w:p>
        </w:tc>
      </w:tr>
    </w:tbl>
    <w:tbl>
      <w:tblPr>
        <w:tblStyle w:val="12"/>
        <w:tblW w:w="9488" w:type="dxa"/>
        <w:tblInd w:w="0" w:type="dxa"/>
        <w:tblLayout w:type="autofit"/>
        <w:tblCellMar>
          <w:top w:w="0" w:type="dxa"/>
          <w:left w:w="108" w:type="dxa"/>
          <w:bottom w:w="0" w:type="dxa"/>
          <w:right w:w="108" w:type="dxa"/>
        </w:tblCellMar>
      </w:tblPr>
      <w:tblGrid>
        <w:gridCol w:w="4815"/>
        <w:gridCol w:w="4673"/>
      </w:tblGrid>
      <w:tr w14:paraId="7739B150">
        <w:tblPrEx>
          <w:tblCellMar>
            <w:top w:w="0" w:type="dxa"/>
            <w:left w:w="108" w:type="dxa"/>
            <w:bottom w:w="0" w:type="dxa"/>
            <w:right w:w="108" w:type="dxa"/>
          </w:tblCellMar>
        </w:tblPrEx>
        <w:trPr>
          <w:trHeight w:val="4424" w:hRule="atLeast"/>
        </w:trPr>
        <w:tc>
          <w:tcPr>
            <w:tcW w:w="4815" w:type="dxa"/>
          </w:tcPr>
          <w:p w14:paraId="2259446C">
            <w:pPr>
              <w:rPr>
                <w:sz w:val="22"/>
                <w:szCs w:val="22"/>
              </w:rPr>
            </w:pPr>
            <w:r>
              <w:rPr>
                <w:b/>
                <w:sz w:val="22"/>
                <w:szCs w:val="22"/>
              </w:rPr>
              <w:t>Заказчик:</w:t>
            </w:r>
            <w:r>
              <w:rPr>
                <w:sz w:val="22"/>
                <w:szCs w:val="22"/>
              </w:rPr>
              <w:t xml:space="preserve"> </w:t>
            </w:r>
          </w:p>
          <w:p w14:paraId="586C84ED">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4673" w:type="dxa"/>
          </w:tcPr>
          <w:p w14:paraId="46FA03CE">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712DF480">
            <w:pPr>
              <w:autoSpaceDE w:val="0"/>
              <w:autoSpaceDN w:val="0"/>
              <w:adjustRightInd w:val="0"/>
              <w:jc w:val="both"/>
              <w:rPr>
                <w:rFonts w:ascii="Courier New" w:hAnsi="Courier New" w:eastAsia="Calibri" w:cs="Courier New"/>
                <w:bCs/>
                <w:sz w:val="22"/>
                <w:szCs w:val="22"/>
                <w:lang w:eastAsia="en-US"/>
              </w:rPr>
            </w:pPr>
          </w:p>
        </w:tc>
      </w:tr>
    </w:tbl>
    <w:p w14:paraId="1A7A4EEF">
      <w:pPr>
        <w:spacing w:after="160" w:line="259" w:lineRule="auto"/>
      </w:pPr>
      <w:r>
        <w:rPr/>
        <w:br w:type="page" w:clear="all"/>
      </w:r>
    </w:p>
    <w:p w14:paraId="09DD4286">
      <w:pPr>
        <w:pageBreakBefore/>
        <w:ind w:right="261"/>
        <w:jc w:val="right"/>
      </w:pPr>
      <w:r>
        <w:t xml:space="preserve">Приложение № </w:t>
      </w:r>
      <w:r>
        <w:rPr>
          <w:rFonts w:hint="default"/>
          <w:lang w:val="ru-RU"/>
        </w:rPr>
        <w:t>1</w:t>
      </w:r>
      <w:r>
        <w:t xml:space="preserve"> к Контракту</w:t>
      </w:r>
    </w:p>
    <w:p w14:paraId="084DBC9D">
      <w:pPr>
        <w:ind w:right="261"/>
        <w:jc w:val="right"/>
        <w:rPr>
          <w:sz w:val="26"/>
          <w:szCs w:val="26"/>
        </w:rPr>
      </w:pPr>
      <w:r>
        <w:rPr>
          <w:rFonts w:ascii="Times New Roman" w:hAnsi="Times New Roman" w:cs="Times New Roman"/>
          <w:sz w:val="24"/>
          <w:szCs w:val="24"/>
        </w:rPr>
        <w:t xml:space="preserve"> от «___»____________202</w:t>
      </w:r>
      <w:r>
        <w:rPr>
          <w:rFonts w:hint="default" w:cs="Times New Roman"/>
          <w:sz w:val="24"/>
          <w:szCs w:val="24"/>
          <w:lang w:val="ru-RU"/>
        </w:rPr>
        <w:t>6</w:t>
      </w:r>
      <w:r>
        <w:rPr>
          <w:rFonts w:ascii="Times New Roman" w:hAnsi="Times New Roman" w:cs="Times New Roman"/>
          <w:sz w:val="24"/>
          <w:szCs w:val="24"/>
        </w:rPr>
        <w:t xml:space="preserve">г. № </w:t>
      </w:r>
      <w:r>
        <w:rPr>
          <w:rFonts w:hint="default" w:ascii="Times New Roman" w:hAnsi="Times New Roman" w:cs="Times New Roman"/>
          <w:color w:val="FF0000"/>
          <w:sz w:val="24"/>
          <w:szCs w:val="24"/>
          <w:lang w:val="ru-RU"/>
        </w:rPr>
        <w:t>___</w:t>
      </w:r>
      <w:r>
        <w:t xml:space="preserve"> </w:t>
      </w:r>
    </w:p>
    <w:p w14:paraId="06B6EA60">
      <w:pPr>
        <w:spacing w:line="340" w:lineRule="exact"/>
        <w:ind w:right="261"/>
        <w:jc w:val="center"/>
        <w:outlineLvl w:val="0"/>
        <w:rPr>
          <w:b/>
          <w:bCs/>
        </w:rPr>
      </w:pPr>
    </w:p>
    <w:p w14:paraId="64F62973">
      <w:pPr>
        <w:spacing w:line="340" w:lineRule="exact"/>
        <w:ind w:right="261"/>
        <w:jc w:val="center"/>
        <w:outlineLvl w:val="0"/>
        <w:rPr>
          <w:b/>
          <w:bCs/>
        </w:rPr>
      </w:pPr>
    </w:p>
    <w:p w14:paraId="1BFA455B">
      <w:pPr>
        <w:spacing w:line="340" w:lineRule="exact"/>
        <w:ind w:right="261"/>
        <w:jc w:val="center"/>
        <w:outlineLvl w:val="0"/>
        <w:rPr>
          <w:b/>
          <w:bCs/>
        </w:rPr>
      </w:pPr>
    </w:p>
    <w:p w14:paraId="3231E97B">
      <w:pPr>
        <w:spacing w:line="340" w:lineRule="exact"/>
        <w:ind w:right="261"/>
        <w:jc w:val="center"/>
        <w:outlineLvl w:val="0"/>
        <w:rPr>
          <w:b/>
          <w:bCs/>
        </w:rPr>
      </w:pPr>
    </w:p>
    <w:p w14:paraId="4283E0A7">
      <w:pPr>
        <w:spacing w:line="340" w:lineRule="exact"/>
        <w:ind w:right="261"/>
        <w:jc w:val="center"/>
        <w:outlineLvl w:val="0"/>
        <w:rPr>
          <w:b/>
          <w:bCs/>
        </w:rPr>
      </w:pPr>
    </w:p>
    <w:p w14:paraId="324A1761">
      <w:pPr>
        <w:autoSpaceDE w:val="0"/>
        <w:autoSpaceDN w:val="0"/>
        <w:adjustRightInd w:val="0"/>
        <w:ind w:right="261"/>
        <w:jc w:val="center"/>
        <w:rPr>
          <w:b/>
          <w:bCs/>
        </w:rPr>
      </w:pPr>
      <w:r>
        <w:rPr>
          <w:b/>
          <w:bCs/>
        </w:rPr>
        <w:t xml:space="preserve">РАСЧЕТ СТОИМОСТИ УСЛУГ </w:t>
      </w:r>
    </w:p>
    <w:p w14:paraId="2C613C89">
      <w:pPr>
        <w:autoSpaceDE w:val="0"/>
        <w:autoSpaceDN w:val="0"/>
        <w:adjustRightInd w:val="0"/>
        <w:ind w:right="261"/>
        <w:jc w:val="center"/>
        <w:rPr>
          <w:b/>
          <w:bCs/>
        </w:rPr>
      </w:pPr>
    </w:p>
    <w:p w14:paraId="783364E2">
      <w:pPr>
        <w:autoSpaceDE w:val="0"/>
        <w:autoSpaceDN w:val="0"/>
        <w:adjustRightInd w:val="0"/>
        <w:ind w:right="261"/>
        <w:jc w:val="center"/>
        <w:rPr>
          <w:b/>
          <w:bCs/>
        </w:rPr>
      </w:pPr>
    </w:p>
    <w:p w14:paraId="5F6FA80C">
      <w:pPr>
        <w:autoSpaceDE w:val="0"/>
        <w:autoSpaceDN w:val="0"/>
        <w:adjustRightInd w:val="0"/>
        <w:ind w:right="261"/>
        <w:jc w:val="center"/>
        <w:rPr>
          <w:b/>
          <w:bCs/>
        </w:rPr>
      </w:pPr>
    </w:p>
    <w:tbl>
      <w:tblPr>
        <w:tblStyle w:val="12"/>
        <w:tblW w:w="5089" w:type="pct"/>
        <w:tblInd w:w="0" w:type="dxa"/>
        <w:tblLayout w:type="fixed"/>
        <w:tblCellMar>
          <w:top w:w="0" w:type="dxa"/>
          <w:left w:w="108" w:type="dxa"/>
          <w:bottom w:w="0" w:type="dxa"/>
          <w:right w:w="108" w:type="dxa"/>
        </w:tblCellMar>
      </w:tblPr>
      <w:tblGrid>
        <w:gridCol w:w="523"/>
        <w:gridCol w:w="3111"/>
        <w:gridCol w:w="1256"/>
        <w:gridCol w:w="1466"/>
        <w:gridCol w:w="1593"/>
        <w:gridCol w:w="1792"/>
      </w:tblGrid>
      <w:tr w14:paraId="241C0302">
        <w:tblPrEx>
          <w:tblCellMar>
            <w:top w:w="0" w:type="dxa"/>
            <w:left w:w="108" w:type="dxa"/>
            <w:bottom w:w="0" w:type="dxa"/>
            <w:right w:w="108" w:type="dxa"/>
          </w:tblCellMar>
        </w:tblPrEx>
        <w:trPr>
          <w:trHeight w:val="815" w:hRule="atLeast"/>
        </w:trPr>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281A1F7D">
            <w:pPr>
              <w:jc w:val="center"/>
              <w:rPr>
                <w:b/>
                <w:sz w:val="22"/>
              </w:rPr>
            </w:pPr>
            <w:r>
              <w:rPr>
                <w:b/>
                <w:sz w:val="22"/>
              </w:rPr>
              <w:t>№ п/п</w:t>
            </w:r>
          </w:p>
        </w:tc>
        <w:tc>
          <w:tcPr>
            <w:tcW w:w="1596" w:type="pct"/>
            <w:tcBorders>
              <w:top w:val="single" w:color="auto" w:sz="4" w:space="0"/>
              <w:left w:val="single" w:color="auto" w:sz="4" w:space="0"/>
              <w:bottom w:val="single" w:color="auto" w:sz="4" w:space="0"/>
              <w:right w:val="single" w:color="auto" w:sz="4" w:space="0"/>
            </w:tcBorders>
            <w:vAlign w:val="center"/>
          </w:tcPr>
          <w:p w14:paraId="0B6388D0">
            <w:pPr>
              <w:jc w:val="center"/>
              <w:rPr>
                <w:b/>
                <w:sz w:val="22"/>
              </w:rPr>
            </w:pPr>
            <w:r>
              <w:rPr>
                <w:b/>
                <w:sz w:val="22"/>
              </w:rPr>
              <w:t>Наименование товара</w:t>
            </w:r>
          </w:p>
        </w:tc>
        <w:tc>
          <w:tcPr>
            <w:tcW w:w="644" w:type="pct"/>
            <w:tcBorders>
              <w:top w:val="single" w:color="auto" w:sz="4" w:space="0"/>
              <w:left w:val="single" w:color="auto" w:sz="4" w:space="0"/>
              <w:bottom w:val="single" w:color="auto" w:sz="4" w:space="0"/>
              <w:right w:val="single" w:color="auto" w:sz="4" w:space="0"/>
            </w:tcBorders>
            <w:vAlign w:val="center"/>
          </w:tcPr>
          <w:p w14:paraId="04845BCC">
            <w:pPr>
              <w:jc w:val="center"/>
              <w:rPr>
                <w:b/>
                <w:sz w:val="22"/>
              </w:rPr>
            </w:pPr>
            <w:r>
              <w:rPr>
                <w:b/>
                <w:sz w:val="22"/>
              </w:rPr>
              <w:t>Ед. измерения</w:t>
            </w:r>
          </w:p>
        </w:tc>
        <w:tc>
          <w:tcPr>
            <w:tcW w:w="752" w:type="pct"/>
            <w:tcBorders>
              <w:top w:val="single" w:color="auto" w:sz="4" w:space="0"/>
              <w:left w:val="single" w:color="auto" w:sz="4" w:space="0"/>
              <w:bottom w:val="single" w:color="auto" w:sz="4" w:space="0"/>
              <w:right w:val="single" w:color="auto" w:sz="4" w:space="0"/>
            </w:tcBorders>
            <w:vAlign w:val="center"/>
          </w:tcPr>
          <w:p w14:paraId="64C2587B">
            <w:pPr>
              <w:jc w:val="center"/>
              <w:rPr>
                <w:b/>
                <w:sz w:val="22"/>
              </w:rPr>
            </w:pPr>
            <w:r>
              <w:rPr>
                <w:b/>
                <w:sz w:val="22"/>
              </w:rPr>
              <w:t>Кол-во</w:t>
            </w:r>
          </w:p>
        </w:tc>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14:paraId="5B1336F6">
            <w:pPr>
              <w:ind w:left="33" w:leftChars="0" w:right="261" w:rightChars="0"/>
              <w:jc w:val="center"/>
              <w:rPr>
                <w:rFonts w:hint="default" w:ascii="Times New Roman" w:hAnsi="Times New Roman" w:eastAsia="Times New Roman" w:cs="Times New Roman"/>
                <w:b/>
                <w:sz w:val="24"/>
                <w:szCs w:val="24"/>
                <w:lang w:val="ru-RU" w:eastAsia="ru-RU" w:bidi="ar-SA"/>
              </w:rPr>
            </w:pPr>
            <w:r>
              <w:rPr>
                <w:b/>
              </w:rPr>
              <w:t>Цена за ед. услуги</w:t>
            </w: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14:paraId="596F7658">
            <w:pPr>
              <w:ind w:left="33" w:leftChars="0" w:right="261" w:rightChars="0"/>
              <w:jc w:val="center"/>
              <w:rPr>
                <w:rFonts w:hint="default" w:ascii="Times New Roman" w:hAnsi="Times New Roman" w:eastAsia="Times New Roman" w:cs="Times New Roman"/>
                <w:b/>
                <w:sz w:val="24"/>
                <w:szCs w:val="24"/>
                <w:lang w:val="ru-RU" w:eastAsia="ru-RU" w:bidi="ar-SA"/>
              </w:rPr>
            </w:pPr>
            <w:r>
              <w:rPr>
                <w:b/>
              </w:rPr>
              <w:t xml:space="preserve">Общая стоимость услуг, </w:t>
            </w:r>
          </w:p>
        </w:tc>
      </w:tr>
      <w:tr w14:paraId="62DF0E38">
        <w:tblPrEx>
          <w:tblCellMar>
            <w:top w:w="0" w:type="dxa"/>
            <w:left w:w="108" w:type="dxa"/>
            <w:bottom w:w="0" w:type="dxa"/>
            <w:right w:w="108" w:type="dxa"/>
          </w:tblCellMar>
        </w:tblPrEx>
        <w:trPr>
          <w:trHeight w:val="495" w:hRule="atLeast"/>
        </w:trPr>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61AC32ED">
            <w:pPr>
              <w:pStyle w:val="185"/>
              <w:numPr>
                <w:ilvl w:val="0"/>
                <w:numId w:val="2"/>
              </w:numPr>
              <w:jc w:val="center"/>
              <w:rPr>
                <w:sz w:val="22"/>
              </w:rPr>
            </w:pPr>
          </w:p>
        </w:tc>
        <w:tc>
          <w:tcPr>
            <w:tcW w:w="1596" w:type="pct"/>
            <w:tcBorders>
              <w:top w:val="single" w:color="auto" w:sz="4" w:space="0"/>
              <w:left w:val="single" w:color="auto" w:sz="4" w:space="0"/>
              <w:bottom w:val="single" w:color="auto" w:sz="4" w:space="0"/>
              <w:right w:val="single" w:color="auto" w:sz="4" w:space="0"/>
            </w:tcBorders>
            <w:shd w:val="clear" w:color="auto" w:fill="auto"/>
            <w:vAlign w:val="center"/>
          </w:tcPr>
          <w:p w14:paraId="262A87B7">
            <w:pPr>
              <w:keepNext w:val="0"/>
              <w:keepLines w:val="0"/>
              <w:widowControl/>
              <w:suppressLineNumbers w:val="0"/>
              <w:jc w:val="center"/>
              <w:textAlignment w:val="center"/>
              <w:rPr>
                <w:rFonts w:hint="default" w:ascii="Times New Roman" w:hAnsi="Times New Roman" w:cs="Times New Roman"/>
                <w:i w:val="0"/>
                <w:iCs w:val="0"/>
                <w:color w:val="000000"/>
                <w:u w:val="none"/>
                <w:lang w:val="ru-RU"/>
              </w:rPr>
            </w:pPr>
            <w:r>
              <w:rPr>
                <w:rFonts w:hint="default" w:ascii="Times New Roman" w:hAnsi="Times New Roman" w:eastAsia="SimSun" w:cs="Times New Roman"/>
                <w:i w:val="0"/>
                <w:iCs w:val="0"/>
                <w:color w:val="000000"/>
                <w:kern w:val="0"/>
                <w:sz w:val="24"/>
                <w:szCs w:val="24"/>
                <w:u w:val="none"/>
                <w:lang w:val="en-US" w:eastAsia="zh-CN" w:bidi="ar"/>
              </w:rPr>
              <w:t>Нокпитель SSD-256GB-2.5-LT22, Внутренний SSD-наакопитель, серия "Lite", 256 GB, 2.5", SATA III 6 Gbit/s, SM2259XT, 3D TLC NAND, R/W speed up to 550/520 MB/s, TBW (TB) 128</w:t>
            </w:r>
          </w:p>
        </w:tc>
        <w:tc>
          <w:tcPr>
            <w:tcW w:w="644" w:type="pct"/>
            <w:tcBorders>
              <w:top w:val="single" w:color="auto" w:sz="4" w:space="0"/>
              <w:left w:val="single" w:color="auto" w:sz="4" w:space="0"/>
              <w:bottom w:val="single" w:color="auto" w:sz="4" w:space="0"/>
              <w:right w:val="single" w:color="auto" w:sz="4" w:space="0"/>
            </w:tcBorders>
            <w:vAlign w:val="center"/>
          </w:tcPr>
          <w:p w14:paraId="48A5343F">
            <w:pPr>
              <w:jc w:val="center"/>
              <w:rPr>
                <w:rFonts w:hint="default"/>
                <w:lang w:val="ru-RU"/>
              </w:rPr>
            </w:pPr>
            <w:r>
              <w:rPr>
                <w:lang w:val="ru-RU"/>
              </w:rPr>
              <w:t>шт</w:t>
            </w:r>
          </w:p>
        </w:tc>
        <w:tc>
          <w:tcPr>
            <w:tcW w:w="752" w:type="pct"/>
            <w:tcBorders>
              <w:top w:val="single" w:color="auto" w:sz="4" w:space="0"/>
              <w:left w:val="single" w:color="auto" w:sz="4" w:space="0"/>
              <w:bottom w:val="single" w:color="auto" w:sz="4" w:space="0"/>
              <w:right w:val="single" w:color="auto" w:sz="4" w:space="0"/>
            </w:tcBorders>
            <w:vAlign w:val="center"/>
          </w:tcPr>
          <w:p w14:paraId="04D23AA5">
            <w:pPr>
              <w:jc w:val="center"/>
              <w:rPr>
                <w:rFonts w:hint="default"/>
                <w:lang w:val="ru-RU"/>
              </w:rPr>
            </w:pPr>
            <w:r>
              <w:rPr>
                <w:rFonts w:hint="default"/>
                <w:lang w:val="ru-RU"/>
              </w:rPr>
              <w:t>3</w:t>
            </w:r>
          </w:p>
        </w:tc>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14:paraId="47DC5387">
            <w:pPr>
              <w:jc w:val="center"/>
              <w:rPr>
                <w:sz w:val="22"/>
              </w:rPr>
            </w:pPr>
          </w:p>
        </w:tc>
        <w:tc>
          <w:tcPr>
            <w:tcW w:w="919" w:type="pct"/>
            <w:tcBorders>
              <w:top w:val="single" w:color="auto" w:sz="4" w:space="0"/>
              <w:left w:val="single" w:color="auto" w:sz="4" w:space="0"/>
              <w:bottom w:val="single" w:color="auto" w:sz="4" w:space="0"/>
              <w:right w:val="single" w:color="auto" w:sz="4" w:space="0"/>
            </w:tcBorders>
            <w:vAlign w:val="center"/>
          </w:tcPr>
          <w:p w14:paraId="6A7D4578">
            <w:pPr>
              <w:jc w:val="center"/>
              <w:rPr>
                <w:sz w:val="22"/>
              </w:rPr>
            </w:pPr>
          </w:p>
        </w:tc>
      </w:tr>
      <w:tr w14:paraId="6155CF6F">
        <w:tblPrEx>
          <w:tblCellMar>
            <w:top w:w="0" w:type="dxa"/>
            <w:left w:w="108" w:type="dxa"/>
            <w:bottom w:w="0" w:type="dxa"/>
            <w:right w:w="108" w:type="dxa"/>
          </w:tblCellMar>
        </w:tblPrEx>
        <w:trPr>
          <w:trHeight w:val="417" w:hRule="atLeast"/>
        </w:trPr>
        <w:tc>
          <w:tcPr>
            <w:tcW w:w="408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22315D53">
            <w:pPr>
              <w:jc w:val="center"/>
              <w:rPr>
                <w:b/>
                <w:sz w:val="22"/>
              </w:rPr>
            </w:pPr>
            <w:r>
              <w:rPr>
                <w:b/>
                <w:sz w:val="22"/>
              </w:rPr>
              <w:t>ИТОГО</w:t>
            </w: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14:paraId="5AD610F8">
            <w:pPr>
              <w:jc w:val="center"/>
              <w:rPr>
                <w:b/>
                <w:sz w:val="22"/>
              </w:rPr>
            </w:pPr>
            <w:r>
              <w:rPr>
                <w:b/>
                <w:sz w:val="22"/>
              </w:rPr>
              <w:t xml:space="preserve">  </w:t>
            </w:r>
          </w:p>
        </w:tc>
      </w:tr>
    </w:tbl>
    <w:p w14:paraId="133F1303">
      <w:pPr>
        <w:autoSpaceDE w:val="0"/>
        <w:autoSpaceDN w:val="0"/>
        <w:adjustRightInd w:val="0"/>
        <w:ind w:right="261"/>
        <w:jc w:val="center"/>
        <w:rPr>
          <w:b/>
          <w:bCs/>
        </w:rPr>
      </w:pPr>
    </w:p>
    <w:p w14:paraId="0FC5BAD5">
      <w:pPr>
        <w:autoSpaceDE w:val="0"/>
        <w:autoSpaceDN w:val="0"/>
        <w:adjustRightInd w:val="0"/>
        <w:ind w:left="-567" w:right="261" w:firstLine="567"/>
        <w:jc w:val="both"/>
        <w:rPr>
          <w:bCs/>
          <w:sz w:val="28"/>
          <w:szCs w:val="28"/>
        </w:rPr>
      </w:pPr>
    </w:p>
    <w:tbl>
      <w:tblPr>
        <w:tblStyle w:val="12"/>
        <w:tblW w:w="4912" w:type="pct"/>
        <w:tblInd w:w="0" w:type="dxa"/>
        <w:tblLayout w:type="autofit"/>
        <w:tblCellMar>
          <w:top w:w="0" w:type="dxa"/>
          <w:left w:w="108" w:type="dxa"/>
          <w:bottom w:w="0" w:type="dxa"/>
          <w:right w:w="108" w:type="dxa"/>
        </w:tblCellMar>
      </w:tblPr>
      <w:tblGrid>
        <w:gridCol w:w="4786"/>
        <w:gridCol w:w="4616"/>
      </w:tblGrid>
      <w:tr w14:paraId="67EEF694">
        <w:tblPrEx>
          <w:tblCellMar>
            <w:top w:w="0" w:type="dxa"/>
            <w:left w:w="108" w:type="dxa"/>
            <w:bottom w:w="0" w:type="dxa"/>
            <w:right w:w="108" w:type="dxa"/>
          </w:tblCellMar>
        </w:tblPrEx>
        <w:trPr>
          <w:trHeight w:val="4424" w:hRule="atLeast"/>
        </w:trPr>
        <w:tc>
          <w:tcPr>
            <w:tcW w:w="2545" w:type="pct"/>
          </w:tcPr>
          <w:p w14:paraId="59976A41">
            <w:pPr>
              <w:rPr>
                <w:sz w:val="22"/>
                <w:szCs w:val="22"/>
              </w:rPr>
            </w:pPr>
            <w:r>
              <w:rPr>
                <w:b/>
                <w:sz w:val="22"/>
                <w:szCs w:val="22"/>
              </w:rPr>
              <w:t>Заказчик:</w:t>
            </w:r>
            <w:r>
              <w:rPr>
                <w:sz w:val="22"/>
                <w:szCs w:val="22"/>
              </w:rPr>
              <w:t xml:space="preserve"> </w:t>
            </w:r>
          </w:p>
          <w:p w14:paraId="20D425BE">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2455" w:type="pct"/>
          </w:tcPr>
          <w:p w14:paraId="05B8B39B">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22C12D2E">
            <w:pPr>
              <w:autoSpaceDE w:val="0"/>
              <w:autoSpaceDN w:val="0"/>
              <w:adjustRightInd w:val="0"/>
              <w:jc w:val="both"/>
              <w:rPr>
                <w:rFonts w:ascii="Courier New" w:hAnsi="Courier New" w:eastAsia="Calibri" w:cs="Courier New"/>
                <w:bCs/>
                <w:sz w:val="22"/>
                <w:szCs w:val="22"/>
                <w:lang w:eastAsia="en-US"/>
              </w:rPr>
            </w:pPr>
          </w:p>
        </w:tc>
      </w:tr>
    </w:tbl>
    <w:p w14:paraId="7DCD8EC7">
      <w:pPr>
        <w:ind w:right="261"/>
        <w:rPr>
          <w:sz w:val="26"/>
          <w:szCs w:val="26"/>
        </w:rPr>
      </w:pPr>
    </w:p>
    <w:p w14:paraId="51EB7515">
      <w:pPr>
        <w:ind w:right="261"/>
        <w:rPr>
          <w:sz w:val="26"/>
          <w:szCs w:val="26"/>
        </w:rPr>
      </w:pPr>
    </w:p>
    <w:p w14:paraId="50F78C28">
      <w:pPr>
        <w:ind w:right="261"/>
        <w:rPr>
          <w:sz w:val="26"/>
          <w:szCs w:val="26"/>
        </w:rPr>
      </w:pPr>
    </w:p>
    <w:p w14:paraId="43C8B917">
      <w:pPr>
        <w:pStyle w:val="200"/>
        <w:ind w:firstLine="540"/>
        <w:jc w:val="both"/>
        <w:outlineLvl w:val="2"/>
        <w:rPr>
          <w:sz w:val="26"/>
          <w:szCs w:val="26"/>
        </w:rPr>
      </w:pPr>
    </w:p>
    <w:p w14:paraId="7608A7ED">
      <w:pPr>
        <w:spacing w:after="160" w:line="259" w:lineRule="auto"/>
      </w:pPr>
    </w:p>
    <w:p w14:paraId="052249A3">
      <w:pPr>
        <w:spacing w:after="160" w:line="259" w:lineRule="auto"/>
      </w:pPr>
    </w:p>
    <w:p w14:paraId="23E9BA21">
      <w:pPr>
        <w:spacing w:after="160" w:line="259" w:lineRule="auto"/>
      </w:pPr>
    </w:p>
    <w:p w14:paraId="4B248FFC">
      <w:pPr>
        <w:spacing w:after="160" w:line="259" w:lineRule="auto"/>
      </w:pPr>
    </w:p>
    <w:p w14:paraId="78A04FEC">
      <w:pPr>
        <w:spacing w:after="160" w:line="259" w:lineRule="auto"/>
      </w:pPr>
    </w:p>
    <w:p w14:paraId="0FA128B7">
      <w:pPr>
        <w:spacing w:after="160" w:line="259" w:lineRule="auto"/>
      </w:pPr>
    </w:p>
    <w:p w14:paraId="059A843B">
      <w:pPr>
        <w:jc w:val="right"/>
      </w:pPr>
      <w:r>
        <w:t>Приложение № 2 к Контракту</w:t>
      </w:r>
    </w:p>
    <w:p w14:paraId="7A984841">
      <w:pPr>
        <w:pStyle w:val="185"/>
        <w:ind w:left="-426" w:firstLine="142"/>
        <w:jc w:val="right"/>
        <w:rPr>
          <w:rFonts w:hint="default" w:ascii="Times New Roman" w:hAnsi="Times New Roman" w:cs="Times New Roman"/>
          <w:sz w:val="24"/>
          <w:szCs w:val="24"/>
          <w:lang w:val="ru-RU"/>
        </w:rPr>
      </w:pPr>
      <w:r>
        <w:rPr>
          <w:rFonts w:ascii="Times New Roman" w:hAnsi="Times New Roman" w:cs="Times New Roman"/>
          <w:sz w:val="24"/>
          <w:szCs w:val="24"/>
        </w:rPr>
        <w:t xml:space="preserve"> от «___»____________202</w:t>
      </w:r>
      <w:r>
        <w:rPr>
          <w:rFonts w:hint="default" w:ascii="Times New Roman" w:hAnsi="Times New Roman" w:cs="Times New Roman"/>
          <w:sz w:val="24"/>
          <w:szCs w:val="24"/>
          <w:lang w:val="ru-RU"/>
        </w:rPr>
        <w:t>6</w:t>
      </w:r>
      <w:r>
        <w:rPr>
          <w:rFonts w:ascii="Times New Roman" w:hAnsi="Times New Roman" w:cs="Times New Roman"/>
          <w:sz w:val="24"/>
          <w:szCs w:val="24"/>
        </w:rPr>
        <w:t xml:space="preserve">г. № </w:t>
      </w:r>
      <w:r>
        <w:rPr>
          <w:rFonts w:hint="default" w:ascii="Times New Roman" w:hAnsi="Times New Roman" w:cs="Times New Roman"/>
          <w:color w:val="FF0000"/>
          <w:sz w:val="24"/>
          <w:szCs w:val="24"/>
          <w:lang w:val="ru-RU"/>
        </w:rPr>
        <w:t>___</w:t>
      </w:r>
    </w:p>
    <w:p w14:paraId="3E3F5B38">
      <w:pPr>
        <w:jc w:val="right"/>
      </w:pPr>
    </w:p>
    <w:p w14:paraId="31A62528">
      <w:pPr>
        <w:jc w:val="center"/>
        <w:rPr>
          <w:b/>
        </w:rPr>
      </w:pPr>
      <w:r>
        <w:rPr>
          <w:b/>
        </w:rPr>
        <w:t>Техническое задание</w:t>
      </w:r>
    </w:p>
    <w:p w14:paraId="0AF57760">
      <w:pPr>
        <w:jc w:val="both"/>
      </w:pPr>
      <w:r>
        <w:t xml:space="preserve"> </w:t>
      </w:r>
    </w:p>
    <w:p w14:paraId="53FB1C11">
      <w:pPr>
        <w:jc w:val="both"/>
      </w:pPr>
      <w:r>
        <w:t xml:space="preserve">1. </w:t>
      </w:r>
      <w:r>
        <w:rPr>
          <w:b/>
        </w:rPr>
        <w:t>Требования к качеству Товара, комплектности, таре, упаковке, маркировке и иные требования:</w:t>
      </w:r>
    </w:p>
    <w:p w14:paraId="58BCB1BF">
      <w:pPr>
        <w:jc w:val="both"/>
      </w:pPr>
      <w: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tbl>
      <w:tblPr>
        <w:tblStyle w:val="12"/>
        <w:tblpPr w:leftFromText="180" w:rightFromText="180" w:vertAnchor="text" w:horzAnchor="page" w:tblpX="1699" w:tblpY="267"/>
        <w:tblOverlap w:val="never"/>
        <w:tblW w:w="9382" w:type="dxa"/>
        <w:tblInd w:w="0" w:type="dxa"/>
        <w:tblLayout w:type="fixed"/>
        <w:tblCellMar>
          <w:top w:w="0" w:type="dxa"/>
          <w:left w:w="108" w:type="dxa"/>
          <w:bottom w:w="0" w:type="dxa"/>
          <w:right w:w="108" w:type="dxa"/>
        </w:tblCellMar>
      </w:tblPr>
      <w:tblGrid>
        <w:gridCol w:w="1745"/>
        <w:gridCol w:w="1375"/>
        <w:gridCol w:w="1687"/>
        <w:gridCol w:w="1400"/>
        <w:gridCol w:w="1775"/>
        <w:gridCol w:w="1400"/>
      </w:tblGrid>
      <w:tr w14:paraId="21A1BBBC">
        <w:tblPrEx>
          <w:tblCellMar>
            <w:top w:w="0" w:type="dxa"/>
            <w:left w:w="108" w:type="dxa"/>
            <w:bottom w:w="0" w:type="dxa"/>
            <w:right w:w="108" w:type="dxa"/>
          </w:tblCellMar>
        </w:tblPrEx>
        <w:trPr>
          <w:trHeight w:val="600" w:hRule="atLeast"/>
        </w:trPr>
        <w:tc>
          <w:tcPr>
            <w:tcW w:w="1745" w:type="dxa"/>
            <w:tcBorders>
              <w:top w:val="single" w:color="auto" w:sz="4" w:space="0"/>
              <w:left w:val="single" w:color="auto" w:sz="4" w:space="0"/>
              <w:bottom w:val="single" w:color="auto" w:sz="4" w:space="0"/>
              <w:right w:val="single" w:color="auto" w:sz="4" w:space="0"/>
            </w:tcBorders>
            <w:vAlign w:val="center"/>
          </w:tcPr>
          <w:p w14:paraId="656718C7">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Наименование</w:t>
            </w:r>
          </w:p>
        </w:tc>
        <w:tc>
          <w:tcPr>
            <w:tcW w:w="1375" w:type="dxa"/>
            <w:tcBorders>
              <w:top w:val="single" w:color="auto" w:sz="4" w:space="0"/>
              <w:left w:val="nil"/>
              <w:bottom w:val="single" w:color="auto" w:sz="4" w:space="0"/>
              <w:right w:val="single" w:color="auto" w:sz="4" w:space="0"/>
            </w:tcBorders>
            <w:vAlign w:val="center"/>
          </w:tcPr>
          <w:p w14:paraId="41466057">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ККН/КТРУ/ОКПД 2</w:t>
            </w:r>
          </w:p>
        </w:tc>
        <w:tc>
          <w:tcPr>
            <w:tcW w:w="1687" w:type="dxa"/>
            <w:tcBorders>
              <w:top w:val="single" w:color="auto" w:sz="4" w:space="0"/>
              <w:left w:val="nil"/>
              <w:bottom w:val="single" w:color="auto" w:sz="4" w:space="0"/>
              <w:right w:val="single" w:color="auto" w:sz="4" w:space="0"/>
            </w:tcBorders>
            <w:vAlign w:val="center"/>
          </w:tcPr>
          <w:p w14:paraId="5C31F4C7">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Наименование характеристики</w:t>
            </w:r>
          </w:p>
        </w:tc>
        <w:tc>
          <w:tcPr>
            <w:tcW w:w="1400" w:type="dxa"/>
            <w:tcBorders>
              <w:top w:val="single" w:color="auto" w:sz="4" w:space="0"/>
              <w:left w:val="nil"/>
              <w:bottom w:val="single" w:color="auto" w:sz="4" w:space="0"/>
              <w:right w:val="single" w:color="auto" w:sz="4" w:space="0"/>
            </w:tcBorders>
            <w:vAlign w:val="center"/>
          </w:tcPr>
          <w:p w14:paraId="0B121BA3">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Значение характеристики</w:t>
            </w:r>
          </w:p>
        </w:tc>
        <w:tc>
          <w:tcPr>
            <w:tcW w:w="1775" w:type="dxa"/>
            <w:tcBorders>
              <w:top w:val="single" w:color="auto" w:sz="4" w:space="0"/>
              <w:left w:val="nil"/>
              <w:bottom w:val="single" w:color="auto" w:sz="4" w:space="0"/>
              <w:right w:val="single" w:color="auto" w:sz="4" w:space="0"/>
            </w:tcBorders>
            <w:vAlign w:val="center"/>
          </w:tcPr>
          <w:p w14:paraId="06568314">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Единица измерения характеристики</w:t>
            </w:r>
          </w:p>
        </w:tc>
        <w:tc>
          <w:tcPr>
            <w:tcW w:w="1400" w:type="dxa"/>
            <w:tcBorders>
              <w:top w:val="single" w:color="auto" w:sz="4" w:space="0"/>
              <w:left w:val="nil"/>
              <w:bottom w:val="single" w:color="auto" w:sz="4" w:space="0"/>
              <w:right w:val="single" w:color="auto" w:sz="4" w:space="0"/>
            </w:tcBorders>
            <w:vAlign w:val="center"/>
          </w:tcPr>
          <w:p w14:paraId="1F5017F2">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Инструкция по заполнению</w:t>
            </w:r>
          </w:p>
        </w:tc>
      </w:tr>
      <w:tr w14:paraId="5E530B1A">
        <w:tblPrEx>
          <w:tblCellMar>
            <w:top w:w="0" w:type="dxa"/>
            <w:left w:w="108" w:type="dxa"/>
            <w:bottom w:w="0" w:type="dxa"/>
            <w:right w:w="108" w:type="dxa"/>
          </w:tblCellMar>
        </w:tblPrEx>
        <w:trPr>
          <w:trHeight w:val="300" w:hRule="atLeast"/>
        </w:trPr>
        <w:tc>
          <w:tcPr>
            <w:tcW w:w="1745" w:type="dxa"/>
            <w:vMerge w:val="restart"/>
            <w:tcBorders>
              <w:top w:val="nil"/>
              <w:left w:val="single" w:color="auto" w:sz="4" w:space="0"/>
              <w:bottom w:val="single" w:color="auto" w:sz="4" w:space="0"/>
              <w:right w:val="single" w:color="auto" w:sz="4" w:space="0"/>
            </w:tcBorders>
            <w:vAlign w:val="center"/>
          </w:tcPr>
          <w:p w14:paraId="3F2A945C">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Накопитель данных внутренний тип 26</w:t>
            </w:r>
          </w:p>
        </w:tc>
        <w:tc>
          <w:tcPr>
            <w:tcW w:w="1375" w:type="dxa"/>
            <w:tcBorders>
              <w:top w:val="nil"/>
              <w:left w:val="nil"/>
              <w:bottom w:val="single" w:color="auto" w:sz="4" w:space="0"/>
              <w:right w:val="single" w:color="auto" w:sz="4" w:space="0"/>
            </w:tcBorders>
            <w:vAlign w:val="center"/>
          </w:tcPr>
          <w:p w14:paraId="4E2B0953">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ККН: 26.20.22.120-022</w:t>
            </w:r>
          </w:p>
        </w:tc>
        <w:tc>
          <w:tcPr>
            <w:tcW w:w="1687" w:type="dxa"/>
            <w:tcBorders>
              <w:top w:val="nil"/>
              <w:left w:val="nil"/>
              <w:bottom w:val="single" w:color="auto" w:sz="4" w:space="0"/>
              <w:right w:val="single" w:color="auto" w:sz="4" w:space="0"/>
            </w:tcBorders>
            <w:vAlign w:val="center"/>
          </w:tcPr>
          <w:p w14:paraId="4DC6E435">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Форм фактор</w:t>
            </w:r>
          </w:p>
        </w:tc>
        <w:tc>
          <w:tcPr>
            <w:tcW w:w="1400" w:type="dxa"/>
            <w:tcBorders>
              <w:top w:val="nil"/>
              <w:left w:val="nil"/>
              <w:bottom w:val="single" w:color="auto" w:sz="4" w:space="0"/>
              <w:right w:val="single" w:color="auto" w:sz="4" w:space="0"/>
            </w:tcBorders>
            <w:vAlign w:val="center"/>
          </w:tcPr>
          <w:p w14:paraId="6931E4BB">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2,5 дюйм</w:t>
            </w:r>
          </w:p>
        </w:tc>
        <w:tc>
          <w:tcPr>
            <w:tcW w:w="1775" w:type="dxa"/>
            <w:tcBorders>
              <w:top w:val="nil"/>
              <w:left w:val="nil"/>
              <w:bottom w:val="single" w:color="auto" w:sz="4" w:space="0"/>
              <w:right w:val="single" w:color="auto" w:sz="4" w:space="0"/>
            </w:tcBorders>
            <w:vAlign w:val="center"/>
          </w:tcPr>
          <w:p w14:paraId="7DCE7846">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w:t>
            </w:r>
          </w:p>
        </w:tc>
        <w:tc>
          <w:tcPr>
            <w:tcW w:w="1400" w:type="dxa"/>
            <w:tcBorders>
              <w:top w:val="nil"/>
              <w:left w:val="nil"/>
              <w:bottom w:val="single" w:color="auto" w:sz="4" w:space="0"/>
              <w:right w:val="single" w:color="auto" w:sz="4" w:space="0"/>
            </w:tcBorders>
            <w:vAlign w:val="center"/>
          </w:tcPr>
          <w:p w14:paraId="130A93E8">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 </w:t>
            </w:r>
          </w:p>
        </w:tc>
      </w:tr>
      <w:tr w14:paraId="3A106D1F">
        <w:tblPrEx>
          <w:tblCellMar>
            <w:top w:w="0" w:type="dxa"/>
            <w:left w:w="108" w:type="dxa"/>
            <w:bottom w:w="0" w:type="dxa"/>
            <w:right w:w="108" w:type="dxa"/>
          </w:tblCellMar>
        </w:tblPrEx>
        <w:trPr>
          <w:trHeight w:val="600" w:hRule="atLeast"/>
        </w:trPr>
        <w:tc>
          <w:tcPr>
            <w:tcW w:w="1745" w:type="dxa"/>
            <w:vMerge w:val="continue"/>
            <w:tcBorders>
              <w:top w:val="nil"/>
              <w:left w:val="single" w:color="auto" w:sz="4" w:space="0"/>
              <w:bottom w:val="single" w:color="auto" w:sz="4" w:space="0"/>
              <w:right w:val="single" w:color="auto" w:sz="4" w:space="0"/>
            </w:tcBorders>
            <w:vAlign w:val="center"/>
          </w:tcPr>
          <w:p w14:paraId="07B53144">
            <w:pPr>
              <w:spacing w:after="0" w:line="240" w:lineRule="auto"/>
              <w:rPr>
                <w:rFonts w:ascii="Times New Roman" w:hAnsi="Times New Roman" w:eastAsia="Times New Roman" w:cs="Times New Roman"/>
                <w:kern w:val="0"/>
                <w:sz w:val="20"/>
                <w:szCs w:val="20"/>
                <w:lang w:eastAsia="ru-RU"/>
                <w14:ligatures w14:val="none"/>
              </w:rPr>
            </w:pPr>
          </w:p>
        </w:tc>
        <w:tc>
          <w:tcPr>
            <w:tcW w:w="1375" w:type="dxa"/>
            <w:tcBorders>
              <w:top w:val="nil"/>
              <w:left w:val="nil"/>
              <w:bottom w:val="single" w:color="auto" w:sz="4" w:space="0"/>
              <w:right w:val="single" w:color="auto" w:sz="4" w:space="0"/>
            </w:tcBorders>
            <w:vAlign w:val="center"/>
          </w:tcPr>
          <w:p w14:paraId="0E973783">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КТРУ: 26.20.21.110-00000002</w:t>
            </w:r>
          </w:p>
        </w:tc>
        <w:tc>
          <w:tcPr>
            <w:tcW w:w="1687" w:type="dxa"/>
            <w:tcBorders>
              <w:top w:val="nil"/>
              <w:left w:val="nil"/>
              <w:bottom w:val="single" w:color="auto" w:sz="4" w:space="0"/>
              <w:right w:val="single" w:color="auto" w:sz="4" w:space="0"/>
            </w:tcBorders>
            <w:vAlign w:val="center"/>
          </w:tcPr>
          <w:p w14:paraId="446F4A52">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Тип устройства</w:t>
            </w:r>
          </w:p>
        </w:tc>
        <w:tc>
          <w:tcPr>
            <w:tcW w:w="1400" w:type="dxa"/>
            <w:tcBorders>
              <w:top w:val="nil"/>
              <w:left w:val="nil"/>
              <w:bottom w:val="single" w:color="auto" w:sz="4" w:space="0"/>
              <w:right w:val="single" w:color="auto" w:sz="4" w:space="0"/>
            </w:tcBorders>
            <w:vAlign w:val="center"/>
          </w:tcPr>
          <w:p w14:paraId="4672BD99">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SSD</w:t>
            </w:r>
          </w:p>
        </w:tc>
        <w:tc>
          <w:tcPr>
            <w:tcW w:w="1775" w:type="dxa"/>
            <w:tcBorders>
              <w:top w:val="nil"/>
              <w:left w:val="nil"/>
              <w:bottom w:val="single" w:color="auto" w:sz="4" w:space="0"/>
              <w:right w:val="single" w:color="auto" w:sz="4" w:space="0"/>
            </w:tcBorders>
            <w:vAlign w:val="center"/>
          </w:tcPr>
          <w:p w14:paraId="77C6012A">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w:t>
            </w:r>
          </w:p>
        </w:tc>
        <w:tc>
          <w:tcPr>
            <w:tcW w:w="1400" w:type="dxa"/>
            <w:tcBorders>
              <w:top w:val="nil"/>
              <w:left w:val="nil"/>
              <w:bottom w:val="single" w:color="auto" w:sz="4" w:space="0"/>
              <w:right w:val="single" w:color="auto" w:sz="4" w:space="0"/>
            </w:tcBorders>
            <w:vAlign w:val="center"/>
          </w:tcPr>
          <w:p w14:paraId="1BE575CF">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 </w:t>
            </w:r>
          </w:p>
        </w:tc>
      </w:tr>
      <w:tr w14:paraId="70B8EB34">
        <w:tblPrEx>
          <w:tblCellMar>
            <w:top w:w="0" w:type="dxa"/>
            <w:left w:w="108" w:type="dxa"/>
            <w:bottom w:w="0" w:type="dxa"/>
            <w:right w:w="108" w:type="dxa"/>
          </w:tblCellMar>
        </w:tblPrEx>
        <w:trPr>
          <w:trHeight w:val="300" w:hRule="atLeast"/>
        </w:trPr>
        <w:tc>
          <w:tcPr>
            <w:tcW w:w="1745" w:type="dxa"/>
            <w:vMerge w:val="continue"/>
            <w:tcBorders>
              <w:top w:val="nil"/>
              <w:left w:val="single" w:color="auto" w:sz="4" w:space="0"/>
              <w:bottom w:val="single" w:color="auto" w:sz="4" w:space="0"/>
              <w:right w:val="single" w:color="auto" w:sz="4" w:space="0"/>
            </w:tcBorders>
            <w:vAlign w:val="center"/>
          </w:tcPr>
          <w:p w14:paraId="1BB5DB32">
            <w:pPr>
              <w:spacing w:after="0" w:line="240" w:lineRule="auto"/>
              <w:rPr>
                <w:rFonts w:ascii="Times New Roman" w:hAnsi="Times New Roman" w:eastAsia="Times New Roman" w:cs="Times New Roman"/>
                <w:kern w:val="0"/>
                <w:sz w:val="20"/>
                <w:szCs w:val="20"/>
                <w:lang w:eastAsia="ru-RU"/>
                <w14:ligatures w14:val="none"/>
              </w:rPr>
            </w:pPr>
          </w:p>
        </w:tc>
        <w:tc>
          <w:tcPr>
            <w:tcW w:w="1375" w:type="dxa"/>
            <w:tcBorders>
              <w:top w:val="nil"/>
              <w:left w:val="nil"/>
              <w:bottom w:val="single" w:color="auto" w:sz="4" w:space="0"/>
              <w:right w:val="single" w:color="auto" w:sz="4" w:space="0"/>
            </w:tcBorders>
            <w:vAlign w:val="center"/>
          </w:tcPr>
          <w:p w14:paraId="01C5D8ED">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ОКПД 2: 26.20.22.120</w:t>
            </w:r>
          </w:p>
        </w:tc>
        <w:tc>
          <w:tcPr>
            <w:tcW w:w="1687" w:type="dxa"/>
            <w:tcBorders>
              <w:top w:val="nil"/>
              <w:left w:val="nil"/>
              <w:bottom w:val="single" w:color="auto" w:sz="4" w:space="0"/>
              <w:right w:val="single" w:color="auto" w:sz="4" w:space="0"/>
            </w:tcBorders>
            <w:vAlign w:val="center"/>
          </w:tcPr>
          <w:p w14:paraId="03D6D31A">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Объем накопителя</w:t>
            </w:r>
          </w:p>
        </w:tc>
        <w:tc>
          <w:tcPr>
            <w:tcW w:w="1400" w:type="dxa"/>
            <w:tcBorders>
              <w:top w:val="nil"/>
              <w:left w:val="nil"/>
              <w:bottom w:val="single" w:color="auto" w:sz="4" w:space="0"/>
              <w:right w:val="single" w:color="auto" w:sz="4" w:space="0"/>
            </w:tcBorders>
            <w:vAlign w:val="center"/>
          </w:tcPr>
          <w:p w14:paraId="7829D80D">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 256</w:t>
            </w:r>
          </w:p>
        </w:tc>
        <w:tc>
          <w:tcPr>
            <w:tcW w:w="1775" w:type="dxa"/>
            <w:tcBorders>
              <w:top w:val="nil"/>
              <w:left w:val="nil"/>
              <w:bottom w:val="single" w:color="auto" w:sz="4" w:space="0"/>
              <w:right w:val="single" w:color="auto" w:sz="4" w:space="0"/>
            </w:tcBorders>
            <w:vAlign w:val="center"/>
          </w:tcPr>
          <w:p w14:paraId="65C920FF">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ГБАЙТ</w:t>
            </w:r>
          </w:p>
        </w:tc>
        <w:tc>
          <w:tcPr>
            <w:tcW w:w="1400" w:type="dxa"/>
            <w:tcBorders>
              <w:top w:val="nil"/>
              <w:left w:val="nil"/>
              <w:bottom w:val="single" w:color="auto" w:sz="4" w:space="0"/>
              <w:right w:val="single" w:color="auto" w:sz="4" w:space="0"/>
            </w:tcBorders>
            <w:vAlign w:val="center"/>
          </w:tcPr>
          <w:p w14:paraId="1EF4852E">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 </w:t>
            </w:r>
          </w:p>
        </w:tc>
      </w:tr>
      <w:tr w14:paraId="64AFC961">
        <w:tblPrEx>
          <w:tblCellMar>
            <w:top w:w="0" w:type="dxa"/>
            <w:left w:w="108" w:type="dxa"/>
            <w:bottom w:w="0" w:type="dxa"/>
            <w:right w:w="108" w:type="dxa"/>
          </w:tblCellMar>
        </w:tblPrEx>
        <w:trPr>
          <w:trHeight w:val="510" w:hRule="atLeast"/>
        </w:trPr>
        <w:tc>
          <w:tcPr>
            <w:tcW w:w="1745" w:type="dxa"/>
            <w:vMerge w:val="continue"/>
            <w:tcBorders>
              <w:top w:val="nil"/>
              <w:left w:val="single" w:color="auto" w:sz="4" w:space="0"/>
              <w:bottom w:val="single" w:color="auto" w:sz="4" w:space="0"/>
              <w:right w:val="single" w:color="auto" w:sz="4" w:space="0"/>
            </w:tcBorders>
            <w:vAlign w:val="center"/>
          </w:tcPr>
          <w:p w14:paraId="46A74B1F">
            <w:pPr>
              <w:spacing w:after="0" w:line="240" w:lineRule="auto"/>
              <w:rPr>
                <w:rFonts w:ascii="Times New Roman" w:hAnsi="Times New Roman" w:eastAsia="Times New Roman" w:cs="Times New Roman"/>
                <w:kern w:val="0"/>
                <w:sz w:val="20"/>
                <w:szCs w:val="20"/>
                <w:lang w:eastAsia="ru-RU"/>
                <w14:ligatures w14:val="none"/>
              </w:rPr>
            </w:pPr>
          </w:p>
        </w:tc>
        <w:tc>
          <w:tcPr>
            <w:tcW w:w="1375" w:type="dxa"/>
            <w:tcBorders>
              <w:top w:val="nil"/>
              <w:left w:val="nil"/>
              <w:bottom w:val="single" w:color="auto" w:sz="4" w:space="0"/>
              <w:right w:val="single" w:color="auto" w:sz="4" w:space="0"/>
            </w:tcBorders>
            <w:vAlign w:val="center"/>
          </w:tcPr>
          <w:p w14:paraId="6F15FC05">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 </w:t>
            </w:r>
          </w:p>
        </w:tc>
        <w:tc>
          <w:tcPr>
            <w:tcW w:w="1687" w:type="dxa"/>
            <w:tcBorders>
              <w:top w:val="nil"/>
              <w:left w:val="nil"/>
              <w:bottom w:val="single" w:color="auto" w:sz="4" w:space="0"/>
              <w:right w:val="single" w:color="auto" w:sz="4" w:space="0"/>
            </w:tcBorders>
            <w:vAlign w:val="center"/>
          </w:tcPr>
          <w:p w14:paraId="6C56B37D">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Объем буферной памяти</w:t>
            </w:r>
          </w:p>
        </w:tc>
        <w:tc>
          <w:tcPr>
            <w:tcW w:w="1400" w:type="dxa"/>
            <w:tcBorders>
              <w:top w:val="nil"/>
              <w:left w:val="nil"/>
              <w:bottom w:val="single" w:color="auto" w:sz="4" w:space="0"/>
              <w:right w:val="single" w:color="auto" w:sz="4" w:space="0"/>
            </w:tcBorders>
            <w:vAlign w:val="center"/>
          </w:tcPr>
          <w:p w14:paraId="51CE93C2">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 32</w:t>
            </w:r>
          </w:p>
        </w:tc>
        <w:tc>
          <w:tcPr>
            <w:tcW w:w="1775" w:type="dxa"/>
            <w:tcBorders>
              <w:top w:val="nil"/>
              <w:left w:val="nil"/>
              <w:bottom w:val="single" w:color="auto" w:sz="4" w:space="0"/>
              <w:right w:val="single" w:color="auto" w:sz="4" w:space="0"/>
            </w:tcBorders>
            <w:vAlign w:val="center"/>
          </w:tcPr>
          <w:p w14:paraId="5CBCD728">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МБАЙТ</w:t>
            </w:r>
          </w:p>
        </w:tc>
        <w:tc>
          <w:tcPr>
            <w:tcW w:w="1400" w:type="dxa"/>
            <w:tcBorders>
              <w:top w:val="nil"/>
              <w:left w:val="nil"/>
              <w:bottom w:val="single" w:color="auto" w:sz="4" w:space="0"/>
              <w:right w:val="single" w:color="auto" w:sz="4" w:space="0"/>
            </w:tcBorders>
            <w:vAlign w:val="center"/>
          </w:tcPr>
          <w:p w14:paraId="24C7D62B">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 </w:t>
            </w:r>
          </w:p>
        </w:tc>
      </w:tr>
      <w:tr w14:paraId="3846E18C">
        <w:tblPrEx>
          <w:tblCellMar>
            <w:top w:w="0" w:type="dxa"/>
            <w:left w:w="108" w:type="dxa"/>
            <w:bottom w:w="0" w:type="dxa"/>
            <w:right w:w="108" w:type="dxa"/>
          </w:tblCellMar>
        </w:tblPrEx>
        <w:trPr>
          <w:trHeight w:val="300" w:hRule="atLeast"/>
        </w:trPr>
        <w:tc>
          <w:tcPr>
            <w:tcW w:w="1745" w:type="dxa"/>
            <w:vMerge w:val="continue"/>
            <w:tcBorders>
              <w:top w:val="nil"/>
              <w:left w:val="single" w:color="auto" w:sz="4" w:space="0"/>
              <w:bottom w:val="single" w:color="auto" w:sz="4" w:space="0"/>
              <w:right w:val="single" w:color="auto" w:sz="4" w:space="0"/>
            </w:tcBorders>
            <w:vAlign w:val="center"/>
          </w:tcPr>
          <w:p w14:paraId="4762D806">
            <w:pPr>
              <w:spacing w:after="0" w:line="240" w:lineRule="auto"/>
              <w:rPr>
                <w:rFonts w:ascii="Times New Roman" w:hAnsi="Times New Roman" w:eastAsia="Times New Roman" w:cs="Times New Roman"/>
                <w:kern w:val="0"/>
                <w:sz w:val="20"/>
                <w:szCs w:val="20"/>
                <w:lang w:eastAsia="ru-RU"/>
                <w14:ligatures w14:val="none"/>
              </w:rPr>
            </w:pPr>
          </w:p>
        </w:tc>
        <w:tc>
          <w:tcPr>
            <w:tcW w:w="1375" w:type="dxa"/>
            <w:tcBorders>
              <w:top w:val="nil"/>
              <w:left w:val="nil"/>
              <w:bottom w:val="single" w:color="auto" w:sz="4" w:space="0"/>
              <w:right w:val="single" w:color="auto" w:sz="4" w:space="0"/>
            </w:tcBorders>
            <w:vAlign w:val="center"/>
          </w:tcPr>
          <w:p w14:paraId="22D2F540">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 </w:t>
            </w:r>
          </w:p>
        </w:tc>
        <w:tc>
          <w:tcPr>
            <w:tcW w:w="1687" w:type="dxa"/>
            <w:tcBorders>
              <w:top w:val="nil"/>
              <w:left w:val="nil"/>
              <w:bottom w:val="single" w:color="auto" w:sz="4" w:space="0"/>
              <w:right w:val="single" w:color="auto" w:sz="4" w:space="0"/>
            </w:tcBorders>
            <w:vAlign w:val="center"/>
          </w:tcPr>
          <w:p w14:paraId="2A5263A4">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Тип памяти</w:t>
            </w:r>
          </w:p>
        </w:tc>
        <w:tc>
          <w:tcPr>
            <w:tcW w:w="1400" w:type="dxa"/>
            <w:tcBorders>
              <w:top w:val="nil"/>
              <w:left w:val="nil"/>
              <w:bottom w:val="single" w:color="auto" w:sz="4" w:space="0"/>
              <w:right w:val="single" w:color="auto" w:sz="4" w:space="0"/>
            </w:tcBorders>
            <w:vAlign w:val="center"/>
          </w:tcPr>
          <w:p w14:paraId="0E2A21B6">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TLC 3D NAND</w:t>
            </w:r>
          </w:p>
        </w:tc>
        <w:tc>
          <w:tcPr>
            <w:tcW w:w="1775" w:type="dxa"/>
            <w:tcBorders>
              <w:top w:val="nil"/>
              <w:left w:val="nil"/>
              <w:bottom w:val="single" w:color="auto" w:sz="4" w:space="0"/>
              <w:right w:val="single" w:color="auto" w:sz="4" w:space="0"/>
            </w:tcBorders>
            <w:vAlign w:val="center"/>
          </w:tcPr>
          <w:p w14:paraId="657A4558">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w:t>
            </w:r>
          </w:p>
        </w:tc>
        <w:tc>
          <w:tcPr>
            <w:tcW w:w="1400" w:type="dxa"/>
            <w:tcBorders>
              <w:top w:val="nil"/>
              <w:left w:val="nil"/>
              <w:bottom w:val="single" w:color="auto" w:sz="4" w:space="0"/>
              <w:right w:val="single" w:color="auto" w:sz="4" w:space="0"/>
            </w:tcBorders>
            <w:vAlign w:val="center"/>
          </w:tcPr>
          <w:p w14:paraId="6F473544">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 </w:t>
            </w:r>
          </w:p>
        </w:tc>
      </w:tr>
      <w:tr w14:paraId="41383F6A">
        <w:tblPrEx>
          <w:tblCellMar>
            <w:top w:w="0" w:type="dxa"/>
            <w:left w:w="108" w:type="dxa"/>
            <w:bottom w:w="0" w:type="dxa"/>
            <w:right w:w="108" w:type="dxa"/>
          </w:tblCellMar>
        </w:tblPrEx>
        <w:trPr>
          <w:trHeight w:val="300" w:hRule="atLeast"/>
        </w:trPr>
        <w:tc>
          <w:tcPr>
            <w:tcW w:w="1745" w:type="dxa"/>
            <w:vMerge w:val="continue"/>
            <w:tcBorders>
              <w:top w:val="nil"/>
              <w:left w:val="single" w:color="auto" w:sz="4" w:space="0"/>
              <w:bottom w:val="single" w:color="auto" w:sz="4" w:space="0"/>
              <w:right w:val="single" w:color="auto" w:sz="4" w:space="0"/>
            </w:tcBorders>
            <w:vAlign w:val="center"/>
          </w:tcPr>
          <w:p w14:paraId="55352CDA">
            <w:pPr>
              <w:spacing w:after="0" w:line="240" w:lineRule="auto"/>
              <w:rPr>
                <w:rFonts w:ascii="Times New Roman" w:hAnsi="Times New Roman" w:eastAsia="Times New Roman" w:cs="Times New Roman"/>
                <w:kern w:val="0"/>
                <w:sz w:val="20"/>
                <w:szCs w:val="20"/>
                <w:lang w:eastAsia="ru-RU"/>
                <w14:ligatures w14:val="none"/>
              </w:rPr>
            </w:pPr>
          </w:p>
        </w:tc>
        <w:tc>
          <w:tcPr>
            <w:tcW w:w="1375" w:type="dxa"/>
            <w:tcBorders>
              <w:top w:val="nil"/>
              <w:left w:val="nil"/>
              <w:bottom w:val="single" w:color="auto" w:sz="4" w:space="0"/>
              <w:right w:val="single" w:color="auto" w:sz="4" w:space="0"/>
            </w:tcBorders>
            <w:vAlign w:val="center"/>
          </w:tcPr>
          <w:p w14:paraId="4D161726">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 </w:t>
            </w:r>
          </w:p>
        </w:tc>
        <w:tc>
          <w:tcPr>
            <w:tcW w:w="1687" w:type="dxa"/>
            <w:tcBorders>
              <w:top w:val="nil"/>
              <w:left w:val="nil"/>
              <w:bottom w:val="single" w:color="auto" w:sz="4" w:space="0"/>
              <w:right w:val="single" w:color="auto" w:sz="4" w:space="0"/>
            </w:tcBorders>
            <w:vAlign w:val="center"/>
          </w:tcPr>
          <w:p w14:paraId="6D980B6B">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Скорость чтения</w:t>
            </w:r>
          </w:p>
        </w:tc>
        <w:tc>
          <w:tcPr>
            <w:tcW w:w="1400" w:type="dxa"/>
            <w:tcBorders>
              <w:top w:val="nil"/>
              <w:left w:val="nil"/>
              <w:bottom w:val="single" w:color="auto" w:sz="4" w:space="0"/>
              <w:right w:val="single" w:color="auto" w:sz="4" w:space="0"/>
            </w:tcBorders>
            <w:vAlign w:val="center"/>
          </w:tcPr>
          <w:p w14:paraId="28C109F6">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 500</w:t>
            </w:r>
          </w:p>
        </w:tc>
        <w:tc>
          <w:tcPr>
            <w:tcW w:w="1775" w:type="dxa"/>
            <w:tcBorders>
              <w:top w:val="nil"/>
              <w:left w:val="nil"/>
              <w:bottom w:val="single" w:color="auto" w:sz="4" w:space="0"/>
              <w:right w:val="single" w:color="auto" w:sz="4" w:space="0"/>
            </w:tcBorders>
            <w:vAlign w:val="center"/>
          </w:tcPr>
          <w:p w14:paraId="324C6F68">
            <w:pPr>
              <w:spacing w:after="0" w:line="240" w:lineRule="auto"/>
              <w:jc w:val="center"/>
              <w:rPr>
                <w:rFonts w:ascii="Times New Roman" w:hAnsi="Times New Roman" w:eastAsia="Times New Roman" w:cs="Times New Roman"/>
                <w:kern w:val="0"/>
                <w:sz w:val="20"/>
                <w:szCs w:val="20"/>
                <w:lang w:eastAsia="ru-RU"/>
                <w14:ligatures w14:val="none"/>
              </w:rPr>
            </w:pPr>
            <w:r>
              <w:rPr>
                <w:rFonts w:ascii="Times New Roman" w:hAnsi="Times New Roman" w:eastAsia="Times New Roman" w:cs="Times New Roman"/>
                <w:kern w:val="0"/>
                <w:sz w:val="20"/>
                <w:szCs w:val="20"/>
                <w:lang w:eastAsia="ru-RU"/>
                <w14:ligatures w14:val="none"/>
              </w:rPr>
              <w:t>МБАЙТ/С</w:t>
            </w:r>
          </w:p>
        </w:tc>
        <w:tc>
          <w:tcPr>
            <w:tcW w:w="1400" w:type="dxa"/>
            <w:tcBorders>
              <w:top w:val="nil"/>
              <w:left w:val="nil"/>
              <w:bottom w:val="single" w:color="auto" w:sz="4" w:space="0"/>
              <w:right w:val="single" w:color="auto" w:sz="4" w:space="0"/>
            </w:tcBorders>
            <w:vAlign w:val="center"/>
          </w:tcPr>
          <w:p w14:paraId="6FD32A67">
            <w:pPr>
              <w:spacing w:after="0" w:line="240" w:lineRule="auto"/>
              <w:jc w:val="center"/>
              <w:rPr>
                <w:rFonts w:ascii="Calibri" w:hAnsi="Calibri" w:eastAsia="Times New Roman" w:cs="Calibri"/>
                <w:color w:val="000000"/>
                <w:kern w:val="0"/>
                <w:sz w:val="22"/>
                <w:szCs w:val="22"/>
                <w:lang w:eastAsia="ru-RU"/>
                <w14:ligatures w14:val="none"/>
              </w:rPr>
            </w:pPr>
            <w:r>
              <w:rPr>
                <w:rFonts w:ascii="Calibri" w:hAnsi="Calibri" w:eastAsia="Times New Roman" w:cs="Calibri"/>
                <w:color w:val="000000"/>
                <w:kern w:val="0"/>
                <w:sz w:val="22"/>
                <w:szCs w:val="22"/>
                <w:lang w:eastAsia="ru-RU"/>
                <w14:ligatures w14:val="none"/>
              </w:rPr>
              <w:t> </w:t>
            </w:r>
          </w:p>
        </w:tc>
      </w:tr>
    </w:tbl>
    <w:p w14:paraId="74669191">
      <w:pPr>
        <w:rPr>
          <w:b/>
        </w:rPr>
      </w:pPr>
    </w:p>
    <w:p w14:paraId="07AE4F8B">
      <w:pPr>
        <w:rPr>
          <w:color w:val="FF0000"/>
        </w:rPr>
      </w:pPr>
      <w:r>
        <w:rPr>
          <w:b/>
        </w:rPr>
        <w:t>2. Адрес поставки:</w:t>
      </w:r>
      <w:r>
        <w:t xml:space="preserve"> </w:t>
      </w:r>
    </w:p>
    <w:p w14:paraId="3543A6EA">
      <w:pPr>
        <w:ind w:firstLine="240"/>
        <w:rPr>
          <w:rFonts w:hint="default"/>
          <w:color w:val="FF0000"/>
          <w:sz w:val="22"/>
          <w:szCs w:val="22"/>
          <w:lang w:val="ru-RU"/>
        </w:rPr>
      </w:pPr>
      <w:r>
        <w:rPr>
          <w:rFonts w:hint="default"/>
          <w:color w:val="FF0000"/>
          <w:sz w:val="22"/>
          <w:szCs w:val="22"/>
          <w:lang w:val="ru-RU"/>
        </w:rPr>
        <w:t>192029, г. Санкт-Петербург, ул.Бабушкина, д.29 корп.3 лит.А</w:t>
      </w:r>
    </w:p>
    <w:p w14:paraId="76D464F7">
      <w:pPr>
        <w:ind w:firstLine="240"/>
        <w:rPr>
          <w:rFonts w:hint="default"/>
          <w:color w:val="FF0000"/>
          <w:sz w:val="22"/>
          <w:szCs w:val="22"/>
          <w:lang w:val="ru-RU"/>
        </w:rPr>
      </w:pPr>
    </w:p>
    <w:p w14:paraId="091CA71B">
      <w:pPr>
        <w:rPr>
          <w:b/>
        </w:rPr>
      </w:pPr>
      <w:r>
        <w:rPr>
          <w:b/>
        </w:rPr>
        <w:t xml:space="preserve">3. Сопроводительные документы: </w:t>
      </w:r>
    </w:p>
    <w:p w14:paraId="62D5ED88">
      <w:r>
        <w:t xml:space="preserve">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41FA8CD3"/>
    <w:p w14:paraId="2A9B7179">
      <w:pPr>
        <w:rPr>
          <w:b/>
        </w:rPr>
      </w:pPr>
      <w:r>
        <w:rPr>
          <w:b/>
        </w:rPr>
        <w:t xml:space="preserve">4. Срок поставки: </w:t>
      </w:r>
    </w:p>
    <w:p w14:paraId="36EECC6B">
      <w:r>
        <w:t xml:space="preserve">    В течение </w:t>
      </w:r>
      <w:r>
        <w:rPr>
          <w:color w:val="FF0000"/>
        </w:rPr>
        <w:t>15</w:t>
      </w:r>
      <w:r>
        <w:t xml:space="preserve"> рабочих дней с даты заключения Контракта.</w:t>
      </w:r>
    </w:p>
    <w:p w14:paraId="724F8D76"/>
    <w:p w14:paraId="6FCB6BB2">
      <w:pPr>
        <w:pStyle w:val="185"/>
        <w:ind w:left="0"/>
        <w:jc w:val="both"/>
        <w:rPr>
          <w:rFonts w:ascii="Times New Roman" w:hAnsi="Times New Roman" w:cs="Times New Roman"/>
          <w:b/>
          <w:sz w:val="24"/>
          <w:szCs w:val="24"/>
        </w:rPr>
      </w:pPr>
      <w:r>
        <w:rPr>
          <w:rFonts w:ascii="Times New Roman" w:hAnsi="Times New Roman" w:cs="Times New Roman"/>
          <w:b/>
          <w:sz w:val="24"/>
          <w:szCs w:val="24"/>
        </w:rPr>
        <w:t xml:space="preserve">5. Порядок приемки: </w:t>
      </w:r>
    </w:p>
    <w:p w14:paraId="66ED5975">
      <w:pPr>
        <w:pStyle w:val="185"/>
        <w:ind w:left="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Cs/>
          <w:spacing w:val="-1"/>
          <w:sz w:val="24"/>
          <w:szCs w:val="24"/>
        </w:rPr>
        <w:t xml:space="preserve"> </w:t>
      </w:r>
      <w:r>
        <w:rPr>
          <w:rFonts w:ascii="Times New Roman" w:hAnsi="Times New Roman" w:cs="Times New Roman"/>
          <w:sz w:val="24"/>
          <w:szCs w:val="24"/>
        </w:rPr>
        <w:t>Поставщик производит поставку товара в рабочее время с 9:00 до 16:00 (в пятницу до 15:00) в предусмотренный Контрактом период поставки товара непосредственно по адресу Заказчика. Прием Товара по наименованию, качеству и количеству производится Заказчиком путем его визуального осмотра по месту поставки, указанному в п.2,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приемки товара.</w:t>
      </w:r>
    </w:p>
    <w:p w14:paraId="4687EAEC">
      <w:pPr>
        <w:pStyle w:val="185"/>
        <w:ind w:left="0"/>
        <w:jc w:val="both"/>
        <w:rPr>
          <w:rFonts w:ascii="Times New Roman" w:hAnsi="Times New Roman" w:cs="Times New Roman"/>
          <w:sz w:val="24"/>
          <w:szCs w:val="24"/>
        </w:rPr>
      </w:pPr>
    </w:p>
    <w:p w14:paraId="13325A88">
      <w:pPr>
        <w:pStyle w:val="185"/>
        <w:ind w:left="0"/>
        <w:jc w:val="both"/>
        <w:rPr>
          <w:rFonts w:ascii="Times New Roman" w:hAnsi="Times New Roman" w:cs="Times New Roman"/>
          <w:b/>
          <w:sz w:val="24"/>
          <w:szCs w:val="24"/>
        </w:rPr>
      </w:pPr>
      <w:r>
        <w:rPr>
          <w:rFonts w:ascii="Times New Roman" w:hAnsi="Times New Roman" w:cs="Times New Roman"/>
          <w:b/>
          <w:sz w:val="24"/>
          <w:szCs w:val="24"/>
        </w:rPr>
        <w:t>6. Документ о приемке:</w:t>
      </w:r>
    </w:p>
    <w:p w14:paraId="401AFD26">
      <w:pPr>
        <w:pStyle w:val="185"/>
        <w:ind w:left="0"/>
        <w:jc w:val="both"/>
        <w:rPr>
          <w:rFonts w:ascii="Times New Roman" w:hAnsi="Times New Roman" w:cs="Times New Roman"/>
          <w:b/>
          <w:sz w:val="24"/>
          <w:szCs w:val="24"/>
          <w:lang w:val="en-US"/>
        </w:rPr>
      </w:pPr>
      <w:r>
        <w:rPr>
          <w:rFonts w:ascii="Times New Roman" w:hAnsi="Times New Roman" w:cs="Times New Roman"/>
          <w:b/>
        </w:rPr>
        <w:t xml:space="preserve">    </w:t>
      </w:r>
      <w:r>
        <w:rPr>
          <w:rFonts w:ascii="Times New Roman" w:hAnsi="Times New Roman" w:cs="Times New Roman"/>
          <w:sz w:val="24"/>
          <w:szCs w:val="24"/>
        </w:rPr>
        <w:t>Счет, счет фактура (при наличии), товарная накладная или УПД,  акт приёма-передачи товара, акт № 0510452. Документы о приемке оформляются Поставщиком.</w:t>
      </w:r>
    </w:p>
    <w:p w14:paraId="6F419B11">
      <w:pPr>
        <w:rPr>
          <w:b/>
        </w:rPr>
      </w:pPr>
      <w:r>
        <w:rPr>
          <w:b/>
        </w:rPr>
        <w:t>7. Срок приемки:</w:t>
      </w:r>
    </w:p>
    <w:p w14:paraId="0E8DCF19">
      <w:pPr>
        <w:rPr>
          <w:b/>
        </w:rPr>
      </w:pPr>
      <w:r>
        <w:t xml:space="preserve">    Не более 5 (Пяти) рабочих дней с момента поставки Товара.</w:t>
      </w:r>
    </w:p>
    <w:p w14:paraId="0EC4AA31">
      <w:pPr>
        <w:rPr>
          <w:b/>
        </w:rPr>
      </w:pPr>
      <w:r>
        <w:rPr>
          <w:b/>
        </w:rPr>
        <w:t xml:space="preserve"> </w:t>
      </w:r>
    </w:p>
    <w:p w14:paraId="5EFCE72F">
      <w:pPr>
        <w:jc w:val="both"/>
        <w:rPr>
          <w:b/>
        </w:rPr>
      </w:pPr>
      <w:r>
        <w:rPr>
          <w:b/>
        </w:rPr>
        <w:t xml:space="preserve">8.  Срок замены некачественного Товара, гарантийный срок на заменяемый товар: </w:t>
      </w:r>
    </w:p>
    <w:p w14:paraId="24038050">
      <w:pPr>
        <w:jc w:val="both"/>
        <w:rPr>
          <w:rFonts w:hint="default"/>
          <w:lang w:val="ru-RU"/>
        </w:rPr>
      </w:pPr>
      <w:r>
        <w:t xml:space="preserve">     В случае установления недостачи, некомплектности, повреждения либо несоответствия качества сборки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w:t>
      </w:r>
      <w:r>
        <w:rPr>
          <w:rFonts w:hint="default"/>
          <w:lang w:val="ru-RU"/>
        </w:rPr>
        <w:t>.</w:t>
      </w:r>
    </w:p>
    <w:p w14:paraId="2A1F63FA"/>
    <w:p w14:paraId="4A90FC5F">
      <w:pPr>
        <w:ind w:right="261"/>
        <w:jc w:val="right"/>
      </w:pPr>
    </w:p>
    <w:p w14:paraId="6A3BD765">
      <w:pPr>
        <w:ind w:right="261"/>
        <w:jc w:val="center"/>
      </w:pPr>
    </w:p>
    <w:tbl>
      <w:tblPr>
        <w:tblStyle w:val="12"/>
        <w:tblW w:w="4912" w:type="pct"/>
        <w:tblInd w:w="0" w:type="dxa"/>
        <w:tblLayout w:type="autofit"/>
        <w:tblCellMar>
          <w:top w:w="0" w:type="dxa"/>
          <w:left w:w="108" w:type="dxa"/>
          <w:bottom w:w="0" w:type="dxa"/>
          <w:right w:w="108" w:type="dxa"/>
        </w:tblCellMar>
      </w:tblPr>
      <w:tblGrid>
        <w:gridCol w:w="4786"/>
        <w:gridCol w:w="4616"/>
      </w:tblGrid>
      <w:tr w14:paraId="7DD7C46C">
        <w:tblPrEx>
          <w:tblCellMar>
            <w:top w:w="0" w:type="dxa"/>
            <w:left w:w="108" w:type="dxa"/>
            <w:bottom w:w="0" w:type="dxa"/>
            <w:right w:w="108" w:type="dxa"/>
          </w:tblCellMar>
        </w:tblPrEx>
        <w:trPr>
          <w:trHeight w:val="4424" w:hRule="atLeast"/>
        </w:trPr>
        <w:tc>
          <w:tcPr>
            <w:tcW w:w="2545" w:type="pct"/>
          </w:tcPr>
          <w:p w14:paraId="071388D2">
            <w:pPr>
              <w:rPr>
                <w:sz w:val="22"/>
                <w:szCs w:val="22"/>
              </w:rPr>
            </w:pPr>
            <w:r>
              <w:rPr>
                <w:b/>
                <w:sz w:val="22"/>
                <w:szCs w:val="22"/>
              </w:rPr>
              <w:t>Заказчик:</w:t>
            </w:r>
            <w:r>
              <w:rPr>
                <w:sz w:val="22"/>
                <w:szCs w:val="22"/>
              </w:rPr>
              <w:t xml:space="preserve"> </w:t>
            </w:r>
          </w:p>
          <w:p w14:paraId="13749365">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2455" w:type="pct"/>
          </w:tcPr>
          <w:p w14:paraId="7A473885">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3885BE06">
            <w:pPr>
              <w:autoSpaceDE w:val="0"/>
              <w:autoSpaceDN w:val="0"/>
              <w:adjustRightInd w:val="0"/>
              <w:jc w:val="both"/>
              <w:rPr>
                <w:rFonts w:ascii="Courier New" w:hAnsi="Courier New" w:eastAsia="Calibri" w:cs="Courier New"/>
                <w:bCs/>
                <w:sz w:val="22"/>
                <w:szCs w:val="22"/>
                <w:lang w:eastAsia="en-US"/>
              </w:rPr>
            </w:pPr>
          </w:p>
        </w:tc>
      </w:tr>
    </w:tbl>
    <w:p w14:paraId="7AF4B902">
      <w:pPr>
        <w:jc w:val="both"/>
      </w:pPr>
    </w:p>
    <w:p w14:paraId="379C6E70">
      <w:pPr>
        <w:jc w:val="both"/>
      </w:pPr>
    </w:p>
    <w:p w14:paraId="45E8B98F">
      <w:pPr>
        <w:jc w:val="both"/>
      </w:pPr>
    </w:p>
    <w:p w14:paraId="35420AB3">
      <w:pPr>
        <w:jc w:val="both"/>
      </w:pPr>
    </w:p>
    <w:p w14:paraId="3B7C77C8">
      <w:pPr>
        <w:jc w:val="both"/>
      </w:pPr>
    </w:p>
    <w:p w14:paraId="2BB6A453">
      <w:pPr>
        <w:jc w:val="both"/>
      </w:pPr>
    </w:p>
    <w:p w14:paraId="64DB813D">
      <w:pPr>
        <w:jc w:val="both"/>
      </w:pPr>
    </w:p>
    <w:p w14:paraId="0F2ACA6D">
      <w:pPr>
        <w:jc w:val="both"/>
      </w:pPr>
    </w:p>
    <w:p w14:paraId="3C91872F">
      <w:pPr>
        <w:jc w:val="both"/>
      </w:pPr>
    </w:p>
    <w:p w14:paraId="600EC996">
      <w:pPr>
        <w:jc w:val="both"/>
      </w:pPr>
    </w:p>
    <w:p w14:paraId="7CA1754E">
      <w:pPr>
        <w:jc w:val="both"/>
      </w:pPr>
    </w:p>
    <w:p w14:paraId="631A1553">
      <w:pPr>
        <w:jc w:val="both"/>
      </w:pPr>
    </w:p>
    <w:p w14:paraId="4606F222">
      <w:pPr>
        <w:wordWrap w:val="0"/>
        <w:jc w:val="right"/>
        <w:rPr>
          <w:rFonts w:ascii="Times New Roman" w:hAnsi="Times New Roman" w:eastAsia="Times New Roman" w:cs="Times New Roman"/>
          <w:sz w:val="22"/>
          <w:szCs w:val="22"/>
          <w:lang w:bidi="ar-SA"/>
        </w:rPr>
      </w:pPr>
      <w:r>
        <w:rPr>
          <w:rFonts w:ascii="Times New Roman" w:hAnsi="Times New Roman" w:cs="Times New Roman"/>
          <w:sz w:val="22"/>
          <w:szCs w:val="22"/>
        </w:rPr>
        <w:t xml:space="preserve">Приложение № </w:t>
      </w:r>
      <w:r>
        <w:rPr>
          <w:rFonts w:hint="default" w:ascii="Times New Roman" w:hAnsi="Times New Roman" w:cs="Times New Roman"/>
          <w:sz w:val="22"/>
          <w:szCs w:val="22"/>
          <w:lang w:val="ru-RU"/>
        </w:rPr>
        <w:t xml:space="preserve">3 </w:t>
      </w:r>
      <w:r>
        <w:rPr>
          <w:rFonts w:ascii="Times New Roman" w:hAnsi="Times New Roman" w:eastAsia="Times New Roman" w:cs="Times New Roman"/>
          <w:sz w:val="22"/>
          <w:szCs w:val="22"/>
        </w:rPr>
        <w:t xml:space="preserve">к Контракту </w:t>
      </w:r>
    </w:p>
    <w:p w14:paraId="41C63536">
      <w:pPr>
        <w:pStyle w:val="185"/>
        <w:ind w:left="-426" w:firstLine="142"/>
        <w:jc w:val="right"/>
        <w:rPr>
          <w:rFonts w:hint="default" w:ascii="Times New Roman" w:hAnsi="Times New Roman" w:cs="Times New Roman"/>
          <w:sz w:val="24"/>
          <w:szCs w:val="24"/>
          <w:lang w:val="ru-RU"/>
        </w:rPr>
      </w:pPr>
      <w:r>
        <w:rPr>
          <w:rFonts w:ascii="Times New Roman" w:hAnsi="Times New Roman" w:cs="Times New Roman"/>
          <w:sz w:val="24"/>
          <w:szCs w:val="24"/>
        </w:rPr>
        <w:t xml:space="preserve"> от «___»____________202</w:t>
      </w:r>
      <w:r>
        <w:rPr>
          <w:rFonts w:hint="default" w:ascii="Times New Roman" w:hAnsi="Times New Roman" w:cs="Times New Roman"/>
          <w:sz w:val="24"/>
          <w:szCs w:val="24"/>
          <w:lang w:val="ru-RU"/>
        </w:rPr>
        <w:t>6</w:t>
      </w:r>
      <w:r>
        <w:rPr>
          <w:rFonts w:ascii="Times New Roman" w:hAnsi="Times New Roman" w:cs="Times New Roman"/>
          <w:sz w:val="24"/>
          <w:szCs w:val="24"/>
        </w:rPr>
        <w:t xml:space="preserve">г. № </w:t>
      </w:r>
      <w:r>
        <w:rPr>
          <w:rFonts w:hint="default" w:ascii="Times New Roman" w:hAnsi="Times New Roman" w:cs="Times New Roman"/>
          <w:color w:val="FF0000"/>
          <w:sz w:val="24"/>
          <w:szCs w:val="24"/>
          <w:lang w:val="ru-RU"/>
        </w:rPr>
        <w:t>___</w:t>
      </w:r>
    </w:p>
    <w:p w14:paraId="7381B3C7">
      <w:pPr>
        <w:autoSpaceDE w:val="0"/>
        <w:autoSpaceDN w:val="0"/>
        <w:jc w:val="center"/>
        <w:rPr>
          <w:rFonts w:ascii="Times New Roman" w:hAnsi="Times New Roman" w:eastAsia="Times New Roman" w:cs="Times New Roman"/>
          <w:sz w:val="22"/>
          <w:szCs w:val="22"/>
        </w:rPr>
      </w:pPr>
    </w:p>
    <w:p w14:paraId="5D7BADD8">
      <w:pPr>
        <w:tabs>
          <w:tab w:val="left" w:pos="276"/>
        </w:tabs>
        <w:rPr>
          <w:rFonts w:ascii="Times New Roman" w:hAnsi="Times New Roman" w:eastAsia="Times New Roman" w:cs="Times New Roman"/>
          <w:sz w:val="22"/>
          <w:szCs w:val="22"/>
        </w:rPr>
      </w:pPr>
    </w:p>
    <w:p w14:paraId="7D251653">
      <w:pPr>
        <w:jc w:val="center"/>
        <w:rPr>
          <w:b/>
        </w:rPr>
      </w:pPr>
    </w:p>
    <w:p w14:paraId="7E3D1A3A">
      <w:pPr>
        <w:jc w:val="center"/>
        <w:rPr>
          <w:b/>
        </w:rPr>
      </w:pPr>
    </w:p>
    <w:p w14:paraId="49340053">
      <w:pPr>
        <w:jc w:val="center"/>
        <w:rPr>
          <w:rFonts w:ascii="Times New Roman" w:hAnsi="Times New Roman" w:cs="Times New Roman"/>
          <w:b/>
        </w:rPr>
      </w:pPr>
      <w:r>
        <w:rPr>
          <w:rFonts w:ascii="Times New Roman" w:hAnsi="Times New Roman" w:cs="Times New Roman"/>
          <w:b/>
        </w:rPr>
        <w:t>Форма акта № 0510452</w:t>
      </w:r>
    </w:p>
    <w:p w14:paraId="386A5F97">
      <w:pPr>
        <w:jc w:val="both"/>
      </w:pPr>
    </w:p>
    <w:p w14:paraId="69EFE29D">
      <w:pPr>
        <w:ind w:firstLine="3842" w:firstLineChars="1600"/>
        <w:jc w:val="both"/>
      </w:pPr>
      <w:r>
        <w:rPr>
          <w:b/>
        </w:rPr>
        <w:object>
          <v:shape id="_x0000_i1025" o:spt="75" type="#_x0000_t75" style="height:39.35pt;width:61.1pt;" o:ole="t" filled="f" o:preferrelative="t" stroked="f" coordsize="21600,21600">
            <v:path/>
            <v:fill on="f" alignshape="1" focussize="0,0"/>
            <v:stroke on="f"/>
            <v:imagedata r:id="rId7" o:title=""/>
            <o:lock v:ext="edit" aspectratio="t"/>
            <w10:wrap type="none"/>
            <w10:anchorlock/>
          </v:shape>
          <o:OLEObject Type="Embed" ProgID="Acrobat.Document.DC" ShapeID="_x0000_i1025" DrawAspect="Icon" ObjectID="_1468075725" r:id="rId6">
            <o:LockedField>false</o:LockedField>
          </o:OLEObject>
        </w:object>
      </w:r>
    </w:p>
    <w:p w14:paraId="7FF44FA5">
      <w:pPr>
        <w:jc w:val="both"/>
      </w:pPr>
    </w:p>
    <w:p w14:paraId="2C654A4B">
      <w:pPr>
        <w:jc w:val="both"/>
      </w:pPr>
    </w:p>
    <w:p w14:paraId="25A77E57">
      <w:pPr>
        <w:jc w:val="both"/>
      </w:pPr>
    </w:p>
    <w:p w14:paraId="50EC6D60">
      <w:pPr>
        <w:jc w:val="both"/>
      </w:pPr>
    </w:p>
    <w:p w14:paraId="5A14945B">
      <w:pPr>
        <w:jc w:val="both"/>
      </w:pPr>
    </w:p>
    <w:tbl>
      <w:tblPr>
        <w:tblStyle w:val="12"/>
        <w:tblW w:w="4912" w:type="pct"/>
        <w:tblInd w:w="0" w:type="dxa"/>
        <w:tblLayout w:type="autofit"/>
        <w:tblCellMar>
          <w:top w:w="0" w:type="dxa"/>
          <w:left w:w="108" w:type="dxa"/>
          <w:bottom w:w="0" w:type="dxa"/>
          <w:right w:w="108" w:type="dxa"/>
        </w:tblCellMar>
      </w:tblPr>
      <w:tblGrid>
        <w:gridCol w:w="4786"/>
        <w:gridCol w:w="4616"/>
      </w:tblGrid>
      <w:tr w14:paraId="1545F914">
        <w:tblPrEx>
          <w:tblCellMar>
            <w:top w:w="0" w:type="dxa"/>
            <w:left w:w="108" w:type="dxa"/>
            <w:bottom w:w="0" w:type="dxa"/>
            <w:right w:w="108" w:type="dxa"/>
          </w:tblCellMar>
        </w:tblPrEx>
        <w:trPr>
          <w:trHeight w:val="4424" w:hRule="atLeast"/>
        </w:trPr>
        <w:tc>
          <w:tcPr>
            <w:tcW w:w="2545" w:type="pct"/>
          </w:tcPr>
          <w:p w14:paraId="2A47AA29">
            <w:pPr>
              <w:rPr>
                <w:sz w:val="22"/>
                <w:szCs w:val="22"/>
              </w:rPr>
            </w:pPr>
            <w:r>
              <w:rPr>
                <w:b/>
                <w:sz w:val="22"/>
                <w:szCs w:val="22"/>
              </w:rPr>
              <w:t>Заказчик:</w:t>
            </w:r>
            <w:r>
              <w:rPr>
                <w:sz w:val="22"/>
                <w:szCs w:val="22"/>
              </w:rPr>
              <w:t xml:space="preserve"> </w:t>
            </w:r>
          </w:p>
          <w:p w14:paraId="65DD810C">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2455" w:type="pct"/>
          </w:tcPr>
          <w:p w14:paraId="5707054A">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76C1BEC4">
            <w:pPr>
              <w:autoSpaceDE w:val="0"/>
              <w:autoSpaceDN w:val="0"/>
              <w:adjustRightInd w:val="0"/>
              <w:jc w:val="both"/>
              <w:rPr>
                <w:rFonts w:ascii="Courier New" w:hAnsi="Courier New" w:eastAsia="Calibri" w:cs="Courier New"/>
                <w:bCs/>
                <w:sz w:val="22"/>
                <w:szCs w:val="22"/>
                <w:lang w:eastAsia="en-US"/>
              </w:rPr>
            </w:pPr>
          </w:p>
        </w:tc>
      </w:tr>
    </w:tbl>
    <w:p w14:paraId="221D4ACD">
      <w:pPr>
        <w:jc w:val="both"/>
      </w:pPr>
    </w:p>
    <w:p w14:paraId="395065DD">
      <w:pPr>
        <w:jc w:val="both"/>
      </w:pPr>
    </w:p>
    <w:sectPr>
      <w:pgSz w:w="11906" w:h="16838"/>
      <w:pgMar w:top="1134" w:right="851"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FE037D"/>
    <w:multiLevelType w:val="multilevel"/>
    <w:tmpl w:val="0FFE037D"/>
    <w:lvl w:ilvl="0" w:tentative="0">
      <w:start w:val="1"/>
      <w:numFmt w:val="decimal"/>
      <w:lvlText w:val="%1."/>
      <w:lvlJc w:val="left"/>
      <w:pPr>
        <w:ind w:left="360" w:hanging="360"/>
      </w:pPr>
    </w:lvl>
    <w:lvl w:ilvl="1" w:tentative="0">
      <w:start w:val="1"/>
      <w:numFmt w:val="decimal"/>
      <w:pStyle w:val="196"/>
      <w:lvlText w:val="%2."/>
      <w:lvlJc w:val="left"/>
      <w:pPr>
        <w:ind w:left="792" w:hanging="432"/>
      </w:pPr>
      <w:rPr>
        <w:rFonts w:ascii="Times New Roman" w:hAnsi="Times New Roman" w:eastAsia="Times New Roman" w:cs="Times New Roman"/>
        <w:b w:val="0"/>
        <w:i w:val="0"/>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
    <w:nsid w:val="74037198"/>
    <w:multiLevelType w:val="multilevel"/>
    <w:tmpl w:val="74037198"/>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6630F2"/>
    <w:rsid w:val="1040284A"/>
    <w:rsid w:val="29A56923"/>
    <w:rsid w:val="3717359A"/>
    <w:rsid w:val="3FF57DC2"/>
    <w:rsid w:val="4A895AF8"/>
    <w:rsid w:val="5CF91599"/>
    <w:rsid w:val="6EAD16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before="0" w:beforeAutospacing="0" w:after="0" w:afterAutospacing="0" w:line="240" w:lineRule="auto"/>
    </w:pPr>
    <w:rPr>
      <w:rFonts w:hint="default" w:ascii="Times New Roman" w:hAnsi="Times New Roman" w:eastAsia="Times New Roman" w:cs="Times New Roman"/>
      <w:sz w:val="24"/>
      <w:szCs w:val="24"/>
      <w:lang w:val="ru-RU" w:eastAsia="ru-RU" w:bidi="ar-SA"/>
    </w:rPr>
  </w:style>
  <w:style w:type="paragraph" w:styleId="2">
    <w:name w:val="heading 1"/>
    <w:basedOn w:val="1"/>
    <w:next w:val="1"/>
    <w:link w:val="190"/>
    <w:qFormat/>
    <w:uiPriority w:val="9"/>
    <w:pPr>
      <w:keepNext/>
      <w:keepLines/>
      <w:spacing w:before="480"/>
      <w:outlineLvl w:val="0"/>
    </w:pPr>
    <w:rPr>
      <w:rFonts w:asciiTheme="majorHAnsi" w:hAnsiTheme="majorHAnsi" w:eastAsiaTheme="majorEastAsia" w:cstheme="majorBidi"/>
      <w:b/>
      <w:bCs/>
      <w:color w:val="2E75B6" w:themeColor="accent1" w:themeShade="BF"/>
      <w:sz w:val="28"/>
      <w:szCs w:val="28"/>
    </w:rPr>
  </w:style>
  <w:style w:type="paragraph" w:styleId="3">
    <w:name w:val="heading 2"/>
    <w:basedOn w:val="1"/>
    <w:next w:val="1"/>
    <w:link w:val="198"/>
    <w:semiHidden/>
    <w:unhideWhenUsed/>
    <w:qFormat/>
    <w:uiPriority w:val="9"/>
    <w:pPr>
      <w:keepNext/>
      <w:keepLines/>
      <w:spacing w:before="4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otnote reference"/>
    <w:basedOn w:val="11"/>
    <w:unhideWhenUsed/>
    <w:qFormat/>
    <w:uiPriority w:val="99"/>
    <w:rPr>
      <w:vertAlign w:val="superscript"/>
    </w:rPr>
  </w:style>
  <w:style w:type="character" w:styleId="14">
    <w:name w:val="endnote reference"/>
    <w:basedOn w:val="11"/>
    <w:semiHidden/>
    <w:unhideWhenUsed/>
    <w:qFormat/>
    <w:uiPriority w:val="99"/>
    <w:rPr>
      <w:vertAlign w:val="superscript"/>
    </w:rPr>
  </w:style>
  <w:style w:type="character" w:styleId="15">
    <w:name w:val="Hyperlink"/>
    <w:unhideWhenUsed/>
    <w:qFormat/>
    <w:uiPriority w:val="99"/>
    <w:rPr>
      <w:color w:val="0563C1" w:themeColor="hyperlink"/>
      <w:u w:val="single"/>
      <w14:textFill>
        <w14:solidFill>
          <w14:schemeClr w14:val="hlink"/>
        </w14:solidFill>
      </w14:textFill>
    </w:rPr>
  </w:style>
  <w:style w:type="character" w:styleId="16">
    <w:name w:val="page number"/>
    <w:qFormat/>
    <w:uiPriority w:val="0"/>
    <w:rPr>
      <w:rFonts w:cs="Times New Roman"/>
    </w:rPr>
  </w:style>
  <w:style w:type="character" w:styleId="17">
    <w:name w:val="Strong"/>
    <w:qFormat/>
    <w:uiPriority w:val="22"/>
    <w:rPr>
      <w:rFonts w:cs="Times New Roman"/>
      <w:b/>
      <w:bCs/>
    </w:rPr>
  </w:style>
  <w:style w:type="paragraph" w:styleId="18">
    <w:name w:val="Balloon Text"/>
    <w:basedOn w:val="1"/>
    <w:link w:val="199"/>
    <w:semiHidden/>
    <w:unhideWhenUsed/>
    <w:qFormat/>
    <w:uiPriority w:val="99"/>
    <w:rPr>
      <w:rFonts w:ascii="Segoe UI" w:hAnsi="Segoe UI" w:cs="Segoe UI"/>
      <w:sz w:val="18"/>
      <w:szCs w:val="18"/>
    </w:rPr>
  </w:style>
  <w:style w:type="paragraph" w:styleId="19">
    <w:name w:val="Body Text 2"/>
    <w:basedOn w:val="1"/>
    <w:link w:val="189"/>
    <w:qFormat/>
    <w:uiPriority w:val="0"/>
  </w:style>
  <w:style w:type="paragraph" w:styleId="20">
    <w:name w:val="endnote text"/>
    <w:basedOn w:val="1"/>
    <w:link w:val="183"/>
    <w:semiHidden/>
    <w:unhideWhenUsed/>
    <w:qFormat/>
    <w:uiPriority w:val="99"/>
    <w:pPr>
      <w:spacing w:after="0" w:line="240" w:lineRule="auto"/>
    </w:pPr>
    <w:rPr>
      <w:sz w:val="20"/>
    </w:rPr>
  </w:style>
  <w:style w:type="paragraph" w:styleId="21">
    <w:name w:val="caption"/>
    <w:basedOn w:val="1"/>
    <w:next w:val="1"/>
    <w:link w:val="56"/>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22">
    <w:name w:val="footnote text"/>
    <w:basedOn w:val="1"/>
    <w:link w:val="182"/>
    <w:semiHidden/>
    <w:unhideWhenUsed/>
    <w:qFormat/>
    <w:uiPriority w:val="99"/>
    <w:pPr>
      <w:spacing w:after="40" w:line="240" w:lineRule="auto"/>
    </w:pPr>
    <w:rPr>
      <w:sz w:val="18"/>
    </w:rPr>
  </w:style>
  <w:style w:type="paragraph" w:styleId="23">
    <w:name w:val="toc 8"/>
    <w:basedOn w:val="1"/>
    <w:next w:val="1"/>
    <w:unhideWhenUsed/>
    <w:qFormat/>
    <w:uiPriority w:val="39"/>
    <w:pPr>
      <w:spacing w:after="57"/>
      <w:ind w:left="1984" w:right="0" w:firstLine="0"/>
    </w:pPr>
  </w:style>
  <w:style w:type="paragraph" w:styleId="24">
    <w:name w:val="header"/>
    <w:basedOn w:val="1"/>
    <w:link w:val="186"/>
    <w:unhideWhenUsed/>
    <w:qFormat/>
    <w:uiPriority w:val="99"/>
    <w:pPr>
      <w:tabs>
        <w:tab w:val="center" w:pos="4677"/>
        <w:tab w:val="right" w:pos="9355"/>
      </w:tabs>
    </w:pPr>
  </w:style>
  <w:style w:type="paragraph" w:styleId="25">
    <w:name w:val="toc 9"/>
    <w:basedOn w:val="1"/>
    <w:next w:val="1"/>
    <w:unhideWhenUsed/>
    <w:qFormat/>
    <w:uiPriority w:val="39"/>
    <w:pPr>
      <w:spacing w:after="57"/>
      <w:ind w:left="2268" w:right="0" w:firstLine="0"/>
    </w:pPr>
  </w:style>
  <w:style w:type="paragraph" w:styleId="26">
    <w:name w:val="toc 7"/>
    <w:basedOn w:val="1"/>
    <w:next w:val="1"/>
    <w:unhideWhenUsed/>
    <w:qFormat/>
    <w:uiPriority w:val="39"/>
    <w:pPr>
      <w:spacing w:after="57"/>
      <w:ind w:left="1701" w:right="0" w:firstLine="0"/>
    </w:pPr>
  </w:style>
  <w:style w:type="paragraph" w:styleId="27">
    <w:name w:val="toc 1"/>
    <w:basedOn w:val="1"/>
    <w:next w:val="1"/>
    <w:unhideWhenUsed/>
    <w:qFormat/>
    <w:uiPriority w:val="39"/>
    <w:pPr>
      <w:spacing w:after="57"/>
      <w:ind w:left="0" w:right="0" w:firstLine="0"/>
    </w:p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3"/>
    <w:basedOn w:val="1"/>
    <w:next w:val="1"/>
    <w:unhideWhenUsed/>
    <w:qFormat/>
    <w:uiPriority w:val="39"/>
    <w:pPr>
      <w:spacing w:after="57"/>
      <w:ind w:left="567" w:right="0" w:firstLine="0"/>
    </w:pPr>
  </w:style>
  <w:style w:type="paragraph" w:styleId="31">
    <w:name w:val="toc 2"/>
    <w:basedOn w:val="1"/>
    <w:next w:val="1"/>
    <w:unhideWhenUsed/>
    <w:qFormat/>
    <w:uiPriority w:val="39"/>
    <w:pPr>
      <w:spacing w:after="57"/>
      <w:ind w:left="283" w:right="0" w:firstLine="0"/>
    </w:pPr>
  </w:style>
  <w:style w:type="paragraph" w:styleId="32">
    <w:name w:val="toc 4"/>
    <w:basedOn w:val="1"/>
    <w:next w:val="1"/>
    <w:unhideWhenUsed/>
    <w:qFormat/>
    <w:uiPriority w:val="39"/>
    <w:pPr>
      <w:spacing w:after="57"/>
      <w:ind w:left="850" w:right="0" w:firstLine="0"/>
    </w:pPr>
  </w:style>
  <w:style w:type="paragraph" w:styleId="33">
    <w:name w:val="toc 5"/>
    <w:basedOn w:val="1"/>
    <w:next w:val="1"/>
    <w:unhideWhenUsed/>
    <w:qFormat/>
    <w:uiPriority w:val="39"/>
    <w:pPr>
      <w:spacing w:after="57"/>
      <w:ind w:left="1134" w:right="0" w:firstLine="0"/>
    </w:pPr>
  </w:style>
  <w:style w:type="paragraph" w:styleId="34">
    <w:name w:val="Title"/>
    <w:basedOn w:val="1"/>
    <w:next w:val="1"/>
    <w:link w:val="48"/>
    <w:qFormat/>
    <w:uiPriority w:val="10"/>
    <w:pPr>
      <w:spacing w:before="300" w:after="200"/>
      <w:contextualSpacing/>
    </w:pPr>
    <w:rPr>
      <w:sz w:val="48"/>
      <w:szCs w:val="48"/>
    </w:rPr>
  </w:style>
  <w:style w:type="paragraph" w:styleId="35">
    <w:name w:val="footer"/>
    <w:basedOn w:val="1"/>
    <w:link w:val="187"/>
    <w:unhideWhenUsed/>
    <w:qFormat/>
    <w:uiPriority w:val="99"/>
    <w:pPr>
      <w:tabs>
        <w:tab w:val="center" w:pos="4677"/>
        <w:tab w:val="right" w:pos="9355"/>
      </w:tabs>
    </w:pPr>
  </w:style>
  <w:style w:type="paragraph" w:styleId="36">
    <w:name w:val="Normal (Web)"/>
    <w:basedOn w:val="1"/>
    <w:link w:val="194"/>
    <w:qFormat/>
    <w:uiPriority w:val="99"/>
    <w:pPr>
      <w:spacing w:before="100" w:beforeAutospacing="1" w:after="100" w:afterAutospacing="1"/>
    </w:pPr>
  </w:style>
  <w:style w:type="paragraph" w:styleId="37">
    <w:name w:val="Subtitle"/>
    <w:basedOn w:val="1"/>
    <w:next w:val="1"/>
    <w:link w:val="49"/>
    <w:qFormat/>
    <w:uiPriority w:val="11"/>
    <w:pPr>
      <w:spacing w:before="200" w:after="200"/>
    </w:pPr>
    <w:rPr>
      <w:sz w:val="24"/>
      <w:szCs w:val="24"/>
    </w:rPr>
  </w:style>
  <w:style w:type="table" w:styleId="38">
    <w:name w:val="Table Grid"/>
    <w:basedOn w:val="12"/>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
    <w:name w:val="Heading 1 Char"/>
    <w:basedOn w:val="11"/>
    <w:qFormat/>
    <w:uiPriority w:val="9"/>
    <w:rPr>
      <w:rFonts w:ascii="Arial" w:hAnsi="Arial" w:eastAsia="Arial" w:cs="Arial"/>
      <w:sz w:val="40"/>
      <w:szCs w:val="40"/>
    </w:rPr>
  </w:style>
  <w:style w:type="character" w:customStyle="1" w:styleId="40">
    <w:name w:val="Heading 2 Char"/>
    <w:basedOn w:val="11"/>
    <w:qFormat/>
    <w:uiPriority w:val="9"/>
    <w:rPr>
      <w:rFonts w:ascii="Arial" w:hAnsi="Arial" w:eastAsia="Arial" w:cs="Arial"/>
      <w:sz w:val="34"/>
    </w:rPr>
  </w:style>
  <w:style w:type="character" w:customStyle="1" w:styleId="41">
    <w:name w:val="Heading 3 Char"/>
    <w:basedOn w:val="11"/>
    <w:link w:val="4"/>
    <w:qFormat/>
    <w:uiPriority w:val="9"/>
    <w:rPr>
      <w:rFonts w:ascii="Arial" w:hAnsi="Arial" w:eastAsia="Arial" w:cs="Arial"/>
      <w:sz w:val="30"/>
      <w:szCs w:val="30"/>
    </w:rPr>
  </w:style>
  <w:style w:type="character" w:customStyle="1" w:styleId="42">
    <w:name w:val="Heading 4 Char"/>
    <w:basedOn w:val="11"/>
    <w:link w:val="5"/>
    <w:qFormat/>
    <w:uiPriority w:val="9"/>
    <w:rPr>
      <w:rFonts w:ascii="Arial" w:hAnsi="Arial" w:eastAsia="Arial" w:cs="Arial"/>
      <w:b/>
      <w:bCs/>
      <w:sz w:val="26"/>
      <w:szCs w:val="26"/>
    </w:rPr>
  </w:style>
  <w:style w:type="character" w:customStyle="1" w:styleId="43">
    <w:name w:val="Heading 5 Char"/>
    <w:basedOn w:val="11"/>
    <w:link w:val="6"/>
    <w:qFormat/>
    <w:uiPriority w:val="9"/>
    <w:rPr>
      <w:rFonts w:ascii="Arial" w:hAnsi="Arial" w:eastAsia="Arial" w:cs="Arial"/>
      <w:b/>
      <w:bCs/>
      <w:sz w:val="24"/>
      <w:szCs w:val="24"/>
    </w:rPr>
  </w:style>
  <w:style w:type="character" w:customStyle="1" w:styleId="44">
    <w:name w:val="Heading 6 Char"/>
    <w:basedOn w:val="11"/>
    <w:link w:val="7"/>
    <w:qFormat/>
    <w:uiPriority w:val="9"/>
    <w:rPr>
      <w:rFonts w:ascii="Arial" w:hAnsi="Arial" w:eastAsia="Arial" w:cs="Arial"/>
      <w:b/>
      <w:bCs/>
      <w:sz w:val="22"/>
      <w:szCs w:val="22"/>
    </w:rPr>
  </w:style>
  <w:style w:type="character" w:customStyle="1" w:styleId="45">
    <w:name w:val="Heading 7 Char"/>
    <w:basedOn w:val="11"/>
    <w:link w:val="8"/>
    <w:qFormat/>
    <w:uiPriority w:val="9"/>
    <w:rPr>
      <w:rFonts w:ascii="Arial" w:hAnsi="Arial" w:eastAsia="Arial" w:cs="Arial"/>
      <w:b/>
      <w:bCs/>
      <w:i/>
      <w:iCs/>
      <w:sz w:val="22"/>
      <w:szCs w:val="22"/>
    </w:rPr>
  </w:style>
  <w:style w:type="character" w:customStyle="1" w:styleId="46">
    <w:name w:val="Heading 8 Char"/>
    <w:basedOn w:val="11"/>
    <w:link w:val="9"/>
    <w:qFormat/>
    <w:uiPriority w:val="9"/>
    <w:rPr>
      <w:rFonts w:ascii="Arial" w:hAnsi="Arial" w:eastAsia="Arial" w:cs="Arial"/>
      <w:i/>
      <w:iCs/>
      <w:sz w:val="22"/>
      <w:szCs w:val="22"/>
    </w:rPr>
  </w:style>
  <w:style w:type="character" w:customStyle="1" w:styleId="47">
    <w:name w:val="Heading 9 Char"/>
    <w:basedOn w:val="11"/>
    <w:link w:val="10"/>
    <w:qFormat/>
    <w:uiPriority w:val="9"/>
    <w:rPr>
      <w:rFonts w:ascii="Arial" w:hAnsi="Arial" w:eastAsia="Arial" w:cs="Arial"/>
      <w:i/>
      <w:iCs/>
      <w:sz w:val="21"/>
      <w:szCs w:val="21"/>
    </w:rPr>
  </w:style>
  <w:style w:type="character" w:customStyle="1" w:styleId="48">
    <w:name w:val="Title Char"/>
    <w:basedOn w:val="11"/>
    <w:link w:val="34"/>
    <w:qFormat/>
    <w:uiPriority w:val="10"/>
    <w:rPr>
      <w:sz w:val="48"/>
      <w:szCs w:val="48"/>
    </w:rPr>
  </w:style>
  <w:style w:type="character" w:customStyle="1" w:styleId="49">
    <w:name w:val="Subtitle Char"/>
    <w:basedOn w:val="11"/>
    <w:link w:val="37"/>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basedOn w:val="11"/>
    <w:qFormat/>
    <w:uiPriority w:val="99"/>
  </w:style>
  <w:style w:type="character" w:customStyle="1" w:styleId="55">
    <w:name w:val="Footer Char"/>
    <w:basedOn w:val="11"/>
    <w:qFormat/>
    <w:uiPriority w:val="99"/>
  </w:style>
  <w:style w:type="character" w:customStyle="1" w:styleId="56">
    <w:name w:val="Caption Char"/>
    <w:basedOn w:val="11"/>
    <w:link w:val="21"/>
    <w:uiPriority w:val="35"/>
    <w:rPr>
      <w:b/>
      <w:bCs/>
      <w:color w:val="5B9BD5" w:themeColor="accent1"/>
      <w:sz w:val="18"/>
      <w:szCs w:val="18"/>
      <w14:textFill>
        <w14:solidFill>
          <w14:schemeClr w14:val="accent1"/>
        </w14:solidFill>
      </w14:textFill>
    </w:rPr>
  </w:style>
  <w:style w:type="table" w:customStyle="1" w:styleId="57">
    <w:name w:val="Table Grid Light"/>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12"/>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basedOn w:val="1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5">
    <w:name w:val="Grid Table 1 Light - Accent 2"/>
    <w:basedOn w:val="1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6">
    <w:name w:val="Grid Table 1 Light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7">
    <w:name w:val="Grid Table 1 Light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8">
    <w:name w:val="Grid Table 1 Light - Accent 5"/>
    <w:basedOn w:val="1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69">
    <w:name w:val="Grid Table 1 Light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0">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basedOn w:val="1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2">
    <w:name w:val="Grid Table 2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3">
    <w:name w:val="Grid Table 2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4">
    <w:name w:val="Grid Table 2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5">
    <w:name w:val="Grid Table 2 - Accent 5"/>
    <w:basedOn w:val="1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6">
    <w:name w:val="Grid Table 2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7">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basedOn w:val="1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9">
    <w:name w:val="Grid Table 3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3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3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3 - Accent 5"/>
    <w:basedOn w:val="1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3">
    <w:name w:val="Grid Table 3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basedOn w:val="12"/>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6">
    <w:name w:val="Grid Table 4 - Accent 2"/>
    <w:basedOn w:val="12"/>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4 - Accent 3"/>
    <w:basedOn w:val="12"/>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4 - Accent 4"/>
    <w:basedOn w:val="12"/>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4 - Accent 5"/>
    <w:basedOn w:val="12"/>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4 - Accent 6"/>
    <w:basedOn w:val="12"/>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5 Dark"/>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3">
    <w:name w:val="Grid Table 5 Dark - Accent 2"/>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4">
    <w:name w:val="Grid Table 5 Dark - Accent 3"/>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5">
    <w:name w:val="Grid Table 5 Dark- Accent 4"/>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6">
    <w:name w:val="Grid Table 5 Dark - Accent 5"/>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7">
    <w:name w:val="Grid Table 5 Dark - Accent 6"/>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8">
    <w:name w:val="Grid Table 6 Colorful"/>
    <w:basedOn w:val="1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basedOn w:val="12"/>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basedOn w:val="12"/>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basedOn w:val="12"/>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4">
    <w:name w:val="Grid Table 6 Colorful - Accent 6"/>
    <w:basedOn w:val="12"/>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5">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basedOn w:val="12"/>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basedOn w:val="12"/>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basedOn w:val="12"/>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basedOn w:val="12"/>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basedOn w:val="12"/>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1">
    <w:name w:val="Grid Table 7 Colorful - Accent 6"/>
    <w:basedOn w:val="12"/>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2">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basedOn w:val="12"/>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4">
    <w:name w:val="List Table 1 Light - Accent 2"/>
    <w:basedOn w:val="12"/>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5">
    <w:name w:val="List Table 1 Light - Accent 3"/>
    <w:basedOn w:val="12"/>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6">
    <w:name w:val="List Table 1 Light - Accent 4"/>
    <w:basedOn w:val="12"/>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7">
    <w:name w:val="List Table 1 Light - Accent 5"/>
    <w:basedOn w:val="12"/>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18">
    <w:name w:val="List Table 1 Light - Accent 6"/>
    <w:basedOn w:val="12"/>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19">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basedOn w:val="12"/>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1">
    <w:name w:val="List Table 2 - Accent 2"/>
    <w:basedOn w:val="12"/>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2">
    <w:name w:val="List Table 2 - Accent 3"/>
    <w:basedOn w:val="12"/>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3">
    <w:name w:val="List Table 2 - Accent 4"/>
    <w:basedOn w:val="12"/>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4">
    <w:name w:val="List Table 2 - Accent 5"/>
    <w:basedOn w:val="12"/>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5">
    <w:name w:val="List Table 2 - Accent 6"/>
    <w:basedOn w:val="12"/>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6">
    <w:name w:val="List Table 3"/>
    <w:basedOn w:val="1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basedOn w:val="12"/>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28">
    <w:name w:val="List Table 3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29">
    <w:name w:val="List Table 3 - Accent 3"/>
    <w:basedOn w:val="12"/>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0">
    <w:name w:val="List Table 3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1">
    <w:name w:val="List Table 3 - Accent 5"/>
    <w:basedOn w:val="12"/>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2">
    <w:name w:val="List Table 3 - Accent 6"/>
    <w:basedOn w:val="12"/>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3">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basedOn w:val="12"/>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5">
    <w:name w:val="List Table 4 - Accent 2"/>
    <w:basedOn w:val="12"/>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6">
    <w:name w:val="List Table 4 - Accent 3"/>
    <w:basedOn w:val="12"/>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7">
    <w:name w:val="List Table 4 - Accent 4"/>
    <w:basedOn w:val="12"/>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8">
    <w:name w:val="List Table 4 - Accent 5"/>
    <w:basedOn w:val="12"/>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9">
    <w:name w:val="List Table 4 - Accent 6"/>
    <w:basedOn w:val="12"/>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0">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basedOn w:val="12"/>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2">
    <w:name w:val="List Table 5 Dark - Accent 2"/>
    <w:basedOn w:val="12"/>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3">
    <w:name w:val="List Table 5 Dark - Accent 3"/>
    <w:basedOn w:val="12"/>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4">
    <w:name w:val="List Table 5 Dark - Accent 4"/>
    <w:basedOn w:val="12"/>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5">
    <w:name w:val="List Table 5 Dark - Accent 5"/>
    <w:basedOn w:val="12"/>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6">
    <w:name w:val="List Table 5 Dark - Accent 6"/>
    <w:basedOn w:val="12"/>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7">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basedOn w:val="12"/>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49">
    <w:name w:val="List Table 6 Colorful - Accent 2"/>
    <w:basedOn w:val="12"/>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basedOn w:val="12"/>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basedOn w:val="12"/>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basedOn w:val="12"/>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basedOn w:val="12"/>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4">
    <w:name w:val="List Table 7 Colorful"/>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basedOn w:val="12"/>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6">
    <w:name w:val="List Table 7 Colorful - Accent 2"/>
    <w:basedOn w:val="12"/>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basedOn w:val="12"/>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basedOn w:val="12"/>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basedOn w:val="12"/>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basedOn w:val="12"/>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1">
    <w:name w:val="Lined - Accent"/>
    <w:basedOn w:val="1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basedOn w:val="12"/>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3">
    <w:name w:val="Lined - Accent 2"/>
    <w:basedOn w:val="12"/>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4">
    <w:name w:val="Lined - Accent 3"/>
    <w:basedOn w:val="12"/>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5">
    <w:name w:val="Lined - Accent 4"/>
    <w:basedOn w:val="12"/>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6">
    <w:name w:val="Lined - Accent 5"/>
    <w:basedOn w:val="12"/>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7">
    <w:name w:val="Lined - Accent 6"/>
    <w:basedOn w:val="12"/>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8">
    <w:name w:val="Bordered &amp; Lined - Accent"/>
    <w:basedOn w:val="1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basedOn w:val="12"/>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0">
    <w:name w:val="Bordered &amp; Lined - Accent 2"/>
    <w:basedOn w:val="12"/>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Bordered &amp; Lined - Accent 3"/>
    <w:basedOn w:val="12"/>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Bordered &amp; Lined - Accent 4"/>
    <w:basedOn w:val="12"/>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Bordered &amp; Lined - Accent 5"/>
    <w:basedOn w:val="12"/>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4">
    <w:name w:val="Bordered &amp; Lined - Accent 6"/>
    <w:basedOn w:val="12"/>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w:basedOn w:val="1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basedOn w:val="1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7">
    <w:name w:val="Bordered - Accent 2"/>
    <w:basedOn w:val="12"/>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8">
    <w:name w:val="Bordered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79">
    <w:name w:val="Bordered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0">
    <w:name w:val="Bordered - Accent 5"/>
    <w:basedOn w:val="1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1">
    <w:name w:val="Bordered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2">
    <w:name w:val="Footnote Text Char"/>
    <w:link w:val="22"/>
    <w:qFormat/>
    <w:uiPriority w:val="99"/>
    <w:rPr>
      <w:sz w:val="18"/>
    </w:rPr>
  </w:style>
  <w:style w:type="character" w:customStyle="1" w:styleId="183">
    <w:name w:val="Endnote Text Char"/>
    <w:link w:val="20"/>
    <w:qFormat/>
    <w:uiPriority w:val="99"/>
    <w:rPr>
      <w:sz w:val="20"/>
    </w:rPr>
  </w:style>
  <w:style w:type="paragraph" w:customStyle="1" w:styleId="184">
    <w:name w:val="TOC Heading"/>
    <w:unhideWhenUsed/>
    <w:qFormat/>
    <w:uiPriority w:val="39"/>
    <w:pPr>
      <w:spacing w:before="0" w:beforeAutospacing="0" w:after="160" w:afterAutospacing="0" w:line="259" w:lineRule="auto"/>
    </w:pPr>
    <w:rPr>
      <w:rFonts w:hint="default" w:asciiTheme="minorHAnsi" w:hAnsiTheme="minorHAnsi" w:eastAsiaTheme="minorHAnsi" w:cstheme="minorBidi"/>
      <w:sz w:val="22"/>
      <w:szCs w:val="22"/>
      <w:lang w:val="ru-RU" w:eastAsia="en-US" w:bidi="ar-SA"/>
    </w:rPr>
  </w:style>
  <w:style w:type="paragraph" w:styleId="185">
    <w:name w:val="List Paragraph"/>
    <w:basedOn w:val="1"/>
    <w:link w:val="191"/>
    <w:qFormat/>
    <w:uiPriority w:val="34"/>
    <w:pPr>
      <w:spacing w:after="160" w:line="259" w:lineRule="auto"/>
      <w:ind w:left="720"/>
      <w:contextualSpacing/>
    </w:pPr>
    <w:rPr>
      <w:rFonts w:asciiTheme="minorHAnsi" w:hAnsiTheme="minorHAnsi" w:eastAsiaTheme="minorHAnsi" w:cstheme="minorBidi"/>
      <w:sz w:val="22"/>
      <w:szCs w:val="22"/>
      <w:lang w:eastAsia="en-US"/>
    </w:rPr>
  </w:style>
  <w:style w:type="character" w:customStyle="1" w:styleId="186">
    <w:name w:val="Верхний колонтитул Знак"/>
    <w:basedOn w:val="11"/>
    <w:link w:val="24"/>
    <w:qFormat/>
    <w:uiPriority w:val="99"/>
    <w:rPr>
      <w:rFonts w:ascii="Times New Roman" w:hAnsi="Times New Roman" w:eastAsia="Times New Roman" w:cs="Times New Roman"/>
      <w:sz w:val="24"/>
      <w:szCs w:val="24"/>
      <w:lang w:eastAsia="ru-RU"/>
    </w:rPr>
  </w:style>
  <w:style w:type="character" w:customStyle="1" w:styleId="187">
    <w:name w:val="Нижний колонтитул Знак"/>
    <w:basedOn w:val="11"/>
    <w:link w:val="35"/>
    <w:qFormat/>
    <w:uiPriority w:val="99"/>
    <w:rPr>
      <w:rFonts w:ascii="Times New Roman" w:hAnsi="Times New Roman" w:eastAsia="Times New Roman" w:cs="Times New Roman"/>
      <w:sz w:val="24"/>
      <w:szCs w:val="24"/>
      <w:lang w:eastAsia="ru-RU"/>
    </w:rPr>
  </w:style>
  <w:style w:type="paragraph" w:styleId="188">
    <w:name w:val="No Spacing"/>
    <w:qFormat/>
    <w:uiPriority w:val="1"/>
    <w:pPr>
      <w:spacing w:before="0" w:beforeAutospacing="0" w:after="0" w:afterAutospacing="0" w:line="240" w:lineRule="auto"/>
    </w:pPr>
    <w:rPr>
      <w:rFonts w:hint="default" w:ascii="Times New Roman" w:hAnsi="Times New Roman" w:eastAsia="Times New Roman" w:cs="Times New Roman"/>
      <w:sz w:val="24"/>
      <w:szCs w:val="24"/>
      <w:lang w:val="ru-RU" w:eastAsia="ru-RU" w:bidi="ar-SA"/>
    </w:rPr>
  </w:style>
  <w:style w:type="character" w:customStyle="1" w:styleId="189">
    <w:name w:val="Основной текст 2 Знак"/>
    <w:basedOn w:val="11"/>
    <w:link w:val="19"/>
    <w:qFormat/>
    <w:uiPriority w:val="0"/>
    <w:rPr>
      <w:rFonts w:ascii="Times New Roman" w:hAnsi="Times New Roman" w:eastAsia="Times New Roman" w:cs="Times New Roman"/>
      <w:sz w:val="24"/>
      <w:szCs w:val="24"/>
      <w:lang w:eastAsia="ru-RU"/>
    </w:rPr>
  </w:style>
  <w:style w:type="character" w:customStyle="1" w:styleId="190">
    <w:name w:val="Заголовок 1 Знак"/>
    <w:basedOn w:val="11"/>
    <w:link w:val="2"/>
    <w:qFormat/>
    <w:uiPriority w:val="9"/>
    <w:rPr>
      <w:rFonts w:asciiTheme="majorHAnsi" w:hAnsiTheme="majorHAnsi" w:eastAsiaTheme="majorEastAsia" w:cstheme="majorBidi"/>
      <w:b/>
      <w:bCs/>
      <w:color w:val="2E75B6" w:themeColor="accent1" w:themeShade="BF"/>
      <w:sz w:val="28"/>
      <w:szCs w:val="28"/>
      <w:lang w:eastAsia="ru-RU"/>
    </w:rPr>
  </w:style>
  <w:style w:type="character" w:customStyle="1" w:styleId="191">
    <w:name w:val="Абзац списка Знак"/>
    <w:link w:val="185"/>
    <w:qFormat/>
    <w:uiPriority w:val="34"/>
  </w:style>
  <w:style w:type="paragraph" w:customStyle="1" w:styleId="192">
    <w:name w:val="ConsPlusNormal"/>
    <w:link w:val="193"/>
    <w:qFormat/>
    <w:uiPriority w:val="0"/>
    <w:pPr>
      <w:widowControl w:val="0"/>
      <w:spacing w:before="0" w:beforeAutospacing="0" w:after="0" w:afterAutospacing="0" w:line="240" w:lineRule="auto"/>
    </w:pPr>
    <w:rPr>
      <w:rFonts w:hint="default" w:ascii="Calibri" w:hAnsi="Calibri" w:eastAsia="Times New Roman" w:cs="Calibri"/>
      <w:sz w:val="22"/>
      <w:szCs w:val="20"/>
      <w:lang w:val="ru-RU" w:eastAsia="ru-RU" w:bidi="ar-SA"/>
    </w:rPr>
  </w:style>
  <w:style w:type="character" w:customStyle="1" w:styleId="193">
    <w:name w:val="ConsPlusNormal Знак"/>
    <w:link w:val="192"/>
    <w:qFormat/>
    <w:uiPriority w:val="0"/>
    <w:rPr>
      <w:rFonts w:ascii="Calibri" w:hAnsi="Calibri" w:eastAsia="Times New Roman" w:cs="Calibri"/>
      <w:szCs w:val="20"/>
      <w:lang w:eastAsia="ru-RU"/>
    </w:rPr>
  </w:style>
  <w:style w:type="character" w:customStyle="1" w:styleId="194">
    <w:name w:val="Обычный (веб) Знак"/>
    <w:link w:val="36"/>
    <w:qFormat/>
    <w:uiPriority w:val="99"/>
    <w:rPr>
      <w:rFonts w:ascii="Times New Roman" w:hAnsi="Times New Roman" w:eastAsia="Times New Roman" w:cs="Times New Roman"/>
      <w:sz w:val="24"/>
      <w:szCs w:val="24"/>
      <w:lang w:eastAsia="ru-RU"/>
    </w:rPr>
  </w:style>
  <w:style w:type="character" w:customStyle="1" w:styleId="195">
    <w:name w:val="apple-converted-space"/>
    <w:qFormat/>
    <w:uiPriority w:val="0"/>
  </w:style>
  <w:style w:type="paragraph" w:customStyle="1" w:styleId="196">
    <w:name w:val="Пункты"/>
    <w:basedOn w:val="3"/>
    <w:link w:val="197"/>
    <w:qFormat/>
    <w:uiPriority w:val="0"/>
    <w:pPr>
      <w:keepLines w:val="0"/>
      <w:numPr>
        <w:ilvl w:val="1"/>
        <w:numId w:val="1"/>
      </w:numPr>
      <w:tabs>
        <w:tab w:val="left" w:pos="1134"/>
      </w:tabs>
      <w:spacing w:before="120"/>
      <w:jc w:val="both"/>
    </w:pPr>
    <w:rPr>
      <w:rFonts w:ascii="Times New Roman" w:hAnsi="Times New Roman" w:eastAsia="Times New Roman" w:cs="Times New Roman"/>
      <w:bCs/>
      <w:iCs/>
      <w:color w:val="auto"/>
      <w:sz w:val="24"/>
      <w:szCs w:val="28"/>
    </w:rPr>
  </w:style>
  <w:style w:type="character" w:customStyle="1" w:styleId="197">
    <w:name w:val="Пункты Знак"/>
    <w:link w:val="196"/>
    <w:qFormat/>
    <w:uiPriority w:val="0"/>
    <w:rPr>
      <w:rFonts w:ascii="Times New Roman" w:hAnsi="Times New Roman" w:eastAsia="Times New Roman" w:cs="Times New Roman"/>
      <w:bCs/>
      <w:iCs/>
      <w:sz w:val="24"/>
      <w:szCs w:val="28"/>
      <w:lang w:eastAsia="ru-RU"/>
    </w:rPr>
  </w:style>
  <w:style w:type="character" w:customStyle="1" w:styleId="198">
    <w:name w:val="Заголовок 2 Знак"/>
    <w:basedOn w:val="11"/>
    <w:link w:val="3"/>
    <w:semiHidden/>
    <w:qFormat/>
    <w:uiPriority w:val="9"/>
    <w:rPr>
      <w:rFonts w:asciiTheme="majorHAnsi" w:hAnsiTheme="majorHAnsi" w:eastAsiaTheme="majorEastAsia" w:cstheme="majorBidi"/>
      <w:color w:val="2E75B6" w:themeColor="accent1" w:themeShade="BF"/>
      <w:sz w:val="26"/>
      <w:szCs w:val="26"/>
      <w:lang w:eastAsia="ru-RU"/>
    </w:rPr>
  </w:style>
  <w:style w:type="character" w:customStyle="1" w:styleId="199">
    <w:name w:val="Текст выноски Знак"/>
    <w:basedOn w:val="11"/>
    <w:link w:val="18"/>
    <w:semiHidden/>
    <w:qFormat/>
    <w:uiPriority w:val="99"/>
    <w:rPr>
      <w:rFonts w:ascii="Segoe UI" w:hAnsi="Segoe UI" w:eastAsia="Times New Roman" w:cs="Segoe UI"/>
      <w:sz w:val="18"/>
      <w:szCs w:val="18"/>
      <w:lang w:eastAsia="ru-RU"/>
    </w:rPr>
  </w:style>
  <w:style w:type="paragraph" w:customStyle="1" w:styleId="200">
    <w:name w:val="ConsPlusTitle"/>
    <w:qFormat/>
    <w:uiPriority w:val="0"/>
    <w:pPr>
      <w:widowControl w:val="0"/>
      <w:autoSpaceDE w:val="0"/>
      <w:autoSpaceDN w:val="0"/>
      <w:spacing w:after="0" w:line="240" w:lineRule="auto"/>
    </w:pPr>
    <w:rPr>
      <w:rFonts w:ascii="Calibri" w:hAnsi="Calibri" w:eastAsia="Times New Roman" w:cs="Calibri"/>
      <w:b/>
      <w:sz w:val="22"/>
      <w:szCs w:val="20"/>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1FCEE-8430-4E63-93E4-BD319A62DC19}">
  <ds:schemaRefs/>
</ds:datastoreItem>
</file>

<file path=docProps/app.xml><?xml version="1.0" encoding="utf-8"?>
<Properties xmlns="http://schemas.openxmlformats.org/officeDocument/2006/extended-properties" xmlns:vt="http://schemas.openxmlformats.org/officeDocument/2006/docPropsVTypes">
  <Template>Normal</Template>
  <Pages>11</Pages>
  <Words>3295</Words>
  <Characters>22949</Characters>
  <TotalTime>0</TotalTime>
  <ScaleCrop>false</ScaleCrop>
  <LinksUpToDate>false</LinksUpToDate>
  <CharactersWithSpaces>26210</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2024-01-22T14:59:00Z</dcterms:created>
  <dc:creator>Сергеев Алексей Борисович</dc:creator>
  <cp:lastModifiedBy>ГБДОУ №36</cp:lastModifiedBy>
  <dcterms:modified xsi:type="dcterms:W3CDTF">2026-05-15T09:37:49Z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5686BB36156245C29D97C32FC32ACEA0_13</vt:lpwstr>
  </property>
  <property fmtid="{D5CDD505-2E9C-101B-9397-08002B2CF9AE}" pid="4" name="KSOTemplateDocerSaveRecord">
    <vt:lpwstr>eyJoZGlkIjoiYWJlMDU2MWNmMmY5MWQwNDEyNzJlMmRiN2UxMjBkZDQifQ==</vt:lpwstr>
  </property>
</Properties>
</file>