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69F7D">
      <w:pPr>
        <w:jc w:val="center"/>
      </w:pPr>
      <w:r>
        <w:rPr>
          <w:b/>
        </w:rPr>
        <w:t xml:space="preserve">КОНТРАКТ № </w:t>
      </w:r>
      <w:r>
        <w:t>_______</w:t>
      </w:r>
    </w:p>
    <w:p w14:paraId="7CB75C59">
      <w:pPr>
        <w:jc w:val="center"/>
        <w:rPr>
          <w:b/>
        </w:rPr>
      </w:pPr>
    </w:p>
    <w:p w14:paraId="7461890C">
      <w:pPr>
        <w:jc w:val="both"/>
      </w:pPr>
      <w:r>
        <w:t>г. Санкт- Петербург                                                                               от «___»_____________г.</w:t>
      </w:r>
    </w:p>
    <w:p w14:paraId="5FECB285">
      <w:pPr>
        <w:jc w:val="both"/>
      </w:pPr>
    </w:p>
    <w:p w14:paraId="389C32FB">
      <w:pPr>
        <w:ind w:firstLine="600" w:firstLineChars="250"/>
        <w:jc w:val="both"/>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MERGEFIELD Наименование_организации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Государственное бюджетное </w:t>
      </w:r>
      <w:r>
        <w:rPr>
          <w:color w:val="000000" w:themeColor="text1"/>
          <w:lang w:val="ru-RU"/>
          <w14:textFill>
            <w14:solidFill>
              <w14:schemeClr w14:val="tx1"/>
            </w14:solidFill>
          </w14:textFill>
        </w:rPr>
        <w:t>дошкольное</w:t>
      </w:r>
      <w:r>
        <w:rPr>
          <w:rFonts w:hint="default"/>
          <w:color w:val="000000" w:themeColor="text1"/>
          <w:lang w:val="ru-RU"/>
          <w14:textFill>
            <w14:solidFill>
              <w14:schemeClr w14:val="tx1"/>
            </w14:solidFill>
          </w14:textFill>
        </w:rPr>
        <w:t xml:space="preserve"> о</w:t>
      </w:r>
      <w:r>
        <w:rPr>
          <w:color w:val="000000" w:themeColor="text1"/>
          <w14:textFill>
            <w14:solidFill>
              <w14:schemeClr w14:val="tx1"/>
            </w14:solidFill>
          </w14:textFill>
        </w:rPr>
        <w:t xml:space="preserve">образовательное учреждение </w:t>
      </w:r>
      <w:r>
        <w:rPr>
          <w:color w:val="000000" w:themeColor="text1"/>
          <w:lang w:val="ru-RU"/>
          <w14:textFill>
            <w14:solidFill>
              <w14:schemeClr w14:val="tx1"/>
            </w14:solidFill>
          </w14:textFill>
        </w:rPr>
        <w:t>детский</w:t>
      </w:r>
      <w:r>
        <w:rPr>
          <w:rFonts w:hint="default"/>
          <w:color w:val="000000" w:themeColor="text1"/>
          <w:lang w:val="ru-RU"/>
          <w14:textFill>
            <w14:solidFill>
              <w14:schemeClr w14:val="tx1"/>
            </w14:solidFill>
          </w14:textFill>
        </w:rPr>
        <w:t xml:space="preserve"> сад </w:t>
      </w:r>
      <w:r>
        <w:rPr>
          <w:color w:val="000000" w:themeColor="text1"/>
          <w14:textFill>
            <w14:solidFill>
              <w14:schemeClr w14:val="tx1"/>
            </w14:solidFill>
          </w14:textFill>
        </w:rPr>
        <w:t xml:space="preserve">№ </w:t>
      </w:r>
      <w:r>
        <w:rPr>
          <w:rFonts w:hint="default"/>
          <w:color w:val="000000" w:themeColor="text1"/>
          <w:lang w:val="ru-RU"/>
          <w14:textFill>
            <w14:solidFill>
              <w14:schemeClr w14:val="tx1"/>
            </w14:solidFill>
          </w14:textFill>
        </w:rPr>
        <w:t xml:space="preserve">36 </w:t>
      </w:r>
      <w:r>
        <w:rPr>
          <w:color w:val="000000" w:themeColor="text1"/>
          <w14:textFill>
            <w14:solidFill>
              <w14:schemeClr w14:val="tx1"/>
            </w14:solidFill>
          </w14:textFill>
        </w:rPr>
        <w:t>Невского района Санкт-Петербурга Невского района Санкт-Петербурга</w: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именуемое в дальнейшем «Заказчик», в лице </w:t>
      </w:r>
      <w:r>
        <w:rPr>
          <w:color w:val="000000" w:themeColor="text1"/>
          <w:lang w:val="ru-RU"/>
          <w14:textFill>
            <w14:solidFill>
              <w14:schemeClr w14:val="tx1"/>
            </w14:solidFill>
          </w14:textFill>
        </w:rPr>
        <w:t>заведующего</w:t>
      </w:r>
      <w:r>
        <w:rPr>
          <w:rFonts w:hint="default"/>
          <w:color w:val="000000" w:themeColor="text1"/>
          <w:lang w:val="ru-RU"/>
          <w14:textFill>
            <w14:solidFill>
              <w14:schemeClr w14:val="tx1"/>
            </w14:solidFill>
          </w14:textFill>
        </w:rPr>
        <w:t xml:space="preserve"> Чепуриной Т.А.</w:t>
      </w:r>
      <w:r>
        <w:rPr>
          <w:color w:val="000000" w:themeColor="text1"/>
          <w14:textFill>
            <w14:solidFill>
              <w14:schemeClr w14:val="tx1"/>
            </w14:solidFill>
          </w14:textFill>
        </w:rPr>
        <w:t xml:space="preserve">, </w:t>
      </w:r>
      <w:r>
        <w:t xml:space="preserve">действующего на основании </w:t>
      </w:r>
      <w:r>
        <w:rPr>
          <w:lang w:val="ru-RU"/>
        </w:rPr>
        <w:t>Устава</w:t>
      </w:r>
      <w: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8EC0D92">
      <w:pPr>
        <w:jc w:val="both"/>
      </w:pPr>
    </w:p>
    <w:p w14:paraId="24835732">
      <w:pPr>
        <w:jc w:val="center"/>
        <w:rPr>
          <w:b/>
        </w:rPr>
      </w:pPr>
      <w:r>
        <w:rPr>
          <w:b/>
        </w:rPr>
        <w:t>1. Предмет контракта</w:t>
      </w:r>
    </w:p>
    <w:p w14:paraId="7B6F4B88">
      <w:pPr>
        <w:ind w:firstLine="708"/>
        <w:jc w:val="both"/>
      </w:pPr>
      <w:r>
        <w:t xml:space="preserve">1.1. Поставщик обязуется </w:t>
      </w:r>
      <w:r>
        <w:rPr>
          <w:lang w:val="ru-RU"/>
        </w:rPr>
        <w:t>передать</w:t>
      </w:r>
      <w:r>
        <w:rPr>
          <w:rFonts w:hint="default"/>
          <w:lang w:val="ru-RU"/>
        </w:rPr>
        <w:t xml:space="preserve"> </w:t>
      </w:r>
      <w:bookmarkStart w:id="0" w:name="_GoBack"/>
      <w:bookmarkEnd w:id="0"/>
      <w:r>
        <w:t xml:space="preserve">Заказчику </w:t>
      </w:r>
      <w:r>
        <w:rPr>
          <w:lang w:val="ru-RU"/>
        </w:rPr>
        <w:t>Товар</w:t>
      </w:r>
      <w:r>
        <w:t xml:space="preserve">, наименование, количество, общая и единичная стоимость которых установлены в Спецификации (приложение </w:t>
      </w:r>
      <w:r>
        <w:br w:type="textWrapping"/>
      </w:r>
      <w:r>
        <w:t>№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p>
    <w:p w14:paraId="03720B8E">
      <w:pPr>
        <w:jc w:val="both"/>
      </w:pPr>
    </w:p>
    <w:p w14:paraId="089643BB">
      <w:pPr>
        <w:jc w:val="center"/>
        <w:rPr>
          <w:b/>
        </w:rPr>
      </w:pPr>
      <w:r>
        <w:rPr>
          <w:b/>
        </w:rPr>
        <w:t>2. Цена Контракта и порядок расчетов</w:t>
      </w:r>
    </w:p>
    <w:p w14:paraId="0FB4EB2D">
      <w:pPr>
        <w:ind w:firstLine="708"/>
        <w:jc w:val="both"/>
      </w:pPr>
      <w:r>
        <w:t>2.1. 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5EB416A1">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14:paraId="54327D37">
      <w:pPr>
        <w:ind w:firstLine="708"/>
        <w:jc w:val="both"/>
      </w:pPr>
      <w:r>
        <w:t>2.3. Оплата производится Заказчиком единовременным платежом на расчетный счет Поставщика, указанный в Контракте, по факту оказания Услуг Заказчику в течение 10 (десяти) рабочих дней с даты подписания Заказчиком документа о приемке, при отсутствии у Заказчика претензий по количеству и качеству оказанных Услуг. Датой оплаты является дата списания денежных средств со счета Заказчика.</w:t>
      </w:r>
    </w:p>
    <w:p w14:paraId="48A041B0">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38E18D4A">
      <w:pPr>
        <w:jc w:val="both"/>
      </w:pPr>
    </w:p>
    <w:p w14:paraId="6B0996FB">
      <w:pPr>
        <w:jc w:val="center"/>
        <w:rPr>
          <w:b/>
        </w:rPr>
      </w:pPr>
      <w:r>
        <w:rPr>
          <w:b/>
        </w:rPr>
        <w:t>3. Порядок оказания Услуг</w:t>
      </w:r>
    </w:p>
    <w:p w14:paraId="666833F2">
      <w:r>
        <w:t xml:space="preserve">             3.1 Требования к качеству Услуг и иные требования содержатся в Техническом задании, являющемся неотъемлемой частью настоящего Контракта (Приложение № 2 к Контракту). </w:t>
      </w:r>
    </w:p>
    <w:p w14:paraId="5B77D3B5">
      <w:pPr>
        <w:ind w:firstLine="708"/>
        <w:jc w:val="both"/>
      </w:pPr>
      <w:r>
        <w:t>3.2. Оказание услуг осуществляется по адресу, указанному в Техническом задании (приложение № 2 к Контракту).</w:t>
      </w:r>
    </w:p>
    <w:p w14:paraId="0CEE3907">
      <w:pPr>
        <w:ind w:firstLine="708"/>
        <w:jc w:val="both"/>
      </w:pPr>
      <w:r>
        <w:t>3.3. В день оказания Услуг Поставщик должен передать Заказчику сопроводительные документы, относящиеся к оказываемым Услугам, указанные в Техническом задании (приложение № 2 к Контракту). В случае отсутствия вышеназванных документов Заказчик вправе отказаться от приемки Услуг. Услуги будут считаться не оказанными.</w:t>
      </w:r>
    </w:p>
    <w:p w14:paraId="431B5343">
      <w:pPr>
        <w:ind w:firstLine="708"/>
        <w:jc w:val="both"/>
      </w:pPr>
      <w:r>
        <w:t xml:space="preserve">3.4. Срок оказания Услуг указывается в Техническом задании (приложение </w:t>
      </w:r>
      <w:r>
        <w:br w:type="textWrapping"/>
      </w:r>
      <w:r>
        <w:t>№ 2 к Контракту).</w:t>
      </w:r>
    </w:p>
    <w:p w14:paraId="2BDE4E1A">
      <w:pPr>
        <w:jc w:val="center"/>
      </w:pPr>
    </w:p>
    <w:p w14:paraId="788635D4">
      <w:pPr>
        <w:jc w:val="center"/>
        <w:rPr>
          <w:b/>
        </w:rPr>
      </w:pPr>
      <w:r>
        <w:rPr>
          <w:b/>
        </w:rPr>
        <w:t>4. Порядок приемки Услуг</w:t>
      </w:r>
    </w:p>
    <w:p w14:paraId="1237CD45">
      <w:pPr>
        <w:ind w:firstLine="708"/>
        <w:jc w:val="both"/>
      </w:pPr>
      <w:r>
        <w:t>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w:t>
      </w:r>
      <w:r>
        <w:rPr>
          <w:rFonts w:hint="default"/>
          <w:lang w:val="ru-RU"/>
        </w:rPr>
        <w:t>,3</w:t>
      </w:r>
      <w:r>
        <w:t xml:space="preserve"> к Контракту).</w:t>
      </w:r>
    </w:p>
    <w:p w14:paraId="00A2047E">
      <w:pPr>
        <w:ind w:firstLine="708"/>
        <w:jc w:val="both"/>
      </w:pPr>
      <w:r>
        <w:t>4.2. Срок приемки указан в Техническом задании (приложение № 2 к Контракту).</w:t>
      </w:r>
    </w:p>
    <w:p w14:paraId="5C331E06">
      <w:pPr>
        <w:ind w:firstLine="708"/>
        <w:jc w:val="both"/>
      </w:pPr>
      <w:r>
        <w:t xml:space="preserve">4.3. В случае несоответствия оказанных Услуг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37341E2">
      <w:pPr>
        <w:ind w:firstLine="708"/>
        <w:jc w:val="both"/>
      </w:pPr>
      <w:r>
        <w:t xml:space="preserve">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49EE3EFC">
      <w:pPr>
        <w:ind w:firstLine="708"/>
        <w:jc w:val="both"/>
      </w:pPr>
      <w:r>
        <w:t>4.5.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FAF7D66">
      <w:pPr>
        <w:ind w:firstLine="708"/>
        <w:jc w:val="both"/>
      </w:pPr>
      <w:r>
        <w:t>4.6. Все расходы, связанные с устранением недостатков, несет Поставщик.</w:t>
      </w:r>
    </w:p>
    <w:p w14:paraId="44F2AA9A">
      <w:pPr>
        <w:jc w:val="both"/>
      </w:pPr>
    </w:p>
    <w:p w14:paraId="1DB32F29">
      <w:pPr>
        <w:jc w:val="center"/>
        <w:rPr>
          <w:b/>
        </w:rPr>
      </w:pPr>
      <w:r>
        <w:rPr>
          <w:b/>
        </w:rPr>
        <w:t>5. Права и обязанности сторон</w:t>
      </w:r>
    </w:p>
    <w:p w14:paraId="4EE5B04F">
      <w:pPr>
        <w:ind w:firstLine="708"/>
        <w:jc w:val="both"/>
      </w:pPr>
      <w:r>
        <w:t>5.1. Заказчик вправе:</w:t>
      </w:r>
    </w:p>
    <w:p w14:paraId="1920491B">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0180BC15">
      <w:pPr>
        <w:ind w:firstLine="708"/>
        <w:jc w:val="both"/>
      </w:pPr>
      <w: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14:paraId="3E92CFE1">
      <w:pPr>
        <w:ind w:firstLine="708"/>
        <w:jc w:val="both"/>
      </w:pPr>
      <w:r>
        <w:t>5.1.3. Запрашивать у Поставщика информацию о ходе исполнения обязательств по Контракту.</w:t>
      </w:r>
    </w:p>
    <w:p w14:paraId="61A5D457">
      <w:pPr>
        <w:ind w:firstLine="708"/>
        <w:jc w:val="both"/>
      </w:pPr>
      <w: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14:paraId="31449376">
      <w:pPr>
        <w:ind w:firstLine="708"/>
        <w:jc w:val="both"/>
      </w:pPr>
      <w:r>
        <w:t>5.1.5. Отказаться от приемки Услуг в случаях, предусмотренных Контрактом.</w:t>
      </w:r>
    </w:p>
    <w:p w14:paraId="09879F03">
      <w:pPr>
        <w:ind w:firstLine="708"/>
        <w:jc w:val="both"/>
      </w:pPr>
      <w:r>
        <w:t>5.1.6. В одностороннем порядке отказаться от исполнения Контракта в соответствии с Законом о контрактной системе.</w:t>
      </w:r>
    </w:p>
    <w:p w14:paraId="2E17D681">
      <w:pPr>
        <w:ind w:firstLine="708"/>
        <w:jc w:val="both"/>
      </w:pPr>
      <w:r>
        <w:t>5.2. Заказчик обязан:</w:t>
      </w:r>
    </w:p>
    <w:p w14:paraId="495AA6EB">
      <w:pPr>
        <w:ind w:firstLine="708"/>
        <w:jc w:val="both"/>
      </w:pPr>
      <w:r>
        <w:t>5.2.1. Своевременно принять оказанные Услуги в соответствии с Контрактом, включая проведение экспертизы оказанных Услуг.</w:t>
      </w:r>
    </w:p>
    <w:p w14:paraId="13582634">
      <w:pPr>
        <w:ind w:firstLine="708"/>
        <w:jc w:val="both"/>
      </w:pPr>
      <w:r>
        <w:t xml:space="preserve">5.2.2. Своевременно оплатить оказанные Услуги надлежащего качества </w:t>
      </w:r>
      <w:r>
        <w:br w:type="textWrapping"/>
      </w:r>
      <w:r>
        <w:t>в соответствии с Контрактом.</w:t>
      </w:r>
    </w:p>
    <w:p w14:paraId="041D074C">
      <w:pPr>
        <w:ind w:firstLine="708"/>
        <w:jc w:val="both"/>
      </w:pPr>
      <w:r>
        <w:t>5.3. Поставщик вправе:</w:t>
      </w:r>
    </w:p>
    <w:p w14:paraId="5176CE8C">
      <w:pPr>
        <w:ind w:firstLine="708"/>
        <w:jc w:val="both"/>
      </w:pPr>
      <w:r>
        <w:t xml:space="preserve">5.3.1. Требовать своевременной приемки и оплаты за оказанные Услуги </w:t>
      </w:r>
      <w:r>
        <w:br w:type="textWrapping"/>
      </w:r>
      <w:r>
        <w:t>в соответствии с условиями Контракта.</w:t>
      </w:r>
    </w:p>
    <w:p w14:paraId="21139CCB">
      <w:pPr>
        <w:ind w:firstLine="708"/>
        <w:jc w:val="both"/>
      </w:pPr>
      <w:r>
        <w:t xml:space="preserve">5.3.2. Запрашивать у Заказчика разъяснения и уточнения относительно Услуг </w:t>
      </w:r>
      <w:r>
        <w:br w:type="textWrapping"/>
      </w:r>
      <w:r>
        <w:t>в рамках Контракта.</w:t>
      </w:r>
    </w:p>
    <w:p w14:paraId="711500DB">
      <w:pPr>
        <w:ind w:firstLine="708"/>
        <w:jc w:val="both"/>
      </w:pPr>
      <w:r>
        <w:t xml:space="preserve">5.3.3. Получать от Заказчика содействие при оказании Услуг в соответствии </w:t>
      </w:r>
      <w:r>
        <w:br w:type="textWrapping"/>
      </w:r>
      <w:r>
        <w:t>с условиями Контракта.</w:t>
      </w:r>
    </w:p>
    <w:p w14:paraId="66AACA1C">
      <w:pPr>
        <w:ind w:firstLine="708"/>
        <w:jc w:val="both"/>
      </w:pPr>
      <w:r>
        <w:t>5.3.4. Досрочно исполнить обязательства по Контракту с согласия Заказчика.</w:t>
      </w:r>
    </w:p>
    <w:p w14:paraId="67A86081">
      <w:pPr>
        <w:ind w:firstLine="708"/>
        <w:jc w:val="both"/>
      </w:pPr>
      <w:r>
        <w:t>5.4. Поставщик обязан:</w:t>
      </w:r>
    </w:p>
    <w:p w14:paraId="5B0F1E0D">
      <w:pPr>
        <w:ind w:firstLine="708"/>
        <w:jc w:val="both"/>
      </w:pPr>
      <w:r>
        <w:t>5.4.1. Своевременно и надлежащим образом исполнять обязательства по оказанию Услуг в соответствии с условиями Контракта.</w:t>
      </w:r>
    </w:p>
    <w:p w14:paraId="6B75E9A0">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9DF09A9">
      <w:pPr>
        <w:ind w:firstLine="708"/>
        <w:jc w:val="both"/>
      </w:pPr>
      <w:r>
        <w:t>5.4.3. Обеспечить устранение недостатков, выявленных при приемке Заказчиком Услуг, за свой счет.</w:t>
      </w:r>
    </w:p>
    <w:p w14:paraId="5FA0E411">
      <w:pPr>
        <w:ind w:firstLine="708"/>
        <w:jc w:val="both"/>
      </w:pPr>
      <w:r>
        <w:t xml:space="preserve">5.4.4. Приостановить оказание Услуг в случае обнаружения не зависящих </w:t>
      </w:r>
      <w:r>
        <w:br w:type="textWrapping"/>
      </w:r>
      <w: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4293D9EC">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A3E800F">
      <w:pPr>
        <w:ind w:firstLine="708"/>
        <w:jc w:val="both"/>
      </w:pPr>
      <w:r>
        <w:t>5.5. Поставщик гарантирует, что на момент заключения Контракта:</w:t>
      </w:r>
    </w:p>
    <w:p w14:paraId="263A3F54">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календарный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4D100752">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0A6650C">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035E613F">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7D6A5C3">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F8886E5">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90F8492">
      <w:pPr>
        <w:ind w:firstLine="708"/>
        <w:jc w:val="both"/>
      </w:pPr>
      <w:r>
        <w:t xml:space="preserve">5.5.7. </w:t>
      </w:r>
      <w:r>
        <w:rPr>
          <w:rFonts w:eastAsiaTheme="minorHAnsi"/>
          <w:lang w:eastAsia="en-US"/>
        </w:rPr>
        <w:t>Поставщик не является иностранным агентом.</w:t>
      </w:r>
    </w:p>
    <w:p w14:paraId="194B7BC5">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0CE802FF">
      <w:pPr>
        <w:ind w:firstLine="708"/>
        <w:jc w:val="both"/>
      </w:pPr>
    </w:p>
    <w:p w14:paraId="2A51B524">
      <w:pPr>
        <w:jc w:val="center"/>
        <w:rPr>
          <w:b/>
        </w:rPr>
      </w:pPr>
      <w:r>
        <w:rPr>
          <w:b/>
        </w:rPr>
        <w:t>6. Гарантии</w:t>
      </w:r>
    </w:p>
    <w:p w14:paraId="3D03B13B">
      <w:pPr>
        <w:pStyle w:val="196"/>
        <w:keepNext w:val="0"/>
        <w:numPr>
          <w:ilvl w:val="0"/>
          <w:numId w:val="0"/>
        </w:numPr>
        <w:tabs>
          <w:tab w:val="left" w:pos="851"/>
          <w:tab w:val="clear" w:pos="1134"/>
        </w:tabs>
        <w:spacing w:before="0"/>
        <w:ind w:firstLine="709"/>
        <w:outlineLvl w:val="0"/>
        <w:rPr>
          <w:szCs w:val="24"/>
        </w:rPr>
      </w:pPr>
      <w:r>
        <w:t>6.1.</w:t>
      </w:r>
      <w:r>
        <w:rPr>
          <w:szCs w:val="24"/>
        </w:rPr>
        <w:t xml:space="preserve"> Гарантийный срок на оказанные услуги: не менее 12 месяцев с момента подписания Акта сдачи-приемки оказанных услуг.</w:t>
      </w:r>
    </w:p>
    <w:p w14:paraId="198B946B">
      <w:pPr>
        <w:ind w:firstLine="708"/>
        <w:jc w:val="both"/>
        <w:rPr>
          <w:b/>
        </w:rPr>
      </w:pPr>
    </w:p>
    <w:p w14:paraId="42EC513E">
      <w:pPr>
        <w:jc w:val="center"/>
        <w:rPr>
          <w:b/>
        </w:rPr>
      </w:pPr>
      <w:r>
        <w:rPr>
          <w:b/>
        </w:rPr>
        <w:t>7. Ответственность сторон</w:t>
      </w:r>
    </w:p>
    <w:p w14:paraId="6C90E8F7">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8CE18B3">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D8F088A">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26D9AA">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7FB20A6">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9D750F">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14:paraId="52652869">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8BE4BB3">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646CD98E">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D087969">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674C178">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BEDDFF1">
      <w:pPr>
        <w:ind w:firstLine="708"/>
        <w:jc w:val="both"/>
      </w:pPr>
    </w:p>
    <w:p w14:paraId="1815D323">
      <w:pPr>
        <w:jc w:val="center"/>
        <w:rPr>
          <w:b/>
        </w:rPr>
      </w:pPr>
      <w:r>
        <w:rPr>
          <w:b/>
        </w:rPr>
        <w:t>8. Срок действия, порядок изменения и расторжения Контракта.</w:t>
      </w:r>
    </w:p>
    <w:p w14:paraId="5A6FD8D2">
      <w:pPr>
        <w:ind w:firstLine="708"/>
        <w:jc w:val="both"/>
      </w:pPr>
      <w:r>
        <w:t>8.1. Контракт вступает в силу со дня его подписания Сторонами.</w:t>
      </w:r>
    </w:p>
    <w:p w14:paraId="707D7581">
      <w:pPr>
        <w:ind w:firstLine="708"/>
        <w:jc w:val="both"/>
      </w:pPr>
      <w:r>
        <w:t xml:space="preserve">8.2. Контракт действует по </w:t>
      </w:r>
      <w:r>
        <w:rPr>
          <w:color w:val="FF0000"/>
        </w:rPr>
        <w:t>31.12.202</w:t>
      </w:r>
      <w:r>
        <w:rPr>
          <w:rFonts w:hint="default"/>
          <w:color w:val="FF0000"/>
          <w:lang w:val="ru-RU"/>
        </w:rPr>
        <w:t>6</w:t>
      </w:r>
      <w:r>
        <w:rPr>
          <w:color w:val="FF0000"/>
        </w:rPr>
        <w:t>г</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A9282AA">
      <w:pPr>
        <w:ind w:firstLine="708"/>
        <w:jc w:val="both"/>
      </w:pPr>
      <w:r>
        <w:t>8.3. Контракт может быть расторгнут:</w:t>
      </w:r>
    </w:p>
    <w:p w14:paraId="00E081AB">
      <w:pPr>
        <w:jc w:val="both"/>
      </w:pPr>
      <w:r>
        <w:t>- по соглашению сторон;</w:t>
      </w:r>
    </w:p>
    <w:p w14:paraId="4CFFCF1A">
      <w:pPr>
        <w:jc w:val="both"/>
      </w:pPr>
      <w:r>
        <w:t>- по решению суда;</w:t>
      </w:r>
    </w:p>
    <w:p w14:paraId="2F42E928">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7CBA1612">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138C2A3D">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0E162BEB">
      <w:pPr>
        <w:ind w:firstLine="708"/>
        <w:jc w:val="both"/>
      </w:pPr>
      <w:r>
        <w:t>8.6.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14:paraId="26110060">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F8C4E7E">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9A24DC">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D7FC3BD">
      <w:pPr>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F03C5C7">
      <w:pPr>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AB1095">
      <w:pPr>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72542E5">
      <w:pPr>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7763F5D">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E1CF6A0">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7DEDF5B">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773058">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D2FE0F8">
      <w:pPr>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68A00F9">
      <w:pPr>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EF15237">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992834D">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D73C71C">
      <w:pPr>
        <w:jc w:val="center"/>
        <w:rPr>
          <w:b/>
        </w:rPr>
      </w:pPr>
    </w:p>
    <w:p w14:paraId="1B069784">
      <w:pPr>
        <w:jc w:val="center"/>
        <w:rPr>
          <w:b/>
        </w:rPr>
      </w:pPr>
      <w:r>
        <w:rPr>
          <w:b/>
        </w:rPr>
        <w:t>9. Порядок урегулирования споров</w:t>
      </w:r>
    </w:p>
    <w:p w14:paraId="3861118B">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A17F17">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DFEB77F">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B88ECFA">
      <w:pPr>
        <w:jc w:val="center"/>
        <w:rPr>
          <w:b/>
        </w:rPr>
      </w:pPr>
    </w:p>
    <w:p w14:paraId="479E9D81">
      <w:pPr>
        <w:jc w:val="center"/>
        <w:rPr>
          <w:b/>
        </w:rPr>
      </w:pPr>
      <w:r>
        <w:rPr>
          <w:b/>
        </w:rPr>
        <w:t>10. Прочие условия</w:t>
      </w:r>
    </w:p>
    <w:p w14:paraId="1F139848">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F8ECCAA">
      <w:pPr>
        <w:ind w:firstLine="708"/>
        <w:jc w:val="both"/>
      </w:pPr>
      <w:r>
        <w:t>10.2. Во всем, что не предусмотрено Контрактом, Стороны руководствуются законодательством Российской Федерации.</w:t>
      </w:r>
    </w:p>
    <w:p w14:paraId="7C2ACE45">
      <w:pPr>
        <w:ind w:firstLine="708"/>
        <w:jc w:val="both"/>
      </w:pPr>
    </w:p>
    <w:p w14:paraId="37E8F9A3">
      <w:pPr>
        <w:jc w:val="center"/>
        <w:rPr>
          <w:b/>
        </w:rPr>
      </w:pPr>
      <w:r>
        <w:rPr>
          <w:b/>
        </w:rPr>
        <w:t>11. Приложения</w:t>
      </w:r>
    </w:p>
    <w:p w14:paraId="7F4FB04D">
      <w:pPr>
        <w:ind w:firstLine="708"/>
        <w:jc w:val="both"/>
      </w:pPr>
      <w:r>
        <w:t>11.1 Неотъемлемой частью Контракта являются:</w:t>
      </w:r>
    </w:p>
    <w:p w14:paraId="40609169">
      <w:pPr>
        <w:ind w:left="708" w:firstLine="708"/>
      </w:pPr>
      <w:r>
        <w:t>Приложение № 1 «Спецификация»;</w:t>
      </w:r>
    </w:p>
    <w:p w14:paraId="47055BC2">
      <w:pPr>
        <w:ind w:left="708" w:firstLine="708"/>
      </w:pPr>
      <w:r>
        <w:t>Приложение № 2 «Техническое задание»</w:t>
      </w:r>
    </w:p>
    <w:p w14:paraId="625F1C1B">
      <w:pPr>
        <w:ind w:left="708" w:firstLine="708"/>
        <w:rPr>
          <w:rFonts w:hint="default" w:ascii="Times New Roman" w:hAnsi="Times New Roman" w:cs="Times New Roman"/>
          <w:b w:val="0"/>
          <w:bCs w:val="0"/>
          <w:lang w:val="ru-RU"/>
        </w:rPr>
      </w:pPr>
      <w:r>
        <w:rPr>
          <w:b w:val="0"/>
          <w:bCs w:val="0"/>
          <w:lang w:val="ru-RU"/>
        </w:rPr>
        <w:t>Приложение</w:t>
      </w:r>
      <w:r>
        <w:rPr>
          <w:rFonts w:hint="default"/>
          <w:b w:val="0"/>
          <w:bCs w:val="0"/>
          <w:lang w:val="ru-RU"/>
        </w:rPr>
        <w:t xml:space="preserve"> № 3 «Форма акта № </w:t>
      </w:r>
      <w:r>
        <w:rPr>
          <w:rFonts w:ascii="Times New Roman" w:hAnsi="Times New Roman" w:cs="Times New Roman"/>
          <w:b w:val="0"/>
          <w:bCs w:val="0"/>
        </w:rPr>
        <w:t>0510452</w:t>
      </w:r>
      <w:r>
        <w:rPr>
          <w:rFonts w:hint="default" w:ascii="Times New Roman" w:hAnsi="Times New Roman" w:cs="Times New Roman"/>
          <w:b w:val="0"/>
          <w:bCs w:val="0"/>
          <w:lang w:val="ru-RU"/>
        </w:rPr>
        <w:t>»</w:t>
      </w:r>
    </w:p>
    <w:p w14:paraId="4B8A7AAE">
      <w:pPr>
        <w:ind w:left="708" w:firstLine="708"/>
        <w:rPr>
          <w:rFonts w:hint="default" w:ascii="Times New Roman" w:hAnsi="Times New Roman" w:cs="Times New Roman"/>
          <w:b w:val="0"/>
          <w:bCs/>
          <w:lang w:val="ru-RU"/>
        </w:rPr>
      </w:pPr>
    </w:p>
    <w:p w14:paraId="563A5562">
      <w:pPr>
        <w:ind w:left="708" w:firstLine="708"/>
        <w:rPr>
          <w:b/>
        </w:rPr>
      </w:pPr>
      <w:r>
        <w:rPr>
          <w:b/>
        </w:rPr>
        <w:t>12. Реквизиты и подписи сторон</w:t>
      </w:r>
    </w:p>
    <w:p w14:paraId="55E51D3D">
      <w:pPr>
        <w:jc w:val="center"/>
        <w:rPr>
          <w:b/>
        </w:rPr>
      </w:pPr>
    </w:p>
    <w:tbl>
      <w:tblPr>
        <w:tblStyle w:val="38"/>
        <w:tblW w:w="94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15"/>
        <w:gridCol w:w="4673"/>
      </w:tblGrid>
      <w:tr w14:paraId="2DCC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E424BC6">
            <w:pPr>
              <w:jc w:val="both"/>
              <w:rPr>
                <w:b/>
              </w:rPr>
            </w:pP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BCD1070">
            <w:pPr>
              <w:jc w:val="both"/>
              <w:rPr>
                <w:b/>
              </w:rPr>
            </w:pPr>
          </w:p>
        </w:tc>
      </w:tr>
    </w:tbl>
    <w:tbl>
      <w:tblPr>
        <w:tblStyle w:val="12"/>
        <w:tblW w:w="9488" w:type="dxa"/>
        <w:tblInd w:w="0" w:type="dxa"/>
        <w:tblLayout w:type="autofit"/>
        <w:tblCellMar>
          <w:top w:w="0" w:type="dxa"/>
          <w:left w:w="108" w:type="dxa"/>
          <w:bottom w:w="0" w:type="dxa"/>
          <w:right w:w="108" w:type="dxa"/>
        </w:tblCellMar>
      </w:tblPr>
      <w:tblGrid>
        <w:gridCol w:w="4815"/>
        <w:gridCol w:w="4673"/>
      </w:tblGrid>
      <w:tr w14:paraId="7739B150">
        <w:tblPrEx>
          <w:tblCellMar>
            <w:top w:w="0" w:type="dxa"/>
            <w:left w:w="108" w:type="dxa"/>
            <w:bottom w:w="0" w:type="dxa"/>
            <w:right w:w="108" w:type="dxa"/>
          </w:tblCellMar>
        </w:tblPrEx>
        <w:trPr>
          <w:trHeight w:val="4424" w:hRule="atLeast"/>
        </w:trPr>
        <w:tc>
          <w:tcPr>
            <w:tcW w:w="4815" w:type="dxa"/>
          </w:tcPr>
          <w:p w14:paraId="2259446C">
            <w:pPr>
              <w:rPr>
                <w:sz w:val="22"/>
                <w:szCs w:val="22"/>
              </w:rPr>
            </w:pPr>
            <w:r>
              <w:rPr>
                <w:b/>
                <w:sz w:val="22"/>
                <w:szCs w:val="22"/>
              </w:rPr>
              <w:t>Заказчик:</w:t>
            </w:r>
            <w:r>
              <w:rPr>
                <w:sz w:val="22"/>
                <w:szCs w:val="22"/>
              </w:rPr>
              <w:t xml:space="preserve"> </w:t>
            </w:r>
          </w:p>
          <w:p w14:paraId="586C84ED">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4673" w:type="dxa"/>
          </w:tcPr>
          <w:p w14:paraId="46FA03CE">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12DF480">
            <w:pPr>
              <w:autoSpaceDE w:val="0"/>
              <w:autoSpaceDN w:val="0"/>
              <w:adjustRightInd w:val="0"/>
              <w:jc w:val="both"/>
              <w:rPr>
                <w:rFonts w:ascii="Courier New" w:hAnsi="Courier New" w:eastAsia="Calibri" w:cs="Courier New"/>
                <w:bCs/>
                <w:sz w:val="22"/>
                <w:szCs w:val="22"/>
                <w:lang w:eastAsia="en-US"/>
              </w:rPr>
            </w:pPr>
          </w:p>
        </w:tc>
      </w:tr>
    </w:tbl>
    <w:p w14:paraId="1A7A4EEF">
      <w:pPr>
        <w:spacing w:after="160" w:line="259" w:lineRule="auto"/>
      </w:pPr>
      <w:r>
        <w:rPr/>
        <w:br w:type="page" w:clear="all"/>
      </w:r>
    </w:p>
    <w:p w14:paraId="09DD4286">
      <w:pPr>
        <w:pageBreakBefore/>
        <w:ind w:right="261"/>
        <w:jc w:val="right"/>
      </w:pPr>
      <w:r>
        <w:t xml:space="preserve">Приложение № </w:t>
      </w:r>
      <w:r>
        <w:rPr>
          <w:rFonts w:hint="default"/>
          <w:lang w:val="ru-RU"/>
        </w:rPr>
        <w:t>1</w:t>
      </w:r>
      <w:r>
        <w:t xml:space="preserve"> к Контракту</w:t>
      </w:r>
    </w:p>
    <w:p w14:paraId="084DBC9D">
      <w:pPr>
        <w:ind w:right="261"/>
        <w:jc w:val="right"/>
        <w:rPr>
          <w:sz w:val="26"/>
          <w:szCs w:val="26"/>
        </w:rPr>
      </w:pPr>
      <w:r>
        <w:rPr>
          <w:rFonts w:ascii="Times New Roman" w:hAnsi="Times New Roman" w:cs="Times New Roman"/>
          <w:sz w:val="24"/>
          <w:szCs w:val="24"/>
        </w:rPr>
        <w:t xml:space="preserve"> от «___»____________202</w:t>
      </w:r>
      <w:r>
        <w:rPr>
          <w:rFonts w:hint="default"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r>
        <w:t xml:space="preserve"> </w:t>
      </w:r>
    </w:p>
    <w:p w14:paraId="06B6EA60">
      <w:pPr>
        <w:spacing w:line="340" w:lineRule="exact"/>
        <w:ind w:right="261"/>
        <w:jc w:val="center"/>
        <w:outlineLvl w:val="0"/>
        <w:rPr>
          <w:b/>
          <w:bCs/>
        </w:rPr>
      </w:pPr>
    </w:p>
    <w:p w14:paraId="64F62973">
      <w:pPr>
        <w:spacing w:line="340" w:lineRule="exact"/>
        <w:ind w:right="261"/>
        <w:jc w:val="center"/>
        <w:outlineLvl w:val="0"/>
        <w:rPr>
          <w:b/>
          <w:bCs/>
        </w:rPr>
      </w:pPr>
    </w:p>
    <w:p w14:paraId="1BFA455B">
      <w:pPr>
        <w:spacing w:line="340" w:lineRule="exact"/>
        <w:ind w:right="261"/>
        <w:jc w:val="center"/>
        <w:outlineLvl w:val="0"/>
        <w:rPr>
          <w:b/>
          <w:bCs/>
        </w:rPr>
      </w:pPr>
    </w:p>
    <w:p w14:paraId="3231E97B">
      <w:pPr>
        <w:spacing w:line="340" w:lineRule="exact"/>
        <w:ind w:right="261"/>
        <w:jc w:val="center"/>
        <w:outlineLvl w:val="0"/>
        <w:rPr>
          <w:b/>
          <w:bCs/>
        </w:rPr>
      </w:pPr>
    </w:p>
    <w:p w14:paraId="4283E0A7">
      <w:pPr>
        <w:spacing w:line="340" w:lineRule="exact"/>
        <w:ind w:right="261"/>
        <w:jc w:val="center"/>
        <w:outlineLvl w:val="0"/>
        <w:rPr>
          <w:b/>
          <w:bCs/>
        </w:rPr>
      </w:pPr>
    </w:p>
    <w:p w14:paraId="324A1761">
      <w:pPr>
        <w:autoSpaceDE w:val="0"/>
        <w:autoSpaceDN w:val="0"/>
        <w:adjustRightInd w:val="0"/>
        <w:ind w:right="261"/>
        <w:jc w:val="center"/>
        <w:rPr>
          <w:b/>
          <w:bCs/>
        </w:rPr>
      </w:pPr>
      <w:r>
        <w:rPr>
          <w:b/>
          <w:bCs/>
        </w:rPr>
        <w:t xml:space="preserve">РАСЧЕТ СТОИМОСТИ УСЛУГ </w:t>
      </w:r>
    </w:p>
    <w:p w14:paraId="2C613C89">
      <w:pPr>
        <w:autoSpaceDE w:val="0"/>
        <w:autoSpaceDN w:val="0"/>
        <w:adjustRightInd w:val="0"/>
        <w:ind w:right="261"/>
        <w:jc w:val="center"/>
        <w:rPr>
          <w:b/>
          <w:bCs/>
        </w:rPr>
      </w:pPr>
    </w:p>
    <w:p w14:paraId="783364E2">
      <w:pPr>
        <w:autoSpaceDE w:val="0"/>
        <w:autoSpaceDN w:val="0"/>
        <w:adjustRightInd w:val="0"/>
        <w:ind w:right="261"/>
        <w:jc w:val="center"/>
        <w:rPr>
          <w:b/>
          <w:bCs/>
        </w:rPr>
      </w:pPr>
    </w:p>
    <w:p w14:paraId="5F6FA80C">
      <w:pPr>
        <w:autoSpaceDE w:val="0"/>
        <w:autoSpaceDN w:val="0"/>
        <w:adjustRightInd w:val="0"/>
        <w:ind w:right="261"/>
        <w:jc w:val="center"/>
        <w:rPr>
          <w:b/>
          <w:bCs/>
        </w:rPr>
      </w:pPr>
    </w:p>
    <w:tbl>
      <w:tblPr>
        <w:tblStyle w:val="12"/>
        <w:tblW w:w="5089" w:type="pct"/>
        <w:tblInd w:w="0" w:type="dxa"/>
        <w:tblLayout w:type="fixed"/>
        <w:tblCellMar>
          <w:top w:w="0" w:type="dxa"/>
          <w:left w:w="108" w:type="dxa"/>
          <w:bottom w:w="0" w:type="dxa"/>
          <w:right w:w="108" w:type="dxa"/>
        </w:tblCellMar>
      </w:tblPr>
      <w:tblGrid>
        <w:gridCol w:w="523"/>
        <w:gridCol w:w="3111"/>
        <w:gridCol w:w="1256"/>
        <w:gridCol w:w="1466"/>
        <w:gridCol w:w="1593"/>
        <w:gridCol w:w="1792"/>
      </w:tblGrid>
      <w:tr w14:paraId="241C0302">
        <w:tblPrEx>
          <w:tblCellMar>
            <w:top w:w="0" w:type="dxa"/>
            <w:left w:w="108" w:type="dxa"/>
            <w:bottom w:w="0" w:type="dxa"/>
            <w:right w:w="108" w:type="dxa"/>
          </w:tblCellMar>
        </w:tblPrEx>
        <w:trPr>
          <w:trHeight w:val="81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281A1F7D">
            <w:pPr>
              <w:jc w:val="center"/>
              <w:rPr>
                <w:b/>
                <w:sz w:val="22"/>
              </w:rPr>
            </w:pPr>
            <w:r>
              <w:rPr>
                <w:b/>
                <w:sz w:val="22"/>
              </w:rPr>
              <w:t>№ п/п</w:t>
            </w:r>
          </w:p>
        </w:tc>
        <w:tc>
          <w:tcPr>
            <w:tcW w:w="1596" w:type="pct"/>
            <w:tcBorders>
              <w:top w:val="single" w:color="auto" w:sz="4" w:space="0"/>
              <w:left w:val="single" w:color="auto" w:sz="4" w:space="0"/>
              <w:bottom w:val="single" w:color="auto" w:sz="4" w:space="0"/>
              <w:right w:val="single" w:color="auto" w:sz="4" w:space="0"/>
            </w:tcBorders>
            <w:vAlign w:val="center"/>
          </w:tcPr>
          <w:p w14:paraId="0B6388D0">
            <w:pPr>
              <w:jc w:val="center"/>
              <w:rPr>
                <w:b/>
                <w:sz w:val="22"/>
              </w:rPr>
            </w:pPr>
            <w:r>
              <w:rPr>
                <w:b/>
                <w:sz w:val="22"/>
              </w:rPr>
              <w:t>Наименование товара</w:t>
            </w:r>
          </w:p>
        </w:tc>
        <w:tc>
          <w:tcPr>
            <w:tcW w:w="644" w:type="pct"/>
            <w:tcBorders>
              <w:top w:val="single" w:color="auto" w:sz="4" w:space="0"/>
              <w:left w:val="single" w:color="auto" w:sz="4" w:space="0"/>
              <w:bottom w:val="single" w:color="auto" w:sz="4" w:space="0"/>
              <w:right w:val="single" w:color="auto" w:sz="4" w:space="0"/>
            </w:tcBorders>
            <w:vAlign w:val="center"/>
          </w:tcPr>
          <w:p w14:paraId="04845BCC">
            <w:pPr>
              <w:jc w:val="center"/>
              <w:rPr>
                <w:b/>
                <w:sz w:val="22"/>
              </w:rPr>
            </w:pPr>
            <w:r>
              <w:rPr>
                <w:b/>
                <w:sz w:val="22"/>
              </w:rPr>
              <w:t>Ед. измерения</w:t>
            </w:r>
          </w:p>
        </w:tc>
        <w:tc>
          <w:tcPr>
            <w:tcW w:w="752" w:type="pct"/>
            <w:tcBorders>
              <w:top w:val="single" w:color="auto" w:sz="4" w:space="0"/>
              <w:left w:val="single" w:color="auto" w:sz="4" w:space="0"/>
              <w:bottom w:val="single" w:color="auto" w:sz="4" w:space="0"/>
              <w:right w:val="single" w:color="auto" w:sz="4" w:space="0"/>
            </w:tcBorders>
            <w:vAlign w:val="center"/>
          </w:tcPr>
          <w:p w14:paraId="64C2587B">
            <w:pPr>
              <w:jc w:val="center"/>
              <w:rPr>
                <w:b/>
                <w:sz w:val="22"/>
              </w:rPr>
            </w:pPr>
            <w:r>
              <w:rPr>
                <w:b/>
                <w:sz w:val="22"/>
              </w:rPr>
              <w:t>Кол-во</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5B1336F6">
            <w:pPr>
              <w:ind w:left="33" w:leftChars="0" w:right="261" w:rightChars="0"/>
              <w:jc w:val="center"/>
              <w:rPr>
                <w:rFonts w:hint="default" w:ascii="Times New Roman" w:hAnsi="Times New Roman" w:eastAsia="Times New Roman" w:cs="Times New Roman"/>
                <w:b/>
                <w:sz w:val="24"/>
                <w:szCs w:val="24"/>
                <w:lang w:val="ru-RU" w:eastAsia="ru-RU" w:bidi="ar-SA"/>
              </w:rPr>
            </w:pPr>
            <w:r>
              <w:rPr>
                <w:b/>
              </w:rPr>
              <w:t>Цена за ед. услуги</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96F7658">
            <w:pPr>
              <w:ind w:left="33" w:leftChars="0" w:right="261" w:rightChars="0"/>
              <w:jc w:val="center"/>
              <w:rPr>
                <w:rFonts w:hint="default" w:ascii="Times New Roman" w:hAnsi="Times New Roman" w:eastAsia="Times New Roman" w:cs="Times New Roman"/>
                <w:b/>
                <w:sz w:val="24"/>
                <w:szCs w:val="24"/>
                <w:lang w:val="ru-RU" w:eastAsia="ru-RU" w:bidi="ar-SA"/>
              </w:rPr>
            </w:pPr>
            <w:r>
              <w:rPr>
                <w:b/>
              </w:rPr>
              <w:t xml:space="preserve">Общая стоимость услуг, </w:t>
            </w:r>
          </w:p>
        </w:tc>
      </w:tr>
      <w:tr w14:paraId="62DF0E38">
        <w:tblPrEx>
          <w:tblCellMar>
            <w:top w:w="0" w:type="dxa"/>
            <w:left w:w="108" w:type="dxa"/>
            <w:bottom w:w="0" w:type="dxa"/>
            <w:right w:w="108" w:type="dxa"/>
          </w:tblCellMar>
        </w:tblPrEx>
        <w:trPr>
          <w:trHeight w:val="49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61AC32ED">
            <w:pPr>
              <w:pStyle w:val="185"/>
              <w:numPr>
                <w:ilvl w:val="0"/>
                <w:numId w:val="2"/>
              </w:numPr>
              <w:jc w:val="center"/>
              <w:rPr>
                <w:sz w:val="22"/>
              </w:rPr>
            </w:pPr>
          </w:p>
        </w:tc>
        <w:tc>
          <w:tcPr>
            <w:tcW w:w="1596" w:type="pct"/>
            <w:tcBorders>
              <w:top w:val="single" w:color="auto" w:sz="4" w:space="0"/>
              <w:left w:val="single" w:color="auto" w:sz="4" w:space="0"/>
              <w:bottom w:val="single" w:color="auto" w:sz="4" w:space="0"/>
              <w:right w:val="single" w:color="auto" w:sz="4" w:space="0"/>
            </w:tcBorders>
            <w:vAlign w:val="center"/>
          </w:tcPr>
          <w:p w14:paraId="4F6D4418">
            <w:pPr>
              <w:keepNext w:val="0"/>
              <w:keepLines w:val="0"/>
              <w:widowControl/>
              <w:suppressLineNumbers w:val="0"/>
              <w:jc w:val="left"/>
              <w:rPr>
                <w:rFonts w:hint="default" w:ascii="Calibri" w:hAnsi="Calibri" w:eastAsia="SimSun" w:cs="Calibri"/>
                <w:color w:val="000000"/>
                <w:kern w:val="0"/>
                <w:sz w:val="22"/>
                <w:szCs w:val="22"/>
                <w:lang w:val="ru-RU" w:eastAsia="zh-CN" w:bidi="ar"/>
              </w:rPr>
            </w:pPr>
            <w:r>
              <w:rPr>
                <w:rFonts w:hint="default" w:ascii="Calibri" w:hAnsi="Calibri" w:eastAsia="SimSun" w:cs="Calibri"/>
                <w:color w:val="000000"/>
                <w:kern w:val="0"/>
                <w:sz w:val="22"/>
                <w:szCs w:val="22"/>
                <w:lang w:val="ru-RU" w:eastAsia="zh-CN" w:bidi="ar"/>
              </w:rPr>
              <w:t>Видуар овальный без педали</w:t>
            </w:r>
          </w:p>
          <w:p w14:paraId="4DE7B97D">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Материал: Пластик, Керамика; </w:t>
            </w:r>
          </w:p>
          <w:p w14:paraId="1ECB6236">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Цвет: Белый; </w:t>
            </w:r>
          </w:p>
          <w:p w14:paraId="20376597">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Бачок сливной: Керамика; </w:t>
            </w:r>
          </w:p>
          <w:p w14:paraId="0EED0F99">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Бачок для дезраствора: Керамика; </w:t>
            </w:r>
          </w:p>
          <w:p w14:paraId="7DB18C3A">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Смеситель для видуара: настенный; </w:t>
            </w:r>
          </w:p>
          <w:p w14:paraId="118004A8">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Размер видуара по стене: 430 мм; </w:t>
            </w:r>
          </w:p>
          <w:p w14:paraId="3B7FB003">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Вес: 42 кг; </w:t>
            </w:r>
          </w:p>
          <w:p w14:paraId="0A459F05">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Объём: 0,160 м3; </w:t>
            </w:r>
          </w:p>
          <w:p w14:paraId="7CF78286">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Высота видуара: 450 мм; </w:t>
            </w:r>
          </w:p>
          <w:p w14:paraId="4E6F1803">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Педаль для подъема решетки </w:t>
            </w:r>
          </w:p>
          <w:p w14:paraId="6DE1FBB8">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видуара ногой: Без педали; </w:t>
            </w:r>
          </w:p>
          <w:p w14:paraId="6F8032BA">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Выпуск: Горизонтальный; </w:t>
            </w:r>
          </w:p>
          <w:p w14:paraId="45C5A940">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Вид чаши видуара: Овальный; </w:t>
            </w:r>
          </w:p>
          <w:p w14:paraId="57161297">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Решетка видуара: Пластик; </w:t>
            </w:r>
          </w:p>
          <w:p w14:paraId="682FEEB3">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Вид установки видуара: Напольный; </w:t>
            </w:r>
          </w:p>
          <w:p w14:paraId="0802B512">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Комплектация видуара: Решетка </w:t>
            </w:r>
          </w:p>
          <w:p w14:paraId="0C645300">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пластик, Бачок для дезраствора </w:t>
            </w:r>
          </w:p>
          <w:p w14:paraId="364C01E4">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керамика, Смеситель с </w:t>
            </w:r>
          </w:p>
          <w:p w14:paraId="746DEE98">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хирургической ручкой, Видуар </w:t>
            </w:r>
          </w:p>
          <w:p w14:paraId="30E53F0A">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напольный, Бачок для слива </w:t>
            </w:r>
          </w:p>
          <w:p w14:paraId="21CA6C16">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керамика; </w:t>
            </w:r>
          </w:p>
          <w:p w14:paraId="3716F116">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Размер видуара от стены: 500 мм</w:t>
            </w:r>
          </w:p>
          <w:p w14:paraId="262A87B7">
            <w:pPr>
              <w:jc w:val="center"/>
              <w:rPr>
                <w:rFonts w:hint="default"/>
                <w:sz w:val="22"/>
                <w:lang w:val="ru-RU"/>
              </w:rPr>
            </w:pPr>
          </w:p>
        </w:tc>
        <w:tc>
          <w:tcPr>
            <w:tcW w:w="644" w:type="pct"/>
            <w:tcBorders>
              <w:top w:val="single" w:color="auto" w:sz="4" w:space="0"/>
              <w:left w:val="single" w:color="auto" w:sz="4" w:space="0"/>
              <w:bottom w:val="single" w:color="auto" w:sz="4" w:space="0"/>
              <w:right w:val="single" w:color="auto" w:sz="4" w:space="0"/>
            </w:tcBorders>
            <w:vAlign w:val="center"/>
          </w:tcPr>
          <w:p w14:paraId="48A5343F">
            <w:pPr>
              <w:jc w:val="center"/>
              <w:rPr>
                <w:rFonts w:hint="default"/>
                <w:lang w:val="ru-RU"/>
              </w:rPr>
            </w:pPr>
            <w:r>
              <w:rPr>
                <w:lang w:val="ru-RU"/>
              </w:rPr>
              <w:t>шт</w:t>
            </w:r>
          </w:p>
        </w:tc>
        <w:tc>
          <w:tcPr>
            <w:tcW w:w="752" w:type="pct"/>
            <w:tcBorders>
              <w:top w:val="single" w:color="auto" w:sz="4" w:space="0"/>
              <w:left w:val="single" w:color="auto" w:sz="4" w:space="0"/>
              <w:bottom w:val="single" w:color="auto" w:sz="4" w:space="0"/>
              <w:right w:val="single" w:color="auto" w:sz="4" w:space="0"/>
            </w:tcBorders>
            <w:vAlign w:val="center"/>
          </w:tcPr>
          <w:p w14:paraId="04D23AA5">
            <w:pPr>
              <w:jc w:val="center"/>
              <w:rPr>
                <w:rFonts w:hint="default"/>
                <w:lang w:val="ru-RU"/>
              </w:rPr>
            </w:pPr>
            <w:r>
              <w:rPr>
                <w:rFonts w:hint="default"/>
                <w:lang w:val="ru-RU"/>
              </w:rPr>
              <w:t>1</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47DC5387">
            <w:pPr>
              <w:jc w:val="center"/>
              <w:rPr>
                <w:sz w:val="22"/>
              </w:rPr>
            </w:pPr>
          </w:p>
        </w:tc>
        <w:tc>
          <w:tcPr>
            <w:tcW w:w="919" w:type="pct"/>
            <w:tcBorders>
              <w:top w:val="single" w:color="auto" w:sz="4" w:space="0"/>
              <w:left w:val="single" w:color="auto" w:sz="4" w:space="0"/>
              <w:bottom w:val="single" w:color="auto" w:sz="4" w:space="0"/>
              <w:right w:val="single" w:color="auto" w:sz="4" w:space="0"/>
            </w:tcBorders>
            <w:vAlign w:val="center"/>
          </w:tcPr>
          <w:p w14:paraId="6A7D4578">
            <w:pPr>
              <w:jc w:val="center"/>
              <w:rPr>
                <w:sz w:val="22"/>
              </w:rPr>
            </w:pPr>
          </w:p>
        </w:tc>
      </w:tr>
      <w:tr w14:paraId="6155CF6F">
        <w:tblPrEx>
          <w:tblCellMar>
            <w:top w:w="0" w:type="dxa"/>
            <w:left w:w="108" w:type="dxa"/>
            <w:bottom w:w="0" w:type="dxa"/>
            <w:right w:w="108" w:type="dxa"/>
          </w:tblCellMar>
        </w:tblPrEx>
        <w:trPr>
          <w:trHeight w:val="417" w:hRule="atLeast"/>
        </w:trPr>
        <w:tc>
          <w:tcPr>
            <w:tcW w:w="408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2315D53">
            <w:pPr>
              <w:jc w:val="center"/>
              <w:rPr>
                <w:b/>
                <w:sz w:val="22"/>
              </w:rPr>
            </w:pPr>
            <w:r>
              <w:rPr>
                <w:b/>
                <w:sz w:val="22"/>
              </w:rPr>
              <w:t>ИТОГО</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AD610F8">
            <w:pPr>
              <w:jc w:val="center"/>
              <w:rPr>
                <w:b/>
                <w:sz w:val="22"/>
              </w:rPr>
            </w:pPr>
            <w:r>
              <w:rPr>
                <w:b/>
                <w:sz w:val="22"/>
              </w:rPr>
              <w:t xml:space="preserve">  </w:t>
            </w:r>
          </w:p>
        </w:tc>
      </w:tr>
    </w:tbl>
    <w:p w14:paraId="133F1303">
      <w:pPr>
        <w:autoSpaceDE w:val="0"/>
        <w:autoSpaceDN w:val="0"/>
        <w:adjustRightInd w:val="0"/>
        <w:ind w:right="261"/>
        <w:jc w:val="center"/>
        <w:rPr>
          <w:b/>
          <w:bCs/>
        </w:rPr>
      </w:pPr>
    </w:p>
    <w:p w14:paraId="0FC5BAD5">
      <w:pPr>
        <w:autoSpaceDE w:val="0"/>
        <w:autoSpaceDN w:val="0"/>
        <w:adjustRightInd w:val="0"/>
        <w:ind w:left="-567" w:right="261" w:firstLine="567"/>
        <w:jc w:val="both"/>
        <w:rPr>
          <w:bCs/>
          <w:sz w:val="28"/>
          <w:szCs w:val="28"/>
        </w:rPr>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67EEF694">
        <w:tblPrEx>
          <w:tblCellMar>
            <w:top w:w="0" w:type="dxa"/>
            <w:left w:w="108" w:type="dxa"/>
            <w:bottom w:w="0" w:type="dxa"/>
            <w:right w:w="108" w:type="dxa"/>
          </w:tblCellMar>
        </w:tblPrEx>
        <w:trPr>
          <w:trHeight w:val="4424" w:hRule="atLeast"/>
        </w:trPr>
        <w:tc>
          <w:tcPr>
            <w:tcW w:w="2545" w:type="pct"/>
          </w:tcPr>
          <w:p w14:paraId="59976A41">
            <w:pPr>
              <w:rPr>
                <w:sz w:val="22"/>
                <w:szCs w:val="22"/>
              </w:rPr>
            </w:pPr>
            <w:r>
              <w:rPr>
                <w:b/>
                <w:sz w:val="22"/>
                <w:szCs w:val="22"/>
              </w:rPr>
              <w:t>Заказчик:</w:t>
            </w:r>
            <w:r>
              <w:rPr>
                <w:sz w:val="22"/>
                <w:szCs w:val="22"/>
              </w:rPr>
              <w:t xml:space="preserve"> </w:t>
            </w:r>
          </w:p>
          <w:p w14:paraId="20D425BE">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05B8B39B">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22C12D2E">
            <w:pPr>
              <w:autoSpaceDE w:val="0"/>
              <w:autoSpaceDN w:val="0"/>
              <w:adjustRightInd w:val="0"/>
              <w:jc w:val="both"/>
              <w:rPr>
                <w:rFonts w:ascii="Courier New" w:hAnsi="Courier New" w:eastAsia="Calibri" w:cs="Courier New"/>
                <w:bCs/>
                <w:sz w:val="22"/>
                <w:szCs w:val="22"/>
                <w:lang w:eastAsia="en-US"/>
              </w:rPr>
            </w:pPr>
          </w:p>
        </w:tc>
      </w:tr>
    </w:tbl>
    <w:p w14:paraId="7DCD8EC7">
      <w:pPr>
        <w:ind w:right="261"/>
        <w:rPr>
          <w:sz w:val="26"/>
          <w:szCs w:val="26"/>
        </w:rPr>
      </w:pPr>
    </w:p>
    <w:p w14:paraId="51EB7515">
      <w:pPr>
        <w:ind w:right="261"/>
        <w:rPr>
          <w:sz w:val="26"/>
          <w:szCs w:val="26"/>
        </w:rPr>
      </w:pPr>
    </w:p>
    <w:p w14:paraId="50F78C28">
      <w:pPr>
        <w:ind w:right="261"/>
        <w:rPr>
          <w:sz w:val="26"/>
          <w:szCs w:val="26"/>
        </w:rPr>
      </w:pPr>
    </w:p>
    <w:p w14:paraId="43C8B917">
      <w:pPr>
        <w:pStyle w:val="200"/>
        <w:ind w:firstLine="540"/>
        <w:jc w:val="both"/>
        <w:outlineLvl w:val="2"/>
        <w:rPr>
          <w:sz w:val="26"/>
          <w:szCs w:val="26"/>
        </w:rPr>
      </w:pPr>
    </w:p>
    <w:p w14:paraId="7608A7ED">
      <w:pPr>
        <w:spacing w:after="160" w:line="259" w:lineRule="auto"/>
      </w:pPr>
    </w:p>
    <w:p w14:paraId="052249A3">
      <w:pPr>
        <w:spacing w:after="160" w:line="259" w:lineRule="auto"/>
      </w:pPr>
    </w:p>
    <w:p w14:paraId="23E9BA21">
      <w:pPr>
        <w:spacing w:after="160" w:line="259" w:lineRule="auto"/>
      </w:pPr>
    </w:p>
    <w:p w14:paraId="4B248FFC">
      <w:pPr>
        <w:spacing w:after="160" w:line="259" w:lineRule="auto"/>
      </w:pPr>
    </w:p>
    <w:p w14:paraId="244A8496">
      <w:pPr>
        <w:spacing w:after="160" w:line="259" w:lineRule="auto"/>
      </w:pPr>
    </w:p>
    <w:p w14:paraId="29E6F084">
      <w:pPr>
        <w:spacing w:after="160" w:line="259" w:lineRule="auto"/>
      </w:pPr>
    </w:p>
    <w:p w14:paraId="65DC6C63">
      <w:pPr>
        <w:spacing w:after="160" w:line="259" w:lineRule="auto"/>
      </w:pPr>
    </w:p>
    <w:p w14:paraId="397D0241">
      <w:pPr>
        <w:spacing w:after="160" w:line="259" w:lineRule="auto"/>
      </w:pPr>
    </w:p>
    <w:p w14:paraId="2E467A10">
      <w:pPr>
        <w:spacing w:after="160" w:line="259" w:lineRule="auto"/>
      </w:pPr>
    </w:p>
    <w:p w14:paraId="33C287DF">
      <w:pPr>
        <w:spacing w:after="160" w:line="259" w:lineRule="auto"/>
      </w:pPr>
    </w:p>
    <w:p w14:paraId="36992EB6">
      <w:pPr>
        <w:spacing w:after="160" w:line="259" w:lineRule="auto"/>
      </w:pPr>
    </w:p>
    <w:p w14:paraId="3F369B85">
      <w:pPr>
        <w:spacing w:after="160" w:line="259" w:lineRule="auto"/>
      </w:pPr>
    </w:p>
    <w:p w14:paraId="2F545359">
      <w:pPr>
        <w:spacing w:after="160" w:line="259" w:lineRule="auto"/>
      </w:pPr>
    </w:p>
    <w:p w14:paraId="3B21DFCA">
      <w:pPr>
        <w:spacing w:after="160" w:line="259" w:lineRule="auto"/>
      </w:pPr>
    </w:p>
    <w:p w14:paraId="4C65DA75">
      <w:pPr>
        <w:spacing w:after="160" w:line="259" w:lineRule="auto"/>
      </w:pPr>
    </w:p>
    <w:p w14:paraId="2B966298">
      <w:pPr>
        <w:spacing w:after="160" w:line="259" w:lineRule="auto"/>
      </w:pPr>
    </w:p>
    <w:p w14:paraId="155CDBE2">
      <w:pPr>
        <w:spacing w:after="160" w:line="259" w:lineRule="auto"/>
      </w:pPr>
    </w:p>
    <w:p w14:paraId="78A04FEC">
      <w:pPr>
        <w:spacing w:after="160" w:line="259" w:lineRule="auto"/>
      </w:pPr>
    </w:p>
    <w:p w14:paraId="0FA128B7">
      <w:pPr>
        <w:spacing w:after="160" w:line="259" w:lineRule="auto"/>
      </w:pPr>
    </w:p>
    <w:p w14:paraId="059A843B">
      <w:pPr>
        <w:jc w:val="right"/>
      </w:pPr>
      <w:r>
        <w:t>Приложение № 2 к Контракту</w:t>
      </w:r>
    </w:p>
    <w:p w14:paraId="7A984841">
      <w:pPr>
        <w:pStyle w:val="185"/>
        <w:ind w:left="-426" w:firstLine="142"/>
        <w:jc w:val="right"/>
        <w:rPr>
          <w:rFonts w:hint="default" w:ascii="Times New Roman" w:hAnsi="Times New Roman" w:cs="Times New Roman"/>
          <w:sz w:val="24"/>
          <w:szCs w:val="24"/>
          <w:lang w:val="ru-RU"/>
        </w:rPr>
      </w:pPr>
      <w:r>
        <w:rPr>
          <w:rFonts w:ascii="Times New Roman" w:hAnsi="Times New Roman" w:cs="Times New Roman"/>
          <w:sz w:val="24"/>
          <w:szCs w:val="24"/>
        </w:rPr>
        <w:t xml:space="preserve"> от «___»____________202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p>
    <w:p w14:paraId="3E3F5B38">
      <w:pPr>
        <w:jc w:val="right"/>
      </w:pPr>
    </w:p>
    <w:p w14:paraId="31A62528">
      <w:pPr>
        <w:jc w:val="center"/>
        <w:rPr>
          <w:b/>
        </w:rPr>
      </w:pPr>
      <w:r>
        <w:rPr>
          <w:b/>
        </w:rPr>
        <w:t>Техническое задание</w:t>
      </w:r>
    </w:p>
    <w:p w14:paraId="0AF57760">
      <w:pPr>
        <w:jc w:val="both"/>
      </w:pPr>
      <w:r>
        <w:t xml:space="preserve"> </w:t>
      </w:r>
    </w:p>
    <w:p w14:paraId="53FB1C11">
      <w:pPr>
        <w:jc w:val="both"/>
      </w:pPr>
      <w:r>
        <w:t xml:space="preserve">1. </w:t>
      </w:r>
      <w:r>
        <w:rPr>
          <w:b/>
        </w:rPr>
        <w:t>Требования к качеству Товара, комплектности, таре, упаковке, маркировке и иные требования:</w:t>
      </w:r>
    </w:p>
    <w:p w14:paraId="58BCB1BF">
      <w:pPr>
        <w:jc w:val="both"/>
      </w:pPr>
      <w: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74669191">
      <w:pPr>
        <w:rPr>
          <w:b/>
        </w:rPr>
      </w:pPr>
    </w:p>
    <w:p w14:paraId="07AE4F8B">
      <w:pPr>
        <w:rPr>
          <w:color w:val="FF0000"/>
        </w:rPr>
      </w:pPr>
      <w:r>
        <w:rPr>
          <w:b/>
        </w:rPr>
        <w:t>2. Адрес поставки:</w:t>
      </w:r>
      <w:r>
        <w:t xml:space="preserve"> </w:t>
      </w:r>
    </w:p>
    <w:p w14:paraId="3543A6EA">
      <w:pPr>
        <w:ind w:firstLine="240"/>
        <w:rPr>
          <w:rFonts w:hint="default"/>
          <w:color w:val="FF0000"/>
          <w:sz w:val="22"/>
          <w:szCs w:val="22"/>
          <w:lang w:val="ru-RU"/>
        </w:rPr>
      </w:pPr>
      <w:r>
        <w:rPr>
          <w:rFonts w:hint="default"/>
          <w:color w:val="FF0000"/>
          <w:sz w:val="22"/>
          <w:szCs w:val="22"/>
          <w:lang w:val="ru-RU"/>
        </w:rPr>
        <w:t>192148, г. Санкт-Петербург, ул.Цимбалина, д.50 лит.А</w:t>
      </w:r>
    </w:p>
    <w:p w14:paraId="76D464F7">
      <w:pPr>
        <w:ind w:firstLine="240"/>
        <w:rPr>
          <w:rFonts w:hint="default"/>
          <w:color w:val="FF0000"/>
          <w:sz w:val="22"/>
          <w:szCs w:val="22"/>
          <w:lang w:val="ru-RU"/>
        </w:rPr>
      </w:pPr>
    </w:p>
    <w:p w14:paraId="091CA71B">
      <w:pPr>
        <w:rPr>
          <w:b/>
        </w:rPr>
      </w:pPr>
      <w:r>
        <w:rPr>
          <w:b/>
        </w:rPr>
        <w:t xml:space="preserve">3. Сопроводительные документы: </w:t>
      </w:r>
    </w:p>
    <w:p w14:paraId="62D5ED88">
      <w: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41FA8CD3"/>
    <w:p w14:paraId="2A9B7179">
      <w:pPr>
        <w:rPr>
          <w:b/>
        </w:rPr>
      </w:pPr>
      <w:r>
        <w:rPr>
          <w:b/>
        </w:rPr>
        <w:t xml:space="preserve">4. Срок поставки: </w:t>
      </w:r>
    </w:p>
    <w:p w14:paraId="36EECC6B">
      <w:r>
        <w:t xml:space="preserve">    В течение </w:t>
      </w:r>
      <w:r>
        <w:rPr>
          <w:color w:val="FF0000"/>
        </w:rPr>
        <w:t>15</w:t>
      </w:r>
      <w:r>
        <w:t xml:space="preserve"> рабочих дней с даты заключения Контракта.</w:t>
      </w:r>
    </w:p>
    <w:p w14:paraId="724F8D76"/>
    <w:p w14:paraId="6FCB6BB2">
      <w:pPr>
        <w:pStyle w:val="185"/>
        <w:ind w:left="0"/>
        <w:jc w:val="both"/>
        <w:rPr>
          <w:rFonts w:ascii="Times New Roman" w:hAnsi="Times New Roman" w:cs="Times New Roman"/>
          <w:b/>
          <w:sz w:val="24"/>
          <w:szCs w:val="24"/>
        </w:rPr>
      </w:pPr>
      <w:r>
        <w:rPr>
          <w:rFonts w:ascii="Times New Roman" w:hAnsi="Times New Roman" w:cs="Times New Roman"/>
          <w:b/>
          <w:sz w:val="24"/>
          <w:szCs w:val="24"/>
        </w:rPr>
        <w:t xml:space="preserve">5. Порядок приемки: </w:t>
      </w:r>
    </w:p>
    <w:p w14:paraId="66ED5975">
      <w:pPr>
        <w:pStyle w:val="185"/>
        <w:ind w:left="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Cs/>
          <w:spacing w:val="-1"/>
          <w:sz w:val="24"/>
          <w:szCs w:val="24"/>
        </w:rPr>
        <w:t xml:space="preserve"> </w:t>
      </w:r>
      <w:r>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приемки товара.</w:t>
      </w:r>
    </w:p>
    <w:p w14:paraId="4687EAEC">
      <w:pPr>
        <w:pStyle w:val="185"/>
        <w:ind w:left="0"/>
        <w:jc w:val="both"/>
        <w:rPr>
          <w:rFonts w:ascii="Times New Roman" w:hAnsi="Times New Roman" w:cs="Times New Roman"/>
          <w:sz w:val="24"/>
          <w:szCs w:val="24"/>
        </w:rPr>
      </w:pPr>
    </w:p>
    <w:p w14:paraId="13325A88">
      <w:pPr>
        <w:pStyle w:val="185"/>
        <w:ind w:left="0"/>
        <w:jc w:val="both"/>
        <w:rPr>
          <w:rFonts w:ascii="Times New Roman" w:hAnsi="Times New Roman" w:cs="Times New Roman"/>
          <w:b/>
          <w:sz w:val="24"/>
          <w:szCs w:val="24"/>
        </w:rPr>
      </w:pPr>
      <w:r>
        <w:rPr>
          <w:rFonts w:ascii="Times New Roman" w:hAnsi="Times New Roman" w:cs="Times New Roman"/>
          <w:b/>
          <w:sz w:val="24"/>
          <w:szCs w:val="24"/>
        </w:rPr>
        <w:t>6. Документ о приемке:</w:t>
      </w:r>
    </w:p>
    <w:p w14:paraId="401AFD26">
      <w:pPr>
        <w:pStyle w:val="185"/>
        <w:ind w:left="0"/>
        <w:jc w:val="both"/>
        <w:rPr>
          <w:rFonts w:ascii="Times New Roman" w:hAnsi="Times New Roman" w:cs="Times New Roman"/>
          <w:b/>
          <w:sz w:val="24"/>
          <w:szCs w:val="24"/>
          <w:lang w:val="en-US"/>
        </w:rPr>
      </w:pPr>
      <w:r>
        <w:rPr>
          <w:rFonts w:ascii="Times New Roman" w:hAnsi="Times New Roman" w:cs="Times New Roman"/>
          <w:b/>
        </w:rPr>
        <w:t xml:space="preserve">    </w:t>
      </w:r>
      <w:r>
        <w:rPr>
          <w:rFonts w:ascii="Times New Roman" w:hAnsi="Times New Roman" w:cs="Times New Roman"/>
          <w:sz w:val="24"/>
          <w:szCs w:val="24"/>
        </w:rPr>
        <w:t>Счет, счет фактура (при наличии), товарная накладная или УПД,  акт приёма-передачи товара, акт № 0510452. Документы о приемке оформляются Поставщиком.</w:t>
      </w:r>
    </w:p>
    <w:p w14:paraId="6F419B11">
      <w:pPr>
        <w:rPr>
          <w:b/>
        </w:rPr>
      </w:pPr>
      <w:r>
        <w:rPr>
          <w:b/>
        </w:rPr>
        <w:t>7. Срок приемки:</w:t>
      </w:r>
    </w:p>
    <w:p w14:paraId="0E8DCF19">
      <w:pPr>
        <w:rPr>
          <w:b/>
        </w:rPr>
      </w:pPr>
      <w:r>
        <w:t xml:space="preserve">    Не более 5 (Пяти) рабочих дней с момента поставки Товара.</w:t>
      </w:r>
    </w:p>
    <w:p w14:paraId="0EC4AA31">
      <w:pPr>
        <w:rPr>
          <w:b/>
        </w:rPr>
      </w:pPr>
      <w:r>
        <w:rPr>
          <w:b/>
        </w:rPr>
        <w:t xml:space="preserve"> </w:t>
      </w:r>
    </w:p>
    <w:p w14:paraId="5EFCE72F">
      <w:pPr>
        <w:jc w:val="both"/>
        <w:rPr>
          <w:b/>
        </w:rPr>
      </w:pPr>
      <w:r>
        <w:rPr>
          <w:b/>
        </w:rPr>
        <w:t xml:space="preserve">8.  Срок замены некачественного Товара, гарантийный срок на заменяемый товар: </w:t>
      </w:r>
    </w:p>
    <w:p w14:paraId="24038050">
      <w:pPr>
        <w:jc w:val="both"/>
        <w:rPr>
          <w:rFonts w:hint="default"/>
          <w:lang w:val="ru-RU"/>
        </w:rPr>
      </w:pPr>
      <w:r>
        <w:t xml:space="preserve">     В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r>
        <w:rPr>
          <w:rFonts w:hint="default"/>
          <w:lang w:val="ru-RU"/>
        </w:rPr>
        <w:t>.</w:t>
      </w:r>
    </w:p>
    <w:p w14:paraId="2A1F63FA"/>
    <w:p w14:paraId="4A90FC5F">
      <w:pPr>
        <w:ind w:right="261"/>
        <w:jc w:val="right"/>
      </w:pPr>
    </w:p>
    <w:p w14:paraId="6A3BD765">
      <w:pPr>
        <w:ind w:right="261"/>
        <w:jc w:val="center"/>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7DD7C46C">
        <w:tblPrEx>
          <w:tblCellMar>
            <w:top w:w="0" w:type="dxa"/>
            <w:left w:w="108" w:type="dxa"/>
            <w:bottom w:w="0" w:type="dxa"/>
            <w:right w:w="108" w:type="dxa"/>
          </w:tblCellMar>
        </w:tblPrEx>
        <w:trPr>
          <w:trHeight w:val="4424" w:hRule="atLeast"/>
        </w:trPr>
        <w:tc>
          <w:tcPr>
            <w:tcW w:w="2545" w:type="pct"/>
          </w:tcPr>
          <w:p w14:paraId="071388D2">
            <w:pPr>
              <w:rPr>
                <w:sz w:val="22"/>
                <w:szCs w:val="22"/>
              </w:rPr>
            </w:pPr>
            <w:r>
              <w:rPr>
                <w:b/>
                <w:sz w:val="22"/>
                <w:szCs w:val="22"/>
              </w:rPr>
              <w:t>Заказчик:</w:t>
            </w:r>
            <w:r>
              <w:rPr>
                <w:sz w:val="22"/>
                <w:szCs w:val="22"/>
              </w:rPr>
              <w:t xml:space="preserve"> </w:t>
            </w:r>
          </w:p>
          <w:p w14:paraId="13749365">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7A473885">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3885BE06">
            <w:pPr>
              <w:autoSpaceDE w:val="0"/>
              <w:autoSpaceDN w:val="0"/>
              <w:adjustRightInd w:val="0"/>
              <w:jc w:val="both"/>
              <w:rPr>
                <w:rFonts w:ascii="Courier New" w:hAnsi="Courier New" w:eastAsia="Calibri" w:cs="Courier New"/>
                <w:bCs/>
                <w:sz w:val="22"/>
                <w:szCs w:val="22"/>
                <w:lang w:eastAsia="en-US"/>
              </w:rPr>
            </w:pPr>
          </w:p>
        </w:tc>
      </w:tr>
    </w:tbl>
    <w:p w14:paraId="7AF4B902">
      <w:pPr>
        <w:jc w:val="both"/>
      </w:pPr>
    </w:p>
    <w:p w14:paraId="379C6E70">
      <w:pPr>
        <w:jc w:val="both"/>
      </w:pPr>
    </w:p>
    <w:p w14:paraId="45E8B98F">
      <w:pPr>
        <w:jc w:val="both"/>
      </w:pPr>
    </w:p>
    <w:p w14:paraId="35420AB3">
      <w:pPr>
        <w:jc w:val="both"/>
      </w:pPr>
    </w:p>
    <w:p w14:paraId="3B7C77C8">
      <w:pPr>
        <w:jc w:val="both"/>
      </w:pPr>
    </w:p>
    <w:p w14:paraId="2BB6A453">
      <w:pPr>
        <w:jc w:val="both"/>
      </w:pPr>
    </w:p>
    <w:p w14:paraId="64DB813D">
      <w:pPr>
        <w:jc w:val="both"/>
      </w:pPr>
    </w:p>
    <w:p w14:paraId="0F2ACA6D">
      <w:pPr>
        <w:jc w:val="both"/>
      </w:pPr>
    </w:p>
    <w:p w14:paraId="3C91872F">
      <w:pPr>
        <w:jc w:val="both"/>
      </w:pPr>
    </w:p>
    <w:p w14:paraId="59AF3436">
      <w:pPr>
        <w:jc w:val="both"/>
      </w:pPr>
    </w:p>
    <w:p w14:paraId="5D32D4DF">
      <w:pPr>
        <w:jc w:val="both"/>
      </w:pPr>
    </w:p>
    <w:p w14:paraId="27AEF869">
      <w:pPr>
        <w:jc w:val="both"/>
      </w:pPr>
    </w:p>
    <w:p w14:paraId="6F8A5E85">
      <w:pPr>
        <w:jc w:val="both"/>
      </w:pPr>
    </w:p>
    <w:p w14:paraId="5AD92CDE">
      <w:pPr>
        <w:jc w:val="both"/>
      </w:pPr>
    </w:p>
    <w:p w14:paraId="14E6849B">
      <w:pPr>
        <w:jc w:val="both"/>
      </w:pPr>
    </w:p>
    <w:p w14:paraId="2F1D4073">
      <w:pPr>
        <w:jc w:val="both"/>
      </w:pPr>
    </w:p>
    <w:p w14:paraId="6F6B6820">
      <w:pPr>
        <w:jc w:val="both"/>
      </w:pPr>
    </w:p>
    <w:p w14:paraId="0FA549D4">
      <w:pPr>
        <w:jc w:val="both"/>
      </w:pPr>
    </w:p>
    <w:p w14:paraId="2E63F80F">
      <w:pPr>
        <w:jc w:val="both"/>
      </w:pPr>
    </w:p>
    <w:p w14:paraId="20DC4A32">
      <w:pPr>
        <w:jc w:val="both"/>
      </w:pPr>
    </w:p>
    <w:p w14:paraId="20728FE6">
      <w:pPr>
        <w:jc w:val="both"/>
      </w:pPr>
    </w:p>
    <w:p w14:paraId="2B05F145">
      <w:pPr>
        <w:jc w:val="both"/>
      </w:pPr>
    </w:p>
    <w:p w14:paraId="3DD39732">
      <w:pPr>
        <w:jc w:val="both"/>
      </w:pPr>
    </w:p>
    <w:p w14:paraId="34563536">
      <w:pPr>
        <w:jc w:val="both"/>
      </w:pPr>
    </w:p>
    <w:p w14:paraId="600EC996">
      <w:pPr>
        <w:jc w:val="both"/>
      </w:pPr>
    </w:p>
    <w:p w14:paraId="7CA1754E">
      <w:pPr>
        <w:jc w:val="both"/>
      </w:pPr>
    </w:p>
    <w:p w14:paraId="631A1553">
      <w:pPr>
        <w:jc w:val="both"/>
      </w:pPr>
    </w:p>
    <w:p w14:paraId="4606F222">
      <w:pPr>
        <w:wordWrap w:val="0"/>
        <w:jc w:val="right"/>
        <w:rPr>
          <w:rFonts w:ascii="Times New Roman" w:hAnsi="Times New Roman" w:eastAsia="Times New Roman" w:cs="Times New Roman"/>
          <w:sz w:val="22"/>
          <w:szCs w:val="22"/>
          <w:lang w:bidi="ar-SA"/>
        </w:rPr>
      </w:pPr>
      <w:r>
        <w:rPr>
          <w:rFonts w:ascii="Times New Roman" w:hAnsi="Times New Roman" w:cs="Times New Roman"/>
          <w:sz w:val="22"/>
          <w:szCs w:val="22"/>
        </w:rPr>
        <w:t xml:space="preserve">Приложение № </w:t>
      </w:r>
      <w:r>
        <w:rPr>
          <w:rFonts w:hint="default" w:ascii="Times New Roman" w:hAnsi="Times New Roman" w:cs="Times New Roman"/>
          <w:sz w:val="22"/>
          <w:szCs w:val="22"/>
          <w:lang w:val="ru-RU"/>
        </w:rPr>
        <w:t xml:space="preserve">3 </w:t>
      </w:r>
      <w:r>
        <w:rPr>
          <w:rFonts w:ascii="Times New Roman" w:hAnsi="Times New Roman" w:eastAsia="Times New Roman" w:cs="Times New Roman"/>
          <w:sz w:val="22"/>
          <w:szCs w:val="22"/>
        </w:rPr>
        <w:t xml:space="preserve">к Контракту </w:t>
      </w:r>
    </w:p>
    <w:p w14:paraId="41C63536">
      <w:pPr>
        <w:pStyle w:val="185"/>
        <w:ind w:left="-426" w:firstLine="142"/>
        <w:jc w:val="right"/>
        <w:rPr>
          <w:rFonts w:hint="default" w:ascii="Times New Roman" w:hAnsi="Times New Roman" w:cs="Times New Roman"/>
          <w:sz w:val="24"/>
          <w:szCs w:val="24"/>
          <w:lang w:val="ru-RU"/>
        </w:rPr>
      </w:pPr>
      <w:r>
        <w:rPr>
          <w:rFonts w:ascii="Times New Roman" w:hAnsi="Times New Roman" w:cs="Times New Roman"/>
          <w:sz w:val="24"/>
          <w:szCs w:val="24"/>
        </w:rPr>
        <w:t xml:space="preserve"> от «___»____________202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p>
    <w:p w14:paraId="7381B3C7">
      <w:pPr>
        <w:autoSpaceDE w:val="0"/>
        <w:autoSpaceDN w:val="0"/>
        <w:jc w:val="center"/>
        <w:rPr>
          <w:rFonts w:ascii="Times New Roman" w:hAnsi="Times New Roman" w:eastAsia="Times New Roman" w:cs="Times New Roman"/>
          <w:sz w:val="22"/>
          <w:szCs w:val="22"/>
        </w:rPr>
      </w:pPr>
    </w:p>
    <w:p w14:paraId="5D7BADD8">
      <w:pPr>
        <w:tabs>
          <w:tab w:val="left" w:pos="276"/>
        </w:tabs>
        <w:rPr>
          <w:rFonts w:ascii="Times New Roman" w:hAnsi="Times New Roman" w:eastAsia="Times New Roman" w:cs="Times New Roman"/>
          <w:sz w:val="22"/>
          <w:szCs w:val="22"/>
        </w:rPr>
      </w:pPr>
    </w:p>
    <w:p w14:paraId="7D251653">
      <w:pPr>
        <w:jc w:val="center"/>
        <w:rPr>
          <w:b/>
        </w:rPr>
      </w:pPr>
    </w:p>
    <w:p w14:paraId="7E3D1A3A">
      <w:pPr>
        <w:jc w:val="center"/>
        <w:rPr>
          <w:b/>
        </w:rPr>
      </w:pPr>
    </w:p>
    <w:p w14:paraId="49340053">
      <w:pPr>
        <w:jc w:val="center"/>
        <w:rPr>
          <w:rFonts w:ascii="Times New Roman" w:hAnsi="Times New Roman" w:cs="Times New Roman"/>
          <w:b/>
        </w:rPr>
      </w:pPr>
      <w:r>
        <w:rPr>
          <w:rFonts w:ascii="Times New Roman" w:hAnsi="Times New Roman" w:cs="Times New Roman"/>
          <w:b/>
        </w:rPr>
        <w:t>Форма акта № 0510452</w:t>
      </w:r>
    </w:p>
    <w:p w14:paraId="386A5F97">
      <w:pPr>
        <w:jc w:val="both"/>
      </w:pPr>
    </w:p>
    <w:p w14:paraId="69EFE29D">
      <w:pPr>
        <w:ind w:firstLine="3842" w:firstLineChars="1600"/>
        <w:jc w:val="both"/>
      </w:pPr>
      <w:r>
        <w:rPr>
          <w:b/>
        </w:rPr>
        <w:object>
          <v:shape id="_x0000_i1025" o:spt="75" type="#_x0000_t75" style="height:39.35pt;width:61.1pt;" o:ole="t" filled="f" o:preferrelative="t" stroked="f" coordsize="21600,21600">
            <v:path/>
            <v:fill on="f" alignshape="1" focussize="0,0"/>
            <v:stroke on="f"/>
            <v:imagedata r:id="rId7" o:title=""/>
            <o:lock v:ext="edit" aspectratio="t"/>
            <w10:wrap type="none"/>
            <w10:anchorlock/>
          </v:shape>
          <o:OLEObject Type="Embed" ProgID="Acrobat.Document.DC" ShapeID="_x0000_i1025" DrawAspect="Icon" ObjectID="_1468075725" r:id="rId6">
            <o:LockedField>false</o:LockedField>
          </o:OLEObject>
        </w:object>
      </w:r>
    </w:p>
    <w:p w14:paraId="7FF44FA5">
      <w:pPr>
        <w:jc w:val="both"/>
      </w:pPr>
    </w:p>
    <w:p w14:paraId="2C654A4B">
      <w:pPr>
        <w:jc w:val="both"/>
      </w:pPr>
    </w:p>
    <w:p w14:paraId="25A77E57">
      <w:pPr>
        <w:jc w:val="both"/>
      </w:pPr>
    </w:p>
    <w:p w14:paraId="50EC6D60">
      <w:pPr>
        <w:jc w:val="both"/>
      </w:pPr>
    </w:p>
    <w:p w14:paraId="5A14945B">
      <w:pPr>
        <w:jc w:val="both"/>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1545F914">
        <w:tblPrEx>
          <w:tblCellMar>
            <w:top w:w="0" w:type="dxa"/>
            <w:left w:w="108" w:type="dxa"/>
            <w:bottom w:w="0" w:type="dxa"/>
            <w:right w:w="108" w:type="dxa"/>
          </w:tblCellMar>
        </w:tblPrEx>
        <w:trPr>
          <w:trHeight w:val="4424" w:hRule="atLeast"/>
        </w:trPr>
        <w:tc>
          <w:tcPr>
            <w:tcW w:w="2545" w:type="pct"/>
          </w:tcPr>
          <w:p w14:paraId="2A47AA29">
            <w:pPr>
              <w:rPr>
                <w:sz w:val="22"/>
                <w:szCs w:val="22"/>
              </w:rPr>
            </w:pPr>
            <w:r>
              <w:rPr>
                <w:b/>
                <w:sz w:val="22"/>
                <w:szCs w:val="22"/>
              </w:rPr>
              <w:t>Заказчик:</w:t>
            </w:r>
            <w:r>
              <w:rPr>
                <w:sz w:val="22"/>
                <w:szCs w:val="22"/>
              </w:rPr>
              <w:t xml:space="preserve"> </w:t>
            </w:r>
          </w:p>
          <w:p w14:paraId="65DD810C">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5707054A">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6C1BEC4">
            <w:pPr>
              <w:autoSpaceDE w:val="0"/>
              <w:autoSpaceDN w:val="0"/>
              <w:adjustRightInd w:val="0"/>
              <w:jc w:val="both"/>
              <w:rPr>
                <w:rFonts w:ascii="Courier New" w:hAnsi="Courier New" w:eastAsia="Calibri" w:cs="Courier New"/>
                <w:bCs/>
                <w:sz w:val="22"/>
                <w:szCs w:val="22"/>
                <w:lang w:eastAsia="en-US"/>
              </w:rPr>
            </w:pPr>
          </w:p>
        </w:tc>
      </w:tr>
    </w:tbl>
    <w:p w14:paraId="221D4ACD">
      <w:pPr>
        <w:jc w:val="both"/>
      </w:pPr>
    </w:p>
    <w:p w14:paraId="395065DD">
      <w:pPr>
        <w:jc w:val="both"/>
      </w:pP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E037D"/>
    <w:multiLevelType w:val="multilevel"/>
    <w:tmpl w:val="0FFE037D"/>
    <w:lvl w:ilvl="0" w:tentative="0">
      <w:start w:val="1"/>
      <w:numFmt w:val="decimal"/>
      <w:lvlText w:val="%1."/>
      <w:lvlJc w:val="left"/>
      <w:pPr>
        <w:ind w:left="360" w:hanging="360"/>
      </w:pPr>
    </w:lvl>
    <w:lvl w:ilvl="1" w:tentative="0">
      <w:start w:val="1"/>
      <w:numFmt w:val="decimal"/>
      <w:pStyle w:val="196"/>
      <w:lvlText w:val="%2."/>
      <w:lvlJc w:val="left"/>
      <w:pPr>
        <w:ind w:left="792" w:hanging="432"/>
      </w:pPr>
      <w:rPr>
        <w:rFonts w:ascii="Times New Roman" w:hAnsi="Times New Roman" w:eastAsia="Times New Roman" w:cs="Times New Roman"/>
        <w:b w:val="0"/>
        <w:i w:val="0"/>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
    <w:nsid w:val="74037198"/>
    <w:multiLevelType w:val="multilevel"/>
    <w:tmpl w:val="74037198"/>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630F2"/>
    <w:rsid w:val="1040284A"/>
    <w:rsid w:val="29A56923"/>
    <w:rsid w:val="3717359A"/>
    <w:rsid w:val="3C462E4C"/>
    <w:rsid w:val="3FF57DC2"/>
    <w:rsid w:val="4A895AF8"/>
    <w:rsid w:val="5BE62E1F"/>
    <w:rsid w:val="69B45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paragraph" w:styleId="2">
    <w:name w:val="heading 1"/>
    <w:basedOn w:val="1"/>
    <w:next w:val="1"/>
    <w:link w:val="190"/>
    <w:qFormat/>
    <w:uiPriority w:val="9"/>
    <w:pPr>
      <w:keepNext/>
      <w:keepLines/>
      <w:spacing w:before="48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link w:val="198"/>
    <w:semiHidden/>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basedOn w:val="11"/>
    <w:unhideWhenUsed/>
    <w:qFormat/>
    <w:uiPriority w:val="99"/>
    <w:rPr>
      <w:vertAlign w:val="superscript"/>
    </w:rPr>
  </w:style>
  <w:style w:type="character" w:styleId="14">
    <w:name w:val="endnote reference"/>
    <w:basedOn w:val="11"/>
    <w:semiHidden/>
    <w:unhideWhenUsed/>
    <w:uiPriority w:val="99"/>
    <w:rPr>
      <w:vertAlign w:val="superscript"/>
    </w:rPr>
  </w:style>
  <w:style w:type="character" w:styleId="15">
    <w:name w:val="Hyperlink"/>
    <w:unhideWhenUsed/>
    <w:qFormat/>
    <w:uiPriority w:val="99"/>
    <w:rPr>
      <w:color w:val="0563C1" w:themeColor="hyperlink"/>
      <w:u w:val="single"/>
      <w14:textFill>
        <w14:solidFill>
          <w14:schemeClr w14:val="hlink"/>
        </w14:solidFill>
      </w14:textFill>
    </w:rPr>
  </w:style>
  <w:style w:type="character" w:styleId="16">
    <w:name w:val="page number"/>
    <w:qFormat/>
    <w:uiPriority w:val="0"/>
    <w:rPr>
      <w:rFonts w:cs="Times New Roman"/>
    </w:rPr>
  </w:style>
  <w:style w:type="character" w:styleId="17">
    <w:name w:val="Strong"/>
    <w:qFormat/>
    <w:uiPriority w:val="22"/>
    <w:rPr>
      <w:rFonts w:cs="Times New Roman"/>
      <w:b/>
      <w:bCs/>
    </w:rPr>
  </w:style>
  <w:style w:type="paragraph" w:styleId="18">
    <w:name w:val="Balloon Text"/>
    <w:basedOn w:val="1"/>
    <w:link w:val="199"/>
    <w:semiHidden/>
    <w:unhideWhenUsed/>
    <w:qFormat/>
    <w:uiPriority w:val="99"/>
    <w:rPr>
      <w:rFonts w:ascii="Segoe UI" w:hAnsi="Segoe UI" w:cs="Segoe UI"/>
      <w:sz w:val="18"/>
      <w:szCs w:val="18"/>
    </w:rPr>
  </w:style>
  <w:style w:type="paragraph" w:styleId="19">
    <w:name w:val="Body Text 2"/>
    <w:basedOn w:val="1"/>
    <w:link w:val="189"/>
    <w:qFormat/>
    <w:uiPriority w:val="0"/>
  </w:style>
  <w:style w:type="paragraph" w:styleId="20">
    <w:name w:val="endnote text"/>
    <w:basedOn w:val="1"/>
    <w:link w:val="183"/>
    <w:semiHidden/>
    <w:unhideWhenUsed/>
    <w:qFormat/>
    <w:uiPriority w:val="99"/>
    <w:pPr>
      <w:spacing w:after="0" w:line="240" w:lineRule="auto"/>
    </w:pPr>
    <w:rPr>
      <w:sz w:val="20"/>
    </w:rPr>
  </w:style>
  <w:style w:type="paragraph" w:styleId="21">
    <w:name w:val="caption"/>
    <w:basedOn w:val="1"/>
    <w:next w:val="1"/>
    <w:link w:val="56"/>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2">
    <w:name w:val="footnote text"/>
    <w:basedOn w:val="1"/>
    <w:link w:val="182"/>
    <w:semiHidden/>
    <w:unhideWhenUsed/>
    <w:qFormat/>
    <w:uiPriority w:val="99"/>
    <w:pPr>
      <w:spacing w:after="40" w:line="240" w:lineRule="auto"/>
    </w:pPr>
    <w:rPr>
      <w:sz w:val="18"/>
    </w:rPr>
  </w:style>
  <w:style w:type="paragraph" w:styleId="23">
    <w:name w:val="toc 8"/>
    <w:basedOn w:val="1"/>
    <w:next w:val="1"/>
    <w:unhideWhenUsed/>
    <w:qFormat/>
    <w:uiPriority w:val="39"/>
    <w:pPr>
      <w:spacing w:after="57"/>
      <w:ind w:left="1984" w:right="0" w:firstLine="0"/>
    </w:pPr>
  </w:style>
  <w:style w:type="paragraph" w:styleId="24">
    <w:name w:val="header"/>
    <w:basedOn w:val="1"/>
    <w:link w:val="186"/>
    <w:unhideWhenUsed/>
    <w:qFormat/>
    <w:uiPriority w:val="99"/>
    <w:pPr>
      <w:tabs>
        <w:tab w:val="center" w:pos="4677"/>
        <w:tab w:val="right" w:pos="9355"/>
      </w:tabs>
    </w:pPr>
  </w:style>
  <w:style w:type="paragraph" w:styleId="25">
    <w:name w:val="toc 9"/>
    <w:basedOn w:val="1"/>
    <w:next w:val="1"/>
    <w:unhideWhenUsed/>
    <w:qFormat/>
    <w:uiPriority w:val="39"/>
    <w:pPr>
      <w:spacing w:after="57"/>
      <w:ind w:left="2268" w:right="0" w:firstLine="0"/>
    </w:pPr>
  </w:style>
  <w:style w:type="paragraph" w:styleId="26">
    <w:name w:val="toc 7"/>
    <w:basedOn w:val="1"/>
    <w:next w:val="1"/>
    <w:unhideWhenUsed/>
    <w:qFormat/>
    <w:uiPriority w:val="39"/>
    <w:pPr>
      <w:spacing w:after="57"/>
      <w:ind w:left="1701" w:right="0" w:firstLine="0"/>
    </w:pPr>
  </w:style>
  <w:style w:type="paragraph" w:styleId="27">
    <w:name w:val="toc 1"/>
    <w:basedOn w:val="1"/>
    <w:next w:val="1"/>
    <w:unhideWhenUsed/>
    <w:qFormat/>
    <w:uiPriority w:val="39"/>
    <w:pPr>
      <w:spacing w:after="57"/>
      <w:ind w:left="0" w:right="0" w:firstLine="0"/>
    </w:p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3"/>
    <w:basedOn w:val="1"/>
    <w:next w:val="1"/>
    <w:unhideWhenUsed/>
    <w:qFormat/>
    <w:uiPriority w:val="39"/>
    <w:pPr>
      <w:spacing w:after="57"/>
      <w:ind w:left="567" w:right="0" w:firstLine="0"/>
    </w:pPr>
  </w:style>
  <w:style w:type="paragraph" w:styleId="31">
    <w:name w:val="toc 2"/>
    <w:basedOn w:val="1"/>
    <w:next w:val="1"/>
    <w:unhideWhenUsed/>
    <w:qFormat/>
    <w:uiPriority w:val="39"/>
    <w:pPr>
      <w:spacing w:after="57"/>
      <w:ind w:left="283" w:right="0" w:firstLine="0"/>
    </w:pPr>
  </w:style>
  <w:style w:type="paragraph" w:styleId="32">
    <w:name w:val="toc 4"/>
    <w:basedOn w:val="1"/>
    <w:next w:val="1"/>
    <w:unhideWhenUsed/>
    <w:qFormat/>
    <w:uiPriority w:val="39"/>
    <w:pPr>
      <w:spacing w:after="57"/>
      <w:ind w:left="850" w:right="0" w:firstLine="0"/>
    </w:pPr>
  </w:style>
  <w:style w:type="paragraph" w:styleId="33">
    <w:name w:val="toc 5"/>
    <w:basedOn w:val="1"/>
    <w:next w:val="1"/>
    <w:unhideWhenUsed/>
    <w:qFormat/>
    <w:uiPriority w:val="39"/>
    <w:pPr>
      <w:spacing w:after="57"/>
      <w:ind w:left="1134" w:right="0" w:firstLine="0"/>
    </w:pPr>
  </w:style>
  <w:style w:type="paragraph" w:styleId="34">
    <w:name w:val="Title"/>
    <w:basedOn w:val="1"/>
    <w:next w:val="1"/>
    <w:link w:val="48"/>
    <w:qFormat/>
    <w:uiPriority w:val="10"/>
    <w:pPr>
      <w:spacing w:before="300" w:after="200"/>
      <w:contextualSpacing/>
    </w:pPr>
    <w:rPr>
      <w:sz w:val="48"/>
      <w:szCs w:val="48"/>
    </w:rPr>
  </w:style>
  <w:style w:type="paragraph" w:styleId="35">
    <w:name w:val="footer"/>
    <w:basedOn w:val="1"/>
    <w:link w:val="187"/>
    <w:unhideWhenUsed/>
    <w:qFormat/>
    <w:uiPriority w:val="99"/>
    <w:pPr>
      <w:tabs>
        <w:tab w:val="center" w:pos="4677"/>
        <w:tab w:val="right" w:pos="9355"/>
      </w:tabs>
    </w:pPr>
  </w:style>
  <w:style w:type="paragraph" w:styleId="36">
    <w:name w:val="Normal (Web)"/>
    <w:basedOn w:val="1"/>
    <w:link w:val="194"/>
    <w:qFormat/>
    <w:uiPriority w:val="99"/>
    <w:pPr>
      <w:spacing w:before="100" w:beforeAutospacing="1" w:after="100" w:afterAutospacing="1"/>
    </w:pPr>
  </w:style>
  <w:style w:type="paragraph" w:styleId="37">
    <w:name w:val="Subtitle"/>
    <w:basedOn w:val="1"/>
    <w:next w:val="1"/>
    <w:link w:val="49"/>
    <w:qFormat/>
    <w:uiPriority w:val="11"/>
    <w:pPr>
      <w:spacing w:before="200" w:after="200"/>
    </w:pPr>
    <w:rPr>
      <w:sz w:val="24"/>
      <w:szCs w:val="24"/>
    </w:rPr>
  </w:style>
  <w:style w:type="table" w:styleId="38">
    <w:name w:val="Table Grid"/>
    <w:basedOn w:val="12"/>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Heading 1 Char"/>
    <w:basedOn w:val="11"/>
    <w:qFormat/>
    <w:uiPriority w:val="9"/>
    <w:rPr>
      <w:rFonts w:ascii="Arial" w:hAnsi="Arial" w:eastAsia="Arial" w:cs="Arial"/>
      <w:sz w:val="40"/>
      <w:szCs w:val="40"/>
    </w:rPr>
  </w:style>
  <w:style w:type="character" w:customStyle="1" w:styleId="40">
    <w:name w:val="Heading 2 Char"/>
    <w:basedOn w:val="11"/>
    <w:qFormat/>
    <w:uiPriority w:val="9"/>
    <w:rPr>
      <w:rFonts w:ascii="Arial" w:hAnsi="Arial" w:eastAsia="Arial" w:cs="Arial"/>
      <w:sz w:val="34"/>
    </w:rPr>
  </w:style>
  <w:style w:type="character" w:customStyle="1" w:styleId="41">
    <w:name w:val="Heading 3 Char"/>
    <w:basedOn w:val="11"/>
    <w:link w:val="4"/>
    <w:qFormat/>
    <w:uiPriority w:val="9"/>
    <w:rPr>
      <w:rFonts w:ascii="Arial" w:hAnsi="Arial" w:eastAsia="Arial" w:cs="Arial"/>
      <w:sz w:val="30"/>
      <w:szCs w:val="30"/>
    </w:rPr>
  </w:style>
  <w:style w:type="character" w:customStyle="1" w:styleId="42">
    <w:name w:val="Heading 4 Char"/>
    <w:basedOn w:val="11"/>
    <w:link w:val="5"/>
    <w:qFormat/>
    <w:uiPriority w:val="9"/>
    <w:rPr>
      <w:rFonts w:ascii="Arial" w:hAnsi="Arial" w:eastAsia="Arial" w:cs="Arial"/>
      <w:b/>
      <w:bCs/>
      <w:sz w:val="26"/>
      <w:szCs w:val="26"/>
    </w:rPr>
  </w:style>
  <w:style w:type="character" w:customStyle="1" w:styleId="43">
    <w:name w:val="Heading 5 Char"/>
    <w:basedOn w:val="11"/>
    <w:link w:val="6"/>
    <w:qFormat/>
    <w:uiPriority w:val="9"/>
    <w:rPr>
      <w:rFonts w:ascii="Arial" w:hAnsi="Arial" w:eastAsia="Arial" w:cs="Arial"/>
      <w:b/>
      <w:bCs/>
      <w:sz w:val="24"/>
      <w:szCs w:val="24"/>
    </w:rPr>
  </w:style>
  <w:style w:type="character" w:customStyle="1" w:styleId="44">
    <w:name w:val="Heading 6 Char"/>
    <w:basedOn w:val="11"/>
    <w:link w:val="7"/>
    <w:qFormat/>
    <w:uiPriority w:val="9"/>
    <w:rPr>
      <w:rFonts w:ascii="Arial" w:hAnsi="Arial" w:eastAsia="Arial" w:cs="Arial"/>
      <w:b/>
      <w:bCs/>
      <w:sz w:val="22"/>
      <w:szCs w:val="22"/>
    </w:rPr>
  </w:style>
  <w:style w:type="character" w:customStyle="1" w:styleId="45">
    <w:name w:val="Heading 7 Char"/>
    <w:basedOn w:val="11"/>
    <w:link w:val="8"/>
    <w:qFormat/>
    <w:uiPriority w:val="9"/>
    <w:rPr>
      <w:rFonts w:ascii="Arial" w:hAnsi="Arial" w:eastAsia="Arial" w:cs="Arial"/>
      <w:b/>
      <w:bCs/>
      <w:i/>
      <w:iCs/>
      <w:sz w:val="22"/>
      <w:szCs w:val="22"/>
    </w:rPr>
  </w:style>
  <w:style w:type="character" w:customStyle="1" w:styleId="46">
    <w:name w:val="Heading 8 Char"/>
    <w:basedOn w:val="11"/>
    <w:link w:val="9"/>
    <w:uiPriority w:val="9"/>
    <w:rPr>
      <w:rFonts w:ascii="Arial" w:hAnsi="Arial" w:eastAsia="Arial" w:cs="Arial"/>
      <w:i/>
      <w:iCs/>
      <w:sz w:val="22"/>
      <w:szCs w:val="22"/>
    </w:rPr>
  </w:style>
  <w:style w:type="character" w:customStyle="1" w:styleId="47">
    <w:name w:val="Heading 9 Char"/>
    <w:basedOn w:val="11"/>
    <w:link w:val="10"/>
    <w:qFormat/>
    <w:uiPriority w:val="9"/>
    <w:rPr>
      <w:rFonts w:ascii="Arial" w:hAnsi="Arial" w:eastAsia="Arial" w:cs="Arial"/>
      <w:i/>
      <w:iCs/>
      <w:sz w:val="21"/>
      <w:szCs w:val="21"/>
    </w:rPr>
  </w:style>
  <w:style w:type="character" w:customStyle="1" w:styleId="48">
    <w:name w:val="Title Char"/>
    <w:basedOn w:val="11"/>
    <w:link w:val="34"/>
    <w:qFormat/>
    <w:uiPriority w:val="10"/>
    <w:rPr>
      <w:sz w:val="48"/>
      <w:szCs w:val="48"/>
    </w:rPr>
  </w:style>
  <w:style w:type="character" w:customStyle="1" w:styleId="49">
    <w:name w:val="Subtitle Char"/>
    <w:basedOn w:val="11"/>
    <w:link w:val="37"/>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uiPriority w:val="30"/>
    <w:rPr>
      <w:i/>
    </w:rPr>
  </w:style>
  <w:style w:type="character" w:customStyle="1" w:styleId="54">
    <w:name w:val="Header Char"/>
    <w:basedOn w:val="11"/>
    <w:qFormat/>
    <w:uiPriority w:val="99"/>
  </w:style>
  <w:style w:type="character" w:customStyle="1" w:styleId="55">
    <w:name w:val="Footer Char"/>
    <w:basedOn w:val="11"/>
    <w:qFormat/>
    <w:uiPriority w:val="99"/>
  </w:style>
  <w:style w:type="character" w:customStyle="1" w:styleId="56">
    <w:name w:val="Caption Char"/>
    <w:basedOn w:val="11"/>
    <w:link w:val="21"/>
    <w:uiPriority w:val="35"/>
    <w:rPr>
      <w:b/>
      <w:bCs/>
      <w:color w:val="5B9BD5" w:themeColor="accent1"/>
      <w:sz w:val="18"/>
      <w:szCs w:val="18"/>
      <w14:textFill>
        <w14:solidFill>
          <w14:schemeClr w14:val="accent1"/>
        </w14:solidFill>
      </w14:textFill>
    </w:rPr>
  </w:style>
  <w:style w:type="table" w:customStyle="1" w:styleId="57">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1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5">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6">
    <w:name w:val="Grid Table 1 Light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7">
    <w:name w:val="Grid Table 1 Light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8">
    <w:name w:val="Grid Table 1 Light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9">
    <w:name w:val="Grid Table 1 Light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0">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2">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3">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4">
    <w:name w:val="Grid Table 2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5">
    <w:name w:val="Grid Table 2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6">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7">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3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3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3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1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6">
    <w:name w:val="Grid Table 4 - Accent 2"/>
    <w:basedOn w:val="12"/>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4 - Accent 5"/>
    <w:basedOn w:val="1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5 Dark"/>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3">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4">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5">
    <w:name w:val="Grid Table 5 Dark- Accent 4"/>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6">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7">
    <w:name w:val="Grid Table 5 Dark - Accent 6"/>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8">
    <w:name w:val="Grid Table 6 Colorful"/>
    <w:basedOn w:val="1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1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1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4">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5">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1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1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2">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1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4">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5">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6">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7">
    <w:name w:val="List Table 1 Light - Accent 5"/>
    <w:basedOn w:val="1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8">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9">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1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1">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2">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3">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4">
    <w:name w:val="List Table 2 - Accent 5"/>
    <w:basedOn w:val="1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5">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6">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1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8">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9">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0">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1">
    <w:name w:val="List Table 3 - Accent 5"/>
    <w:basedOn w:val="12"/>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2">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3">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1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4 - Accent 5"/>
    <w:basedOn w:val="1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1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2">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3">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4">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5">
    <w:name w:val="List Table 5 Dark - Accent 5"/>
    <w:basedOn w:val="1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6">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7">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1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9">
    <w:name w:val="List Table 6 Colorful - Accent 2"/>
    <w:basedOn w:val="1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1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1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1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1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1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7 Colorful - Accent 2"/>
    <w:basedOn w:val="1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1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1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1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1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12"/>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3">
    <w:name w:val="Lined - Accent 2"/>
    <w:basedOn w:val="1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4">
    <w:name w:val="Lined - Accent 3"/>
    <w:basedOn w:val="1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5">
    <w:name w:val="Lined - Accent 4"/>
    <w:basedOn w:val="1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6">
    <w:name w:val="Lined - Accent 5"/>
    <w:basedOn w:val="12"/>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7">
    <w:name w:val="Lined - Accent 6"/>
    <w:basedOn w:val="1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8">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12"/>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Bordered &amp; Lined - Accent 2"/>
    <w:basedOn w:val="1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Bordered &amp; Lined - Accent 3"/>
    <w:basedOn w:val="1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Bordered &amp; Lined - Accent 4"/>
    <w:basedOn w:val="1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Bordered &amp; Lined - Accent 5"/>
    <w:basedOn w:val="12"/>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Bordered &amp; Lined - Accent 6"/>
    <w:basedOn w:val="1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7">
    <w:name w:val="Bordered - Accent 2"/>
    <w:basedOn w:val="1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8">
    <w:name w:val="Bordered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9">
    <w:name w:val="Bordered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0">
    <w:name w:val="Bordered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1">
    <w:name w:val="Bordered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2">
    <w:name w:val="Footnote Text Char"/>
    <w:link w:val="22"/>
    <w:qFormat/>
    <w:uiPriority w:val="99"/>
    <w:rPr>
      <w:sz w:val="18"/>
    </w:rPr>
  </w:style>
  <w:style w:type="character" w:customStyle="1" w:styleId="183">
    <w:name w:val="Endnote Text Char"/>
    <w:link w:val="20"/>
    <w:qFormat/>
    <w:uiPriority w:val="99"/>
    <w:rPr>
      <w:sz w:val="20"/>
    </w:rPr>
  </w:style>
  <w:style w:type="paragraph" w:customStyle="1" w:styleId="184">
    <w:name w:val="TOC Heading"/>
    <w:unhideWhenUsed/>
    <w:qFormat/>
    <w:uiPriority w:val="39"/>
    <w:pPr>
      <w:spacing w:before="0" w:beforeAutospacing="0" w:after="160" w:afterAutospacing="0" w:line="259" w:lineRule="auto"/>
    </w:pPr>
    <w:rPr>
      <w:rFonts w:hint="default" w:asciiTheme="minorHAnsi" w:hAnsiTheme="minorHAnsi" w:eastAsiaTheme="minorHAnsi" w:cstheme="minorBidi"/>
      <w:sz w:val="22"/>
      <w:szCs w:val="22"/>
      <w:lang w:val="ru-RU" w:eastAsia="en-US" w:bidi="ar-SA"/>
    </w:rPr>
  </w:style>
  <w:style w:type="paragraph" w:styleId="185">
    <w:name w:val="List Paragraph"/>
    <w:basedOn w:val="1"/>
    <w:link w:val="19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character" w:customStyle="1" w:styleId="186">
    <w:name w:val="Верхний колонтитул Знак"/>
    <w:basedOn w:val="11"/>
    <w:link w:val="24"/>
    <w:qFormat/>
    <w:uiPriority w:val="99"/>
    <w:rPr>
      <w:rFonts w:ascii="Times New Roman" w:hAnsi="Times New Roman" w:eastAsia="Times New Roman" w:cs="Times New Roman"/>
      <w:sz w:val="24"/>
      <w:szCs w:val="24"/>
      <w:lang w:eastAsia="ru-RU"/>
    </w:rPr>
  </w:style>
  <w:style w:type="character" w:customStyle="1" w:styleId="187">
    <w:name w:val="Нижний колонтитул Знак"/>
    <w:basedOn w:val="11"/>
    <w:link w:val="35"/>
    <w:qFormat/>
    <w:uiPriority w:val="99"/>
    <w:rPr>
      <w:rFonts w:ascii="Times New Roman" w:hAnsi="Times New Roman" w:eastAsia="Times New Roman" w:cs="Times New Roman"/>
      <w:sz w:val="24"/>
      <w:szCs w:val="24"/>
      <w:lang w:eastAsia="ru-RU"/>
    </w:rPr>
  </w:style>
  <w:style w:type="paragraph" w:styleId="188">
    <w:name w:val="No Spacing"/>
    <w:qFormat/>
    <w:uiPriority w:val="1"/>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character" w:customStyle="1" w:styleId="189">
    <w:name w:val="Основной текст 2 Знак"/>
    <w:basedOn w:val="11"/>
    <w:link w:val="19"/>
    <w:qFormat/>
    <w:uiPriority w:val="0"/>
    <w:rPr>
      <w:rFonts w:ascii="Times New Roman" w:hAnsi="Times New Roman" w:eastAsia="Times New Roman" w:cs="Times New Roman"/>
      <w:sz w:val="24"/>
      <w:szCs w:val="24"/>
      <w:lang w:eastAsia="ru-RU"/>
    </w:rPr>
  </w:style>
  <w:style w:type="character" w:customStyle="1" w:styleId="190">
    <w:name w:val="Заголовок 1 Знак"/>
    <w:basedOn w:val="11"/>
    <w:link w:val="2"/>
    <w:qFormat/>
    <w:uiPriority w:val="9"/>
    <w:rPr>
      <w:rFonts w:asciiTheme="majorHAnsi" w:hAnsiTheme="majorHAnsi" w:eastAsiaTheme="majorEastAsia" w:cstheme="majorBidi"/>
      <w:b/>
      <w:bCs/>
      <w:color w:val="2E75B6" w:themeColor="accent1" w:themeShade="BF"/>
      <w:sz w:val="28"/>
      <w:szCs w:val="28"/>
      <w:lang w:eastAsia="ru-RU"/>
    </w:rPr>
  </w:style>
  <w:style w:type="character" w:customStyle="1" w:styleId="191">
    <w:name w:val="Абзац списка Знак"/>
    <w:link w:val="185"/>
    <w:qFormat/>
    <w:uiPriority w:val="34"/>
  </w:style>
  <w:style w:type="paragraph" w:customStyle="1" w:styleId="192">
    <w:name w:val="ConsPlusNormal"/>
    <w:link w:val="193"/>
    <w:qFormat/>
    <w:uiPriority w:val="0"/>
    <w:pPr>
      <w:widowControl w:val="0"/>
      <w:spacing w:before="0" w:beforeAutospacing="0" w:after="0" w:afterAutospacing="0" w:line="240" w:lineRule="auto"/>
    </w:pPr>
    <w:rPr>
      <w:rFonts w:hint="default" w:ascii="Calibri" w:hAnsi="Calibri" w:eastAsia="Times New Roman" w:cs="Calibri"/>
      <w:sz w:val="22"/>
      <w:szCs w:val="20"/>
      <w:lang w:val="ru-RU" w:eastAsia="ru-RU" w:bidi="ar-SA"/>
    </w:rPr>
  </w:style>
  <w:style w:type="character" w:customStyle="1" w:styleId="193">
    <w:name w:val="ConsPlusNormal Знак"/>
    <w:link w:val="192"/>
    <w:qFormat/>
    <w:uiPriority w:val="0"/>
    <w:rPr>
      <w:rFonts w:ascii="Calibri" w:hAnsi="Calibri" w:eastAsia="Times New Roman" w:cs="Calibri"/>
      <w:szCs w:val="20"/>
      <w:lang w:eastAsia="ru-RU"/>
    </w:rPr>
  </w:style>
  <w:style w:type="character" w:customStyle="1" w:styleId="194">
    <w:name w:val="Обычный (веб) Знак"/>
    <w:link w:val="36"/>
    <w:qFormat/>
    <w:uiPriority w:val="99"/>
    <w:rPr>
      <w:rFonts w:ascii="Times New Roman" w:hAnsi="Times New Roman" w:eastAsia="Times New Roman" w:cs="Times New Roman"/>
      <w:sz w:val="24"/>
      <w:szCs w:val="24"/>
      <w:lang w:eastAsia="ru-RU"/>
    </w:rPr>
  </w:style>
  <w:style w:type="character" w:customStyle="1" w:styleId="195">
    <w:name w:val="apple-converted-space"/>
    <w:qFormat/>
    <w:uiPriority w:val="0"/>
  </w:style>
  <w:style w:type="paragraph" w:customStyle="1" w:styleId="196">
    <w:name w:val="Пункты"/>
    <w:basedOn w:val="3"/>
    <w:link w:val="197"/>
    <w:qFormat/>
    <w:uiPriority w:val="0"/>
    <w:pPr>
      <w:keepLines w:val="0"/>
      <w:numPr>
        <w:ilvl w:val="1"/>
        <w:numId w:val="1"/>
      </w:numPr>
      <w:tabs>
        <w:tab w:val="left" w:pos="1134"/>
      </w:tabs>
      <w:spacing w:before="120"/>
      <w:jc w:val="both"/>
    </w:pPr>
    <w:rPr>
      <w:rFonts w:ascii="Times New Roman" w:hAnsi="Times New Roman" w:eastAsia="Times New Roman" w:cs="Times New Roman"/>
      <w:bCs/>
      <w:iCs/>
      <w:color w:val="auto"/>
      <w:sz w:val="24"/>
      <w:szCs w:val="28"/>
    </w:rPr>
  </w:style>
  <w:style w:type="character" w:customStyle="1" w:styleId="197">
    <w:name w:val="Пункты Знак"/>
    <w:link w:val="196"/>
    <w:qFormat/>
    <w:uiPriority w:val="0"/>
    <w:rPr>
      <w:rFonts w:ascii="Times New Roman" w:hAnsi="Times New Roman" w:eastAsia="Times New Roman" w:cs="Times New Roman"/>
      <w:bCs/>
      <w:iCs/>
      <w:sz w:val="24"/>
      <w:szCs w:val="28"/>
      <w:lang w:eastAsia="ru-RU"/>
    </w:rPr>
  </w:style>
  <w:style w:type="character" w:customStyle="1" w:styleId="198">
    <w:name w:val="Заголовок 2 Знак"/>
    <w:basedOn w:val="11"/>
    <w:link w:val="3"/>
    <w:semiHidden/>
    <w:qFormat/>
    <w:uiPriority w:val="9"/>
    <w:rPr>
      <w:rFonts w:asciiTheme="majorHAnsi" w:hAnsiTheme="majorHAnsi" w:eastAsiaTheme="majorEastAsia" w:cstheme="majorBidi"/>
      <w:color w:val="2E75B6" w:themeColor="accent1" w:themeShade="BF"/>
      <w:sz w:val="26"/>
      <w:szCs w:val="26"/>
      <w:lang w:eastAsia="ru-RU"/>
    </w:rPr>
  </w:style>
  <w:style w:type="character" w:customStyle="1" w:styleId="199">
    <w:name w:val="Текст выноски Знак"/>
    <w:basedOn w:val="11"/>
    <w:link w:val="18"/>
    <w:semiHidden/>
    <w:qFormat/>
    <w:uiPriority w:val="99"/>
    <w:rPr>
      <w:rFonts w:ascii="Segoe UI" w:hAnsi="Segoe UI" w:eastAsia="Times New Roman" w:cs="Segoe UI"/>
      <w:sz w:val="18"/>
      <w:szCs w:val="18"/>
      <w:lang w:eastAsia="ru-RU"/>
    </w:rPr>
  </w:style>
  <w:style w:type="paragraph" w:customStyle="1" w:styleId="200">
    <w:name w:val="ConsPlusTitle"/>
    <w:qFormat/>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1FCEE-8430-4E63-93E4-BD319A62DC19}">
  <ds:schemaRefs/>
</ds:datastoreItem>
</file>

<file path=docProps/app.xml><?xml version="1.0" encoding="utf-8"?>
<Properties xmlns="http://schemas.openxmlformats.org/officeDocument/2006/extended-properties" xmlns:vt="http://schemas.openxmlformats.org/officeDocument/2006/docPropsVTypes">
  <Template>Normal</Template>
  <Pages>12</Pages>
  <Words>3293</Words>
  <Characters>22959</Characters>
  <TotalTime>15</TotalTime>
  <ScaleCrop>false</ScaleCrop>
  <LinksUpToDate>false</LinksUpToDate>
  <CharactersWithSpaces>26236</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2024-01-22T14:59:00Z</dcterms:created>
  <dc:creator>Сергеев Алексей Борисович</dc:creator>
  <cp:lastModifiedBy>ГБДОУ №36</cp:lastModifiedBy>
  <dcterms:modified xsi:type="dcterms:W3CDTF">2026-05-15T12:15:41Z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942DA00CB99F46599F2A644F4005D365_13</vt:lpwstr>
  </property>
  <property fmtid="{D5CDD505-2E9C-101B-9397-08002B2CF9AE}" pid="4" name="KSOTemplateDocerSaveRecord">
    <vt:lpwstr>eyJoZGlkIjoiYWJlMDU2MWNmMmY5MWQwNDEyNzJlMmRiN2UxMjBkZDQifQ==</vt:lpwstr>
  </property>
</Properties>
</file>