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A69F7D">
      <w:pPr>
        <w:jc w:val="center"/>
      </w:pPr>
      <w:r>
        <w:rPr>
          <w:b/>
        </w:rPr>
        <w:t xml:space="preserve">КОНТРАКТ № </w:t>
      </w:r>
      <w:r>
        <w:t>_______</w:t>
      </w:r>
    </w:p>
    <w:p w14:paraId="7CB75C59">
      <w:pPr>
        <w:jc w:val="center"/>
        <w:rPr>
          <w:b/>
        </w:rPr>
      </w:pPr>
    </w:p>
    <w:p w14:paraId="7461890C">
      <w:pPr>
        <w:jc w:val="both"/>
      </w:pPr>
      <w:r>
        <w:t>г. Санкт- Петербург                                                                               от «___»_____________г.</w:t>
      </w:r>
    </w:p>
    <w:p w14:paraId="5FECB285">
      <w:pPr>
        <w:jc w:val="both"/>
      </w:pPr>
    </w:p>
    <w:p w14:paraId="389C32FB">
      <w:pPr>
        <w:ind w:firstLine="600" w:firstLineChars="250"/>
        <w:jc w:val="both"/>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MERGEFIELD Наименование_организации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Государственное бюджетное </w:t>
      </w:r>
      <w:r>
        <w:rPr>
          <w:color w:val="000000" w:themeColor="text1"/>
          <w:lang w:val="ru-RU"/>
          <w14:textFill>
            <w14:solidFill>
              <w14:schemeClr w14:val="tx1"/>
            </w14:solidFill>
          </w14:textFill>
        </w:rPr>
        <w:t>дошкольное</w:t>
      </w:r>
      <w:r>
        <w:rPr>
          <w:rFonts w:hint="default"/>
          <w:color w:val="000000" w:themeColor="text1"/>
          <w:lang w:val="ru-RU"/>
          <w14:textFill>
            <w14:solidFill>
              <w14:schemeClr w14:val="tx1"/>
            </w14:solidFill>
          </w14:textFill>
        </w:rPr>
        <w:t xml:space="preserve"> о</w:t>
      </w:r>
      <w:r>
        <w:rPr>
          <w:color w:val="000000" w:themeColor="text1"/>
          <w14:textFill>
            <w14:solidFill>
              <w14:schemeClr w14:val="tx1"/>
            </w14:solidFill>
          </w14:textFill>
        </w:rPr>
        <w:t xml:space="preserve">образовательное учреждение </w:t>
      </w:r>
      <w:r>
        <w:rPr>
          <w:color w:val="000000" w:themeColor="text1"/>
          <w:lang w:val="ru-RU"/>
          <w14:textFill>
            <w14:solidFill>
              <w14:schemeClr w14:val="tx1"/>
            </w14:solidFill>
          </w14:textFill>
        </w:rPr>
        <w:t>детский</w:t>
      </w:r>
      <w:r>
        <w:rPr>
          <w:rFonts w:hint="default"/>
          <w:color w:val="000000" w:themeColor="text1"/>
          <w:lang w:val="ru-RU"/>
          <w14:textFill>
            <w14:solidFill>
              <w14:schemeClr w14:val="tx1"/>
            </w14:solidFill>
          </w14:textFill>
        </w:rPr>
        <w:t xml:space="preserve"> сад </w:t>
      </w:r>
      <w:r>
        <w:rPr>
          <w:color w:val="000000" w:themeColor="text1"/>
          <w14:textFill>
            <w14:solidFill>
              <w14:schemeClr w14:val="tx1"/>
            </w14:solidFill>
          </w14:textFill>
        </w:rPr>
        <w:t xml:space="preserve">№ </w:t>
      </w:r>
      <w:r>
        <w:rPr>
          <w:rFonts w:hint="default"/>
          <w:color w:val="000000" w:themeColor="text1"/>
          <w:lang w:val="ru-RU"/>
          <w14:textFill>
            <w14:solidFill>
              <w14:schemeClr w14:val="tx1"/>
            </w14:solidFill>
          </w14:textFill>
        </w:rPr>
        <w:t xml:space="preserve">36 </w:t>
      </w:r>
      <w:r>
        <w:rPr>
          <w:color w:val="000000" w:themeColor="text1"/>
          <w14:textFill>
            <w14:solidFill>
              <w14:schemeClr w14:val="tx1"/>
            </w14:solidFill>
          </w14:textFill>
        </w:rPr>
        <w:t>Невского района Санкт-Петербурга Невского района Санкт-Петербурга</w:t>
      </w:r>
      <w:r>
        <w:rPr>
          <w:color w:val="000000" w:themeColor="text1"/>
          <w14:textFill>
            <w14:solidFill>
              <w14:schemeClr w14:val="tx1"/>
            </w14:solidFill>
          </w14:textFill>
        </w:rPr>
        <w:fldChar w:fldCharType="end"/>
      </w:r>
      <w:r>
        <w:rPr>
          <w:color w:val="000000" w:themeColor="text1"/>
          <w14:textFill>
            <w14:solidFill>
              <w14:schemeClr w14:val="tx1"/>
            </w14:solidFill>
          </w14:textFill>
        </w:rPr>
        <w:t xml:space="preserve">, именуемое в дальнейшем «Заказчик», в лице </w:t>
      </w:r>
      <w:r>
        <w:rPr>
          <w:color w:val="000000" w:themeColor="text1"/>
          <w:lang w:val="ru-RU"/>
          <w14:textFill>
            <w14:solidFill>
              <w14:schemeClr w14:val="tx1"/>
            </w14:solidFill>
          </w14:textFill>
        </w:rPr>
        <w:t>заведующего</w:t>
      </w:r>
      <w:r>
        <w:rPr>
          <w:rFonts w:hint="default"/>
          <w:color w:val="000000" w:themeColor="text1"/>
          <w:lang w:val="ru-RU"/>
          <w14:textFill>
            <w14:solidFill>
              <w14:schemeClr w14:val="tx1"/>
            </w14:solidFill>
          </w14:textFill>
        </w:rPr>
        <w:t xml:space="preserve"> Чепуриной Т.А.</w:t>
      </w:r>
      <w:r>
        <w:rPr>
          <w:color w:val="000000" w:themeColor="text1"/>
          <w14:textFill>
            <w14:solidFill>
              <w14:schemeClr w14:val="tx1"/>
            </w14:solidFill>
          </w14:textFill>
        </w:rPr>
        <w:t xml:space="preserve">, </w:t>
      </w:r>
      <w:r>
        <w:t xml:space="preserve">действующего на основании </w:t>
      </w:r>
      <w:r>
        <w:rPr>
          <w:lang w:val="ru-RU"/>
        </w:rPr>
        <w:t>Устава</w:t>
      </w:r>
      <w: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8EC0D92">
      <w:pPr>
        <w:jc w:val="both"/>
      </w:pPr>
    </w:p>
    <w:p w14:paraId="24835732">
      <w:pPr>
        <w:jc w:val="center"/>
        <w:rPr>
          <w:b/>
        </w:rPr>
      </w:pPr>
      <w:r>
        <w:rPr>
          <w:b/>
        </w:rPr>
        <w:t>1. Предмет контракта</w:t>
      </w:r>
    </w:p>
    <w:p w14:paraId="7B6F4B88">
      <w:pPr>
        <w:ind w:firstLine="708"/>
        <w:jc w:val="both"/>
      </w:pPr>
      <w:r>
        <w:t xml:space="preserve">1.1. Поставщик обязуется </w:t>
      </w:r>
      <w:r>
        <w:rPr>
          <w:lang w:val="ru-RU"/>
        </w:rPr>
        <w:t>передать</w:t>
      </w:r>
      <w:r>
        <w:rPr>
          <w:rFonts w:hint="default"/>
          <w:lang w:val="ru-RU"/>
        </w:rPr>
        <w:t xml:space="preserve"> </w:t>
      </w:r>
      <w:r>
        <w:t xml:space="preserve">Заказчику </w:t>
      </w:r>
      <w:r>
        <w:rPr>
          <w:lang w:val="ru-RU"/>
        </w:rPr>
        <w:t>Товар</w:t>
      </w:r>
      <w:r>
        <w:t xml:space="preserve">, наименование, количество, общая и единичная стоимость которых установлены в Спецификации (приложение </w:t>
      </w:r>
      <w:r>
        <w:br w:type="textWrapping"/>
      </w:r>
      <w: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bookmarkStart w:id="0" w:name="_GoBack"/>
      <w:bookmarkEnd w:id="0"/>
    </w:p>
    <w:p w14:paraId="03720B8E">
      <w:pPr>
        <w:jc w:val="both"/>
      </w:pPr>
    </w:p>
    <w:p w14:paraId="089643BB">
      <w:pPr>
        <w:jc w:val="center"/>
        <w:rPr>
          <w:b/>
        </w:rPr>
      </w:pPr>
      <w:r>
        <w:rPr>
          <w:b/>
        </w:rPr>
        <w:t>2. Цена Контракта и порядок расчетов</w:t>
      </w:r>
    </w:p>
    <w:p w14:paraId="0FB4EB2D">
      <w:pPr>
        <w:ind w:firstLine="708"/>
        <w:jc w:val="both"/>
      </w:pPr>
      <w:r>
        <w:t>2.1. 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5EB416A1">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14:paraId="54327D37">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14:paraId="48A041B0">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38E18D4A">
      <w:pPr>
        <w:jc w:val="both"/>
      </w:pPr>
    </w:p>
    <w:p w14:paraId="6B0996FB">
      <w:pPr>
        <w:jc w:val="center"/>
        <w:rPr>
          <w:b/>
        </w:rPr>
      </w:pPr>
      <w:r>
        <w:rPr>
          <w:b/>
        </w:rPr>
        <w:t>3. Порядок оказания Услуг</w:t>
      </w:r>
    </w:p>
    <w:p w14:paraId="666833F2">
      <w: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14:paraId="5B77D3B5">
      <w:pPr>
        <w:ind w:firstLine="708"/>
        <w:jc w:val="both"/>
      </w:pPr>
      <w:r>
        <w:t>3.2. Оказание услуг осуществляется по адресу, указанному в Техническом задании (приложение № 2 к Контракту).</w:t>
      </w:r>
    </w:p>
    <w:p w14:paraId="0CEE3907">
      <w:pPr>
        <w:ind w:firstLine="708"/>
        <w:jc w:val="both"/>
      </w:pPr>
      <w:r>
        <w:t>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документов Заказчик вправе отказаться от приемки Услуг. Услуги будут считаться не оказанными.</w:t>
      </w:r>
    </w:p>
    <w:p w14:paraId="431B5343">
      <w:pPr>
        <w:ind w:firstLine="708"/>
        <w:jc w:val="both"/>
      </w:pPr>
      <w:r>
        <w:t xml:space="preserve">3.4. Срок оказания Услуг указывается в Техническом задании (приложение </w:t>
      </w:r>
      <w:r>
        <w:br w:type="textWrapping"/>
      </w:r>
      <w:r>
        <w:t>№ 2 к Контракту).</w:t>
      </w:r>
    </w:p>
    <w:p w14:paraId="2BDE4E1A">
      <w:pPr>
        <w:jc w:val="center"/>
      </w:pPr>
    </w:p>
    <w:p w14:paraId="788635D4">
      <w:pPr>
        <w:jc w:val="center"/>
        <w:rPr>
          <w:b/>
        </w:rPr>
      </w:pPr>
      <w:r>
        <w:rPr>
          <w:b/>
        </w:rPr>
        <w:t>4. Порядок приемки Услуг</w:t>
      </w:r>
    </w:p>
    <w:p w14:paraId="1237CD45">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w:t>
      </w:r>
      <w:r>
        <w:rPr>
          <w:rFonts w:hint="default"/>
          <w:lang w:val="ru-RU"/>
        </w:rPr>
        <w:t>,3</w:t>
      </w:r>
      <w:r>
        <w:t xml:space="preserve"> к Контракту).</w:t>
      </w:r>
    </w:p>
    <w:p w14:paraId="00A2047E">
      <w:pPr>
        <w:ind w:firstLine="708"/>
        <w:jc w:val="both"/>
      </w:pPr>
      <w:r>
        <w:t>4.2. Срок приемки указан в Техническом задании (приложение № 2 к Контракту).</w:t>
      </w:r>
    </w:p>
    <w:p w14:paraId="5C331E06">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37341E2">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ype="textWrapping"/>
      </w:r>
      <w:r>
        <w:t>в уведомлении, последний отказывается от приемки и оплаты. Мотивированный отказ направляется Поставщику в письменной форме.</w:t>
      </w:r>
    </w:p>
    <w:p w14:paraId="49EE3EFC">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FAF7D66">
      <w:pPr>
        <w:ind w:firstLine="708"/>
        <w:jc w:val="both"/>
      </w:pPr>
      <w:r>
        <w:t>4.6. Все расходы, связанные с устранением недостатков, несет Поставщик.</w:t>
      </w:r>
    </w:p>
    <w:p w14:paraId="44F2AA9A">
      <w:pPr>
        <w:jc w:val="both"/>
      </w:pPr>
    </w:p>
    <w:p w14:paraId="1DB32F29">
      <w:pPr>
        <w:jc w:val="center"/>
        <w:rPr>
          <w:b/>
        </w:rPr>
      </w:pPr>
      <w:r>
        <w:rPr>
          <w:b/>
        </w:rPr>
        <w:t>5. Права и обязанности сторон</w:t>
      </w:r>
    </w:p>
    <w:p w14:paraId="4EE5B04F">
      <w:pPr>
        <w:ind w:firstLine="708"/>
        <w:jc w:val="both"/>
      </w:pPr>
      <w:r>
        <w:t>5.1. Заказчик вправе:</w:t>
      </w:r>
    </w:p>
    <w:p w14:paraId="1920491B">
      <w:pPr>
        <w:ind w:firstLine="708"/>
        <w:jc w:val="both"/>
      </w:pPr>
      <w:r>
        <w:t xml:space="preserve">5.1.1.Требовать от Поставщика надлежащего исполнения обязательств </w:t>
      </w:r>
      <w:r>
        <w:br w:type="textWrapping"/>
      </w:r>
      <w:r>
        <w:t>в соответствии с Контрактом, а также требовать своевременного устранения выявленных недостатков.</w:t>
      </w:r>
    </w:p>
    <w:p w14:paraId="0180BC15">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14:paraId="3E92CFE1">
      <w:pPr>
        <w:ind w:firstLine="708"/>
        <w:jc w:val="both"/>
      </w:pPr>
      <w:r>
        <w:t>5.1.3. Запрашивать у Поставщика информацию о ходе исполнения обязательств по Контракту.</w:t>
      </w:r>
    </w:p>
    <w:p w14:paraId="61A5D457">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14:paraId="31449376">
      <w:pPr>
        <w:ind w:firstLine="708"/>
        <w:jc w:val="both"/>
      </w:pPr>
      <w:r>
        <w:t>5.1.5. Отказаться от приемки Услуг в случаях, предусмотренных Контрактом.</w:t>
      </w:r>
    </w:p>
    <w:p w14:paraId="09879F03">
      <w:pPr>
        <w:ind w:firstLine="708"/>
        <w:jc w:val="both"/>
      </w:pPr>
      <w:r>
        <w:t>5.1.6. В одностороннем порядке отказаться от исполнения Контракта в соответствии с Законом о контрактной системе.</w:t>
      </w:r>
    </w:p>
    <w:p w14:paraId="2E17D681">
      <w:pPr>
        <w:ind w:firstLine="708"/>
        <w:jc w:val="both"/>
      </w:pPr>
      <w:r>
        <w:t>5.2. Заказчик обязан:</w:t>
      </w:r>
    </w:p>
    <w:p w14:paraId="495AA6EB">
      <w:pPr>
        <w:ind w:firstLine="708"/>
        <w:jc w:val="both"/>
      </w:pPr>
      <w:r>
        <w:t>5.2.1. Своевременно принять оказанные Услуги в соответствии с Контрактом, включая проведение экспертизы оказанных Услуг.</w:t>
      </w:r>
    </w:p>
    <w:p w14:paraId="13582634">
      <w:pPr>
        <w:ind w:firstLine="708"/>
        <w:jc w:val="both"/>
      </w:pPr>
      <w:r>
        <w:t xml:space="preserve">5.2.2. Своевременно оплатить оказанные Услуги надлежащего качества </w:t>
      </w:r>
      <w:r>
        <w:br w:type="textWrapping"/>
      </w:r>
      <w:r>
        <w:t>в соответствии с Контрактом.</w:t>
      </w:r>
    </w:p>
    <w:p w14:paraId="041D074C">
      <w:pPr>
        <w:ind w:firstLine="708"/>
        <w:jc w:val="both"/>
      </w:pPr>
      <w:r>
        <w:t>5.3. Поставщик вправе:</w:t>
      </w:r>
    </w:p>
    <w:p w14:paraId="5176CE8C">
      <w:pPr>
        <w:ind w:firstLine="708"/>
        <w:jc w:val="both"/>
      </w:pPr>
      <w:r>
        <w:t xml:space="preserve">5.3.1. Требовать своевременной приемки и оплаты за оказанные Услуги </w:t>
      </w:r>
      <w:r>
        <w:br w:type="textWrapping"/>
      </w:r>
      <w:r>
        <w:t>в соответствии с условиями Контракта.</w:t>
      </w:r>
    </w:p>
    <w:p w14:paraId="21139CCB">
      <w:pPr>
        <w:ind w:firstLine="708"/>
        <w:jc w:val="both"/>
      </w:pPr>
      <w:r>
        <w:t xml:space="preserve">5.3.2. Запрашивать у Заказчика разъяснения и уточнения относительно Услуг </w:t>
      </w:r>
      <w:r>
        <w:br w:type="textWrapping"/>
      </w:r>
      <w:r>
        <w:t>в рамках Контракта.</w:t>
      </w:r>
    </w:p>
    <w:p w14:paraId="711500DB">
      <w:pPr>
        <w:ind w:firstLine="708"/>
        <w:jc w:val="both"/>
      </w:pPr>
      <w:r>
        <w:t xml:space="preserve">5.3.3. Получать от Заказчика содействие при оказании Услуг в соответствии </w:t>
      </w:r>
      <w:r>
        <w:br w:type="textWrapping"/>
      </w:r>
      <w:r>
        <w:t>с условиями Контракта.</w:t>
      </w:r>
    </w:p>
    <w:p w14:paraId="66AACA1C">
      <w:pPr>
        <w:ind w:firstLine="708"/>
        <w:jc w:val="both"/>
      </w:pPr>
      <w:r>
        <w:t>5.3.4. Досрочно исполнить обязательства по Контракту с согласия Заказчика.</w:t>
      </w:r>
    </w:p>
    <w:p w14:paraId="67A86081">
      <w:pPr>
        <w:ind w:firstLine="708"/>
        <w:jc w:val="both"/>
      </w:pPr>
      <w:r>
        <w:t>5.4. Поставщик обязан:</w:t>
      </w:r>
    </w:p>
    <w:p w14:paraId="5B0F1E0D">
      <w:pPr>
        <w:ind w:firstLine="708"/>
        <w:jc w:val="both"/>
      </w:pPr>
      <w:r>
        <w:t>5.4.1. Своевременно и надлежащим образом исполнять обязательства по оказанию Услуг в соответствии с условиями Контракта.</w:t>
      </w:r>
    </w:p>
    <w:p w14:paraId="6B75E9A0">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9DF09A9">
      <w:pPr>
        <w:ind w:firstLine="708"/>
        <w:jc w:val="both"/>
      </w:pPr>
      <w:r>
        <w:t>5.4.3. Обеспечить устранение недостатков, выявленных при приемке Заказчиком Услуг, за свой счет.</w:t>
      </w:r>
    </w:p>
    <w:p w14:paraId="5FA0E411">
      <w:pPr>
        <w:ind w:firstLine="708"/>
        <w:jc w:val="both"/>
      </w:pPr>
      <w:r>
        <w:t xml:space="preserve">5.4.4. Приостановить оказание Услуг в случае обнаружения не зависящих </w:t>
      </w:r>
      <w:r>
        <w:br w:type="textWrapping"/>
      </w:r>
      <w: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ype="textWrapping"/>
      </w:r>
      <w:r>
        <w:t>и сообщить об этом Заказчику в течение одного рабочего дня после приостановления поставки.</w:t>
      </w:r>
    </w:p>
    <w:p w14:paraId="4293D9EC">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A3E800F">
      <w:pPr>
        <w:ind w:firstLine="708"/>
        <w:jc w:val="both"/>
      </w:pPr>
      <w:r>
        <w:t>5.5. Поставщик гарантирует, что на момент заключения Контракта:</w:t>
      </w:r>
    </w:p>
    <w:p w14:paraId="263A3F54">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ype="textWrapping"/>
      </w:r>
      <w:r>
        <w:t xml:space="preserve">в бюджеты бюджетной системы Российской Федерации за прошедший календарный год </w:t>
      </w:r>
      <w:r>
        <w:br w:type="textWrapping"/>
      </w:r>
      <w:r>
        <w:t>не превышает 25% балансовой стоимости активов по данным бухгалтерской (бюджетной) отчетности за последний отчетный период.</w:t>
      </w:r>
    </w:p>
    <w:p w14:paraId="4D100752">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0A6650C">
      <w:pPr>
        <w:ind w:firstLine="708"/>
        <w:jc w:val="both"/>
      </w:pPr>
      <w:r>
        <w:t xml:space="preserve">5.5.3. За последние два года не нарушал контрактных (договорных) обязательств </w:t>
      </w:r>
      <w:r>
        <w:br w:type="textWrapping"/>
      </w:r>
      <w:r>
        <w:t>и не причинял ущерба (либо погасил причиненный ущерб) по аналогичным контрактам (договорам).</w:t>
      </w:r>
    </w:p>
    <w:p w14:paraId="035E613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7D6A5C3">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F8886E5">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90F8492">
      <w:pPr>
        <w:ind w:firstLine="708"/>
        <w:jc w:val="both"/>
      </w:pPr>
      <w:r>
        <w:t xml:space="preserve">5.5.7. </w:t>
      </w:r>
      <w:r>
        <w:rPr>
          <w:rFonts w:eastAsiaTheme="minorHAnsi"/>
          <w:lang w:eastAsia="en-US"/>
        </w:rPr>
        <w:t>Поставщик не является иностранным агентом.</w:t>
      </w:r>
    </w:p>
    <w:p w14:paraId="194B7BC5">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0CE802FF">
      <w:pPr>
        <w:ind w:firstLine="708"/>
        <w:jc w:val="both"/>
      </w:pPr>
    </w:p>
    <w:p w14:paraId="2A51B524">
      <w:pPr>
        <w:jc w:val="center"/>
        <w:rPr>
          <w:b/>
        </w:rPr>
      </w:pPr>
      <w:r>
        <w:rPr>
          <w:b/>
        </w:rPr>
        <w:t>6. Гарантии</w:t>
      </w:r>
    </w:p>
    <w:p w14:paraId="3D03B13B">
      <w:pPr>
        <w:pStyle w:val="196"/>
        <w:keepNext w:val="0"/>
        <w:numPr>
          <w:ilvl w:val="0"/>
          <w:numId w:val="0"/>
        </w:numPr>
        <w:tabs>
          <w:tab w:val="left" w:pos="851"/>
          <w:tab w:val="clear" w:pos="1134"/>
        </w:tabs>
        <w:spacing w:before="0"/>
        <w:ind w:firstLine="709"/>
        <w:outlineLvl w:val="0"/>
        <w:rPr>
          <w:szCs w:val="24"/>
        </w:rPr>
      </w:pPr>
      <w:r>
        <w:t>6.1.</w:t>
      </w:r>
      <w:r>
        <w:rPr>
          <w:szCs w:val="24"/>
        </w:rPr>
        <w:t xml:space="preserve"> Гарантийный срок на оказанные услуги: не менее 12 месяцев с момента подписания Акта сдачи-приемки оказанных услуг.</w:t>
      </w:r>
    </w:p>
    <w:p w14:paraId="198B946B">
      <w:pPr>
        <w:ind w:firstLine="708"/>
        <w:jc w:val="both"/>
        <w:rPr>
          <w:b/>
        </w:rPr>
      </w:pPr>
    </w:p>
    <w:p w14:paraId="42EC513E">
      <w:pPr>
        <w:jc w:val="center"/>
        <w:rPr>
          <w:b/>
        </w:rPr>
      </w:pPr>
      <w:r>
        <w:rPr>
          <w:b/>
        </w:rPr>
        <w:t>7. Ответственность сторон</w:t>
      </w:r>
    </w:p>
    <w:p w14:paraId="6C90E8F7">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8CE18B3">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D8F088A">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26D9AA">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7FB20A6">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9D750F">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52652869">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BE4BB3">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ype="textWrapping"/>
      </w:r>
      <w:r>
        <w:t>не может превышать цену Контракта.</w:t>
      </w:r>
    </w:p>
    <w:p w14:paraId="646CD98E">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087969">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674C178">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BEDDFF1">
      <w:pPr>
        <w:ind w:firstLine="708"/>
        <w:jc w:val="both"/>
      </w:pPr>
    </w:p>
    <w:p w14:paraId="1815D323">
      <w:pPr>
        <w:jc w:val="center"/>
        <w:rPr>
          <w:b/>
        </w:rPr>
      </w:pPr>
      <w:r>
        <w:rPr>
          <w:b/>
        </w:rPr>
        <w:t>8. Срок действия, порядок изменения и расторжения Контракта.</w:t>
      </w:r>
    </w:p>
    <w:p w14:paraId="5A6FD8D2">
      <w:pPr>
        <w:ind w:firstLine="708"/>
        <w:jc w:val="both"/>
      </w:pPr>
      <w:r>
        <w:t>8.1. Контракт вступает в силу со дня его подписания Сторонами.</w:t>
      </w:r>
    </w:p>
    <w:p w14:paraId="707D7581">
      <w:pPr>
        <w:ind w:firstLine="708"/>
        <w:jc w:val="both"/>
      </w:pPr>
      <w:r>
        <w:t xml:space="preserve">8.2. Контракт действует по </w:t>
      </w:r>
      <w:r>
        <w:rPr>
          <w:color w:val="FF0000"/>
        </w:rPr>
        <w:t>31.12.202</w:t>
      </w:r>
      <w:r>
        <w:rPr>
          <w:rFonts w:hint="default"/>
          <w:color w:val="FF0000"/>
          <w:lang w:val="ru-RU"/>
        </w:rPr>
        <w:t>6</w:t>
      </w:r>
      <w:r>
        <w:rPr>
          <w:color w:val="FF0000"/>
        </w:rPr>
        <w:t>г</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9282AA">
      <w:pPr>
        <w:ind w:firstLine="708"/>
        <w:jc w:val="both"/>
      </w:pPr>
      <w:r>
        <w:t>8.3. Контракт может быть расторгнут:</w:t>
      </w:r>
    </w:p>
    <w:p w14:paraId="00E081AB">
      <w:pPr>
        <w:jc w:val="both"/>
      </w:pPr>
      <w:r>
        <w:t>- по соглашению сторон;</w:t>
      </w:r>
    </w:p>
    <w:p w14:paraId="4CFFCF1A">
      <w:pPr>
        <w:jc w:val="both"/>
      </w:pPr>
      <w:r>
        <w:t>- по решению суда;</w:t>
      </w:r>
    </w:p>
    <w:p w14:paraId="2F42E928">
      <w:pPr>
        <w:jc w:val="both"/>
      </w:pPr>
      <w:r>
        <w:t xml:space="preserve">- в случае одностороннего отказа Стороны Контракта от исполнения Контракта </w:t>
      </w:r>
      <w:r>
        <w:br w:type="textWrapping"/>
      </w:r>
      <w:r>
        <w:t>в соответствии с гражданским законодательством.</w:t>
      </w:r>
    </w:p>
    <w:p w14:paraId="7CBA1612">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138C2A3D">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14:paraId="0E162BEB">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26110060">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F8C4E7E">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19A24DC">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D7FC3BD">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F03C5C7">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AB1095">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72542E5">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7763F5D">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E1CF6A0">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7DEDF5B">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773058">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D2FE0F8">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68A00F9">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F15237">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92834D">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D73C71C">
      <w:pPr>
        <w:jc w:val="center"/>
        <w:rPr>
          <w:b/>
        </w:rPr>
      </w:pPr>
    </w:p>
    <w:p w14:paraId="1B069784">
      <w:pPr>
        <w:jc w:val="center"/>
        <w:rPr>
          <w:b/>
        </w:rPr>
      </w:pPr>
      <w:r>
        <w:rPr>
          <w:b/>
        </w:rPr>
        <w:t>9. Порядок урегулирования споров</w:t>
      </w:r>
    </w:p>
    <w:p w14:paraId="3861118B">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A17F17">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DFEB77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B88ECFA">
      <w:pPr>
        <w:jc w:val="center"/>
        <w:rPr>
          <w:b/>
        </w:rPr>
      </w:pPr>
    </w:p>
    <w:p w14:paraId="479E9D81">
      <w:pPr>
        <w:jc w:val="center"/>
        <w:rPr>
          <w:b/>
        </w:rPr>
      </w:pPr>
      <w:r>
        <w:rPr>
          <w:b/>
        </w:rPr>
        <w:t>10. Прочие условия</w:t>
      </w:r>
    </w:p>
    <w:p w14:paraId="1F139848">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F8ECCAA">
      <w:pPr>
        <w:ind w:firstLine="708"/>
        <w:jc w:val="both"/>
      </w:pPr>
      <w:r>
        <w:t>10.2. Во всем, что не предусмотрено Контрактом, Стороны руководствуются законодательством Российской Федерации.</w:t>
      </w:r>
    </w:p>
    <w:p w14:paraId="7C2ACE45">
      <w:pPr>
        <w:ind w:firstLine="708"/>
        <w:jc w:val="both"/>
      </w:pPr>
    </w:p>
    <w:p w14:paraId="37E8F9A3">
      <w:pPr>
        <w:jc w:val="center"/>
        <w:rPr>
          <w:b/>
        </w:rPr>
      </w:pPr>
      <w:r>
        <w:rPr>
          <w:b/>
        </w:rPr>
        <w:t>11. Приложения</w:t>
      </w:r>
    </w:p>
    <w:p w14:paraId="7F4FB04D">
      <w:pPr>
        <w:ind w:firstLine="708"/>
        <w:jc w:val="both"/>
      </w:pPr>
      <w:r>
        <w:t>11.1 Неотъемлемой частью Контракта являются:</w:t>
      </w:r>
    </w:p>
    <w:p w14:paraId="40609169">
      <w:pPr>
        <w:ind w:left="708" w:firstLine="708"/>
      </w:pPr>
      <w:r>
        <w:t>Приложение № 1 «Спецификация»;</w:t>
      </w:r>
    </w:p>
    <w:p w14:paraId="47055BC2">
      <w:pPr>
        <w:ind w:left="708" w:firstLine="708"/>
      </w:pPr>
      <w:r>
        <w:t>Приложение № 2 «Техническое задание»</w:t>
      </w:r>
    </w:p>
    <w:p w14:paraId="625F1C1B">
      <w:pPr>
        <w:ind w:left="708" w:firstLine="708"/>
        <w:rPr>
          <w:rFonts w:hint="default" w:ascii="Times New Roman" w:hAnsi="Times New Roman" w:cs="Times New Roman"/>
          <w:b w:val="0"/>
          <w:bCs w:val="0"/>
          <w:lang w:val="ru-RU"/>
        </w:rPr>
      </w:pPr>
      <w:r>
        <w:rPr>
          <w:b w:val="0"/>
          <w:bCs w:val="0"/>
          <w:lang w:val="ru-RU"/>
        </w:rPr>
        <w:t>Приложение</w:t>
      </w:r>
      <w:r>
        <w:rPr>
          <w:rFonts w:hint="default"/>
          <w:b w:val="0"/>
          <w:bCs w:val="0"/>
          <w:lang w:val="ru-RU"/>
        </w:rPr>
        <w:t xml:space="preserve"> № 3 «Форма акта № </w:t>
      </w:r>
      <w:r>
        <w:rPr>
          <w:rFonts w:ascii="Times New Roman" w:hAnsi="Times New Roman" w:cs="Times New Roman"/>
          <w:b w:val="0"/>
          <w:bCs w:val="0"/>
        </w:rPr>
        <w:t>0510452</w:t>
      </w:r>
      <w:r>
        <w:rPr>
          <w:rFonts w:hint="default" w:ascii="Times New Roman" w:hAnsi="Times New Roman" w:cs="Times New Roman"/>
          <w:b w:val="0"/>
          <w:bCs w:val="0"/>
          <w:lang w:val="ru-RU"/>
        </w:rPr>
        <w:t>»</w:t>
      </w:r>
    </w:p>
    <w:p w14:paraId="4B8A7AAE">
      <w:pPr>
        <w:ind w:left="708" w:firstLine="708"/>
        <w:rPr>
          <w:rFonts w:hint="default" w:ascii="Times New Roman" w:hAnsi="Times New Roman" w:cs="Times New Roman"/>
          <w:b w:val="0"/>
          <w:bCs/>
          <w:lang w:val="ru-RU"/>
        </w:rPr>
      </w:pPr>
    </w:p>
    <w:p w14:paraId="563A5562">
      <w:pPr>
        <w:ind w:left="708" w:firstLine="708"/>
        <w:rPr>
          <w:b/>
        </w:rPr>
      </w:pPr>
      <w:r>
        <w:rPr>
          <w:b/>
        </w:rPr>
        <w:t>12. Реквизиты и подписи сторон</w:t>
      </w:r>
    </w:p>
    <w:p w14:paraId="55E51D3D">
      <w:pPr>
        <w:jc w:val="center"/>
        <w:rPr>
          <w:b/>
        </w:rPr>
      </w:pPr>
    </w:p>
    <w:tbl>
      <w:tblPr>
        <w:tblStyle w:val="38"/>
        <w:tblW w:w="94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15"/>
        <w:gridCol w:w="4673"/>
      </w:tblGrid>
      <w:tr w14:paraId="2DCC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E424BC6">
            <w:pPr>
              <w:jc w:val="both"/>
              <w:rPr>
                <w:b/>
              </w:rPr>
            </w:pPr>
          </w:p>
        </w:tc>
        <w:tc>
          <w:tcPr>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noWrap w:val="0"/>
          </w:tcPr>
          <w:p w14:paraId="2BCD1070">
            <w:pPr>
              <w:jc w:val="both"/>
              <w:rPr>
                <w:b/>
              </w:rPr>
            </w:pPr>
          </w:p>
        </w:tc>
      </w:tr>
    </w:tbl>
    <w:tbl>
      <w:tblPr>
        <w:tblStyle w:val="12"/>
        <w:tblW w:w="9488" w:type="dxa"/>
        <w:tblInd w:w="0" w:type="dxa"/>
        <w:tblLayout w:type="autofit"/>
        <w:tblCellMar>
          <w:top w:w="0" w:type="dxa"/>
          <w:left w:w="108" w:type="dxa"/>
          <w:bottom w:w="0" w:type="dxa"/>
          <w:right w:w="108" w:type="dxa"/>
        </w:tblCellMar>
      </w:tblPr>
      <w:tblGrid>
        <w:gridCol w:w="4815"/>
        <w:gridCol w:w="4673"/>
      </w:tblGrid>
      <w:tr w14:paraId="7739B150">
        <w:tblPrEx>
          <w:tblCellMar>
            <w:top w:w="0" w:type="dxa"/>
            <w:left w:w="108" w:type="dxa"/>
            <w:bottom w:w="0" w:type="dxa"/>
            <w:right w:w="108" w:type="dxa"/>
          </w:tblCellMar>
        </w:tblPrEx>
        <w:trPr>
          <w:trHeight w:val="4424" w:hRule="atLeast"/>
        </w:trPr>
        <w:tc>
          <w:tcPr>
            <w:tcW w:w="4815" w:type="dxa"/>
          </w:tcPr>
          <w:p w14:paraId="2259446C">
            <w:pPr>
              <w:rPr>
                <w:sz w:val="22"/>
                <w:szCs w:val="22"/>
              </w:rPr>
            </w:pPr>
            <w:r>
              <w:rPr>
                <w:b/>
                <w:sz w:val="22"/>
                <w:szCs w:val="22"/>
              </w:rPr>
              <w:t>Заказчик:</w:t>
            </w:r>
            <w:r>
              <w:rPr>
                <w:sz w:val="22"/>
                <w:szCs w:val="22"/>
              </w:rPr>
              <w:t xml:space="preserve"> </w:t>
            </w:r>
          </w:p>
          <w:p w14:paraId="586C84ED">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4673" w:type="dxa"/>
          </w:tcPr>
          <w:p w14:paraId="46FA03CE">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12DF480">
            <w:pPr>
              <w:autoSpaceDE w:val="0"/>
              <w:autoSpaceDN w:val="0"/>
              <w:adjustRightInd w:val="0"/>
              <w:jc w:val="both"/>
              <w:rPr>
                <w:rFonts w:ascii="Courier New" w:hAnsi="Courier New" w:eastAsia="Calibri" w:cs="Courier New"/>
                <w:bCs/>
                <w:sz w:val="22"/>
                <w:szCs w:val="22"/>
                <w:lang w:eastAsia="en-US"/>
              </w:rPr>
            </w:pPr>
          </w:p>
        </w:tc>
      </w:tr>
    </w:tbl>
    <w:p w14:paraId="1A7A4EEF">
      <w:pPr>
        <w:spacing w:after="160" w:line="259" w:lineRule="auto"/>
      </w:pPr>
      <w:r>
        <w:rPr/>
        <w:br w:type="page" w:clear="all"/>
      </w:r>
    </w:p>
    <w:p w14:paraId="09DD4286">
      <w:pPr>
        <w:pageBreakBefore/>
        <w:ind w:right="261"/>
        <w:jc w:val="right"/>
      </w:pPr>
      <w:r>
        <w:t xml:space="preserve">Приложение № </w:t>
      </w:r>
      <w:r>
        <w:rPr>
          <w:rFonts w:hint="default"/>
          <w:lang w:val="ru-RU"/>
        </w:rPr>
        <w:t>1</w:t>
      </w:r>
      <w:r>
        <w:t xml:space="preserve"> к Контракту</w:t>
      </w:r>
    </w:p>
    <w:p w14:paraId="084DBC9D">
      <w:pPr>
        <w:ind w:right="261"/>
        <w:jc w:val="right"/>
        <w:rPr>
          <w:sz w:val="26"/>
          <w:szCs w:val="26"/>
        </w:rPr>
      </w:pPr>
      <w:r>
        <w:rPr>
          <w:rFonts w:ascii="Times New Roman" w:hAnsi="Times New Roman" w:cs="Times New Roman"/>
          <w:sz w:val="24"/>
          <w:szCs w:val="24"/>
        </w:rPr>
        <w:t xml:space="preserve"> от «___»____________202</w:t>
      </w:r>
      <w:r>
        <w:rPr>
          <w:rFonts w:hint="default"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r>
        <w:t xml:space="preserve"> </w:t>
      </w:r>
    </w:p>
    <w:p w14:paraId="06B6EA60">
      <w:pPr>
        <w:spacing w:line="340" w:lineRule="exact"/>
        <w:ind w:right="261"/>
        <w:jc w:val="center"/>
        <w:outlineLvl w:val="0"/>
        <w:rPr>
          <w:b/>
          <w:bCs/>
        </w:rPr>
      </w:pPr>
    </w:p>
    <w:p w14:paraId="64F62973">
      <w:pPr>
        <w:spacing w:line="340" w:lineRule="exact"/>
        <w:ind w:right="261"/>
        <w:jc w:val="center"/>
        <w:outlineLvl w:val="0"/>
        <w:rPr>
          <w:b/>
          <w:bCs/>
        </w:rPr>
      </w:pPr>
    </w:p>
    <w:p w14:paraId="1BFA455B">
      <w:pPr>
        <w:spacing w:line="340" w:lineRule="exact"/>
        <w:ind w:right="261"/>
        <w:jc w:val="center"/>
        <w:outlineLvl w:val="0"/>
        <w:rPr>
          <w:b/>
          <w:bCs/>
        </w:rPr>
      </w:pPr>
    </w:p>
    <w:p w14:paraId="3231E97B">
      <w:pPr>
        <w:spacing w:line="340" w:lineRule="exact"/>
        <w:ind w:right="261"/>
        <w:jc w:val="center"/>
        <w:outlineLvl w:val="0"/>
        <w:rPr>
          <w:b/>
          <w:bCs/>
        </w:rPr>
      </w:pPr>
    </w:p>
    <w:p w14:paraId="4283E0A7">
      <w:pPr>
        <w:spacing w:line="340" w:lineRule="exact"/>
        <w:ind w:right="261"/>
        <w:jc w:val="center"/>
        <w:outlineLvl w:val="0"/>
        <w:rPr>
          <w:b/>
          <w:bCs/>
        </w:rPr>
      </w:pPr>
    </w:p>
    <w:p w14:paraId="324A1761">
      <w:pPr>
        <w:autoSpaceDE w:val="0"/>
        <w:autoSpaceDN w:val="0"/>
        <w:adjustRightInd w:val="0"/>
        <w:ind w:right="261"/>
        <w:jc w:val="center"/>
        <w:rPr>
          <w:b/>
          <w:bCs/>
        </w:rPr>
      </w:pPr>
      <w:r>
        <w:rPr>
          <w:b/>
          <w:bCs/>
        </w:rPr>
        <w:t xml:space="preserve">РАСЧЕТ СТОИМОСТИ УСЛУГ </w:t>
      </w:r>
    </w:p>
    <w:p w14:paraId="2C613C89">
      <w:pPr>
        <w:autoSpaceDE w:val="0"/>
        <w:autoSpaceDN w:val="0"/>
        <w:adjustRightInd w:val="0"/>
        <w:ind w:right="261"/>
        <w:jc w:val="center"/>
        <w:rPr>
          <w:b/>
          <w:bCs/>
        </w:rPr>
      </w:pPr>
    </w:p>
    <w:p w14:paraId="783364E2">
      <w:pPr>
        <w:autoSpaceDE w:val="0"/>
        <w:autoSpaceDN w:val="0"/>
        <w:adjustRightInd w:val="0"/>
        <w:ind w:right="261"/>
        <w:jc w:val="center"/>
        <w:rPr>
          <w:b/>
          <w:bCs/>
        </w:rPr>
      </w:pPr>
    </w:p>
    <w:p w14:paraId="5F6FA80C">
      <w:pPr>
        <w:autoSpaceDE w:val="0"/>
        <w:autoSpaceDN w:val="0"/>
        <w:adjustRightInd w:val="0"/>
        <w:ind w:right="261"/>
        <w:jc w:val="center"/>
        <w:rPr>
          <w:b/>
          <w:bCs/>
        </w:rPr>
      </w:pPr>
    </w:p>
    <w:tbl>
      <w:tblPr>
        <w:tblStyle w:val="12"/>
        <w:tblW w:w="5089" w:type="pct"/>
        <w:tblInd w:w="0" w:type="dxa"/>
        <w:tblLayout w:type="fixed"/>
        <w:tblCellMar>
          <w:top w:w="0" w:type="dxa"/>
          <w:left w:w="108" w:type="dxa"/>
          <w:bottom w:w="0" w:type="dxa"/>
          <w:right w:w="108" w:type="dxa"/>
        </w:tblCellMar>
      </w:tblPr>
      <w:tblGrid>
        <w:gridCol w:w="523"/>
        <w:gridCol w:w="3111"/>
        <w:gridCol w:w="1256"/>
        <w:gridCol w:w="1466"/>
        <w:gridCol w:w="1593"/>
        <w:gridCol w:w="1792"/>
      </w:tblGrid>
      <w:tr w14:paraId="241C0302">
        <w:tblPrEx>
          <w:tblCellMar>
            <w:top w:w="0" w:type="dxa"/>
            <w:left w:w="108" w:type="dxa"/>
            <w:bottom w:w="0" w:type="dxa"/>
            <w:right w:w="108" w:type="dxa"/>
          </w:tblCellMar>
        </w:tblPrEx>
        <w:trPr>
          <w:trHeight w:val="81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281A1F7D">
            <w:pPr>
              <w:jc w:val="center"/>
              <w:rPr>
                <w:b/>
                <w:sz w:val="22"/>
              </w:rPr>
            </w:pPr>
            <w:r>
              <w:rPr>
                <w:b/>
                <w:sz w:val="22"/>
              </w:rPr>
              <w:t>№ п/п</w:t>
            </w:r>
          </w:p>
        </w:tc>
        <w:tc>
          <w:tcPr>
            <w:tcW w:w="1596" w:type="pct"/>
            <w:tcBorders>
              <w:top w:val="single" w:color="auto" w:sz="4" w:space="0"/>
              <w:left w:val="single" w:color="auto" w:sz="4" w:space="0"/>
              <w:bottom w:val="single" w:color="auto" w:sz="4" w:space="0"/>
              <w:right w:val="single" w:color="auto" w:sz="4" w:space="0"/>
            </w:tcBorders>
            <w:vAlign w:val="center"/>
          </w:tcPr>
          <w:p w14:paraId="0B6388D0">
            <w:pPr>
              <w:jc w:val="center"/>
              <w:rPr>
                <w:b/>
                <w:sz w:val="22"/>
              </w:rPr>
            </w:pPr>
            <w:r>
              <w:rPr>
                <w:b/>
                <w:sz w:val="22"/>
              </w:rPr>
              <w:t>Наименование товара</w:t>
            </w:r>
          </w:p>
        </w:tc>
        <w:tc>
          <w:tcPr>
            <w:tcW w:w="644" w:type="pct"/>
            <w:tcBorders>
              <w:top w:val="single" w:color="auto" w:sz="4" w:space="0"/>
              <w:left w:val="single" w:color="auto" w:sz="4" w:space="0"/>
              <w:bottom w:val="single" w:color="auto" w:sz="4" w:space="0"/>
              <w:right w:val="single" w:color="auto" w:sz="4" w:space="0"/>
            </w:tcBorders>
            <w:vAlign w:val="center"/>
          </w:tcPr>
          <w:p w14:paraId="04845BCC">
            <w:pPr>
              <w:jc w:val="center"/>
              <w:rPr>
                <w:b/>
                <w:sz w:val="22"/>
              </w:rPr>
            </w:pPr>
            <w:r>
              <w:rPr>
                <w:b/>
                <w:sz w:val="22"/>
              </w:rPr>
              <w:t>Ед. измерения</w:t>
            </w:r>
          </w:p>
        </w:tc>
        <w:tc>
          <w:tcPr>
            <w:tcW w:w="752" w:type="pct"/>
            <w:tcBorders>
              <w:top w:val="single" w:color="auto" w:sz="4" w:space="0"/>
              <w:left w:val="single" w:color="auto" w:sz="4" w:space="0"/>
              <w:bottom w:val="single" w:color="auto" w:sz="4" w:space="0"/>
              <w:right w:val="single" w:color="auto" w:sz="4" w:space="0"/>
            </w:tcBorders>
            <w:vAlign w:val="center"/>
          </w:tcPr>
          <w:p w14:paraId="64C2587B">
            <w:pPr>
              <w:jc w:val="center"/>
              <w:rPr>
                <w:b/>
                <w:sz w:val="22"/>
              </w:rPr>
            </w:pPr>
            <w:r>
              <w:rPr>
                <w:b/>
                <w:sz w:val="22"/>
              </w:rPr>
              <w:t>Кол-во</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5B1336F6">
            <w:pPr>
              <w:ind w:left="33" w:leftChars="0" w:right="261" w:rightChars="0"/>
              <w:jc w:val="center"/>
              <w:rPr>
                <w:rFonts w:hint="default" w:ascii="Times New Roman" w:hAnsi="Times New Roman" w:eastAsia="Times New Roman" w:cs="Times New Roman"/>
                <w:b/>
                <w:sz w:val="24"/>
                <w:szCs w:val="24"/>
                <w:lang w:val="ru-RU" w:eastAsia="ru-RU" w:bidi="ar-SA"/>
              </w:rPr>
            </w:pPr>
            <w:r>
              <w:rPr>
                <w:b/>
              </w:rPr>
              <w:t>Цена за ед. услуги</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96F7658">
            <w:pPr>
              <w:ind w:left="33" w:leftChars="0" w:right="261" w:rightChars="0"/>
              <w:jc w:val="center"/>
              <w:rPr>
                <w:rFonts w:hint="default" w:ascii="Times New Roman" w:hAnsi="Times New Roman" w:eastAsia="Times New Roman" w:cs="Times New Roman"/>
                <w:b/>
                <w:sz w:val="24"/>
                <w:szCs w:val="24"/>
                <w:lang w:val="ru-RU" w:eastAsia="ru-RU" w:bidi="ar-SA"/>
              </w:rPr>
            </w:pPr>
            <w:r>
              <w:rPr>
                <w:b/>
              </w:rPr>
              <w:t xml:space="preserve">Общая стоимость услуг, </w:t>
            </w:r>
          </w:p>
        </w:tc>
      </w:tr>
      <w:tr w14:paraId="62DF0E38">
        <w:tblPrEx>
          <w:tblCellMar>
            <w:top w:w="0" w:type="dxa"/>
            <w:left w:w="108" w:type="dxa"/>
            <w:bottom w:w="0" w:type="dxa"/>
            <w:right w:w="108" w:type="dxa"/>
          </w:tblCellMar>
        </w:tblPrEx>
        <w:trPr>
          <w:trHeight w:val="495" w:hRule="atLeast"/>
        </w:trPr>
        <w:tc>
          <w:tcPr>
            <w:tcW w:w="268" w:type="pct"/>
            <w:tcBorders>
              <w:top w:val="single" w:color="auto" w:sz="4" w:space="0"/>
              <w:left w:val="single" w:color="auto" w:sz="4" w:space="0"/>
              <w:bottom w:val="single" w:color="auto" w:sz="4" w:space="0"/>
              <w:right w:val="single" w:color="auto" w:sz="4" w:space="0"/>
            </w:tcBorders>
            <w:shd w:val="clear" w:color="auto" w:fill="auto"/>
            <w:vAlign w:val="center"/>
          </w:tcPr>
          <w:p w14:paraId="61AC32ED">
            <w:pPr>
              <w:pStyle w:val="185"/>
              <w:numPr>
                <w:ilvl w:val="0"/>
                <w:numId w:val="2"/>
              </w:numPr>
              <w:jc w:val="center"/>
              <w:rPr>
                <w:sz w:val="22"/>
              </w:rPr>
            </w:pPr>
          </w:p>
        </w:tc>
        <w:tc>
          <w:tcPr>
            <w:tcW w:w="1596" w:type="pct"/>
            <w:tcBorders>
              <w:top w:val="single" w:color="auto" w:sz="4" w:space="0"/>
              <w:left w:val="single" w:color="auto" w:sz="4" w:space="0"/>
              <w:bottom w:val="single" w:color="auto" w:sz="4" w:space="0"/>
              <w:right w:val="single" w:color="auto" w:sz="4" w:space="0"/>
            </w:tcBorders>
            <w:vAlign w:val="center"/>
          </w:tcPr>
          <w:p w14:paraId="262A87B7">
            <w:pPr>
              <w:jc w:val="center"/>
              <w:rPr>
                <w:rFonts w:hint="default"/>
                <w:sz w:val="22"/>
                <w:lang w:val="ru-RU"/>
              </w:rPr>
            </w:pPr>
            <w:r>
              <w:rPr>
                <w:rFonts w:hint="default" w:ascii="Calibri" w:hAnsi="Calibri" w:eastAsia="SimSun" w:cs="Calibri"/>
                <w:color w:val="000000"/>
                <w:kern w:val="0"/>
                <w:sz w:val="22"/>
                <w:szCs w:val="22"/>
                <w:lang w:val="ru-RU" w:eastAsia="zh-CN" w:bidi="ar"/>
              </w:rPr>
              <w:t xml:space="preserve">Посудомоечная машина Бирюса </w:t>
            </w:r>
            <w:r>
              <w:rPr>
                <w:rFonts w:hint="default" w:ascii="Calibri" w:hAnsi="Calibri" w:eastAsia="SimSun" w:cs="Calibri"/>
                <w:color w:val="000000"/>
                <w:kern w:val="0"/>
                <w:sz w:val="22"/>
                <w:szCs w:val="22"/>
                <w:lang w:val="en-US" w:eastAsia="zh-CN" w:bidi="ar"/>
              </w:rPr>
              <w:t>DWF-615/03W</w:t>
            </w:r>
          </w:p>
        </w:tc>
        <w:tc>
          <w:tcPr>
            <w:tcW w:w="644" w:type="pct"/>
            <w:tcBorders>
              <w:top w:val="single" w:color="auto" w:sz="4" w:space="0"/>
              <w:left w:val="single" w:color="auto" w:sz="4" w:space="0"/>
              <w:bottom w:val="single" w:color="auto" w:sz="4" w:space="0"/>
              <w:right w:val="single" w:color="auto" w:sz="4" w:space="0"/>
            </w:tcBorders>
            <w:vAlign w:val="center"/>
          </w:tcPr>
          <w:p w14:paraId="48A5343F">
            <w:pPr>
              <w:jc w:val="center"/>
              <w:rPr>
                <w:rFonts w:hint="default"/>
                <w:lang w:val="ru-RU"/>
              </w:rPr>
            </w:pPr>
            <w:r>
              <w:rPr>
                <w:lang w:val="ru-RU"/>
              </w:rPr>
              <w:t>шт</w:t>
            </w:r>
          </w:p>
        </w:tc>
        <w:tc>
          <w:tcPr>
            <w:tcW w:w="752" w:type="pct"/>
            <w:tcBorders>
              <w:top w:val="single" w:color="auto" w:sz="4" w:space="0"/>
              <w:left w:val="single" w:color="auto" w:sz="4" w:space="0"/>
              <w:bottom w:val="single" w:color="auto" w:sz="4" w:space="0"/>
              <w:right w:val="single" w:color="auto" w:sz="4" w:space="0"/>
            </w:tcBorders>
            <w:vAlign w:val="center"/>
          </w:tcPr>
          <w:p w14:paraId="04D23AA5">
            <w:pPr>
              <w:jc w:val="center"/>
              <w:rPr>
                <w:rFonts w:hint="default"/>
                <w:lang w:val="ru-RU"/>
              </w:rPr>
            </w:pPr>
            <w:r>
              <w:rPr>
                <w:rFonts w:hint="default"/>
                <w:lang w:val="ru-RU"/>
              </w:rPr>
              <w:t>3</w:t>
            </w:r>
          </w:p>
        </w:tc>
        <w:tc>
          <w:tcPr>
            <w:tcW w:w="818" w:type="pct"/>
            <w:tcBorders>
              <w:top w:val="single" w:color="auto" w:sz="4" w:space="0"/>
              <w:left w:val="single" w:color="auto" w:sz="4" w:space="0"/>
              <w:bottom w:val="single" w:color="auto" w:sz="4" w:space="0"/>
              <w:right w:val="single" w:color="auto" w:sz="4" w:space="0"/>
            </w:tcBorders>
            <w:shd w:val="clear" w:color="auto" w:fill="auto"/>
            <w:vAlign w:val="center"/>
          </w:tcPr>
          <w:p w14:paraId="47DC5387">
            <w:pPr>
              <w:jc w:val="center"/>
              <w:rPr>
                <w:sz w:val="22"/>
              </w:rPr>
            </w:pPr>
          </w:p>
        </w:tc>
        <w:tc>
          <w:tcPr>
            <w:tcW w:w="919" w:type="pct"/>
            <w:tcBorders>
              <w:top w:val="single" w:color="auto" w:sz="4" w:space="0"/>
              <w:left w:val="single" w:color="auto" w:sz="4" w:space="0"/>
              <w:bottom w:val="single" w:color="auto" w:sz="4" w:space="0"/>
              <w:right w:val="single" w:color="auto" w:sz="4" w:space="0"/>
            </w:tcBorders>
            <w:vAlign w:val="center"/>
          </w:tcPr>
          <w:p w14:paraId="6A7D4578">
            <w:pPr>
              <w:jc w:val="center"/>
              <w:rPr>
                <w:sz w:val="22"/>
              </w:rPr>
            </w:pPr>
          </w:p>
        </w:tc>
      </w:tr>
      <w:tr w14:paraId="6155CF6F">
        <w:tblPrEx>
          <w:tblCellMar>
            <w:top w:w="0" w:type="dxa"/>
            <w:left w:w="108" w:type="dxa"/>
            <w:bottom w:w="0" w:type="dxa"/>
            <w:right w:w="108" w:type="dxa"/>
          </w:tblCellMar>
        </w:tblPrEx>
        <w:trPr>
          <w:trHeight w:val="417" w:hRule="atLeast"/>
        </w:trPr>
        <w:tc>
          <w:tcPr>
            <w:tcW w:w="408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22315D53">
            <w:pPr>
              <w:jc w:val="center"/>
              <w:rPr>
                <w:b/>
                <w:sz w:val="22"/>
              </w:rPr>
            </w:pPr>
            <w:r>
              <w:rPr>
                <w:b/>
                <w:sz w:val="22"/>
              </w:rPr>
              <w:t>ИТОГО</w:t>
            </w:r>
          </w:p>
        </w:tc>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5AD610F8">
            <w:pPr>
              <w:jc w:val="center"/>
              <w:rPr>
                <w:b/>
                <w:sz w:val="22"/>
              </w:rPr>
            </w:pPr>
            <w:r>
              <w:rPr>
                <w:b/>
                <w:sz w:val="22"/>
              </w:rPr>
              <w:t xml:space="preserve">  </w:t>
            </w:r>
          </w:p>
        </w:tc>
      </w:tr>
    </w:tbl>
    <w:p w14:paraId="133F1303">
      <w:pPr>
        <w:autoSpaceDE w:val="0"/>
        <w:autoSpaceDN w:val="0"/>
        <w:adjustRightInd w:val="0"/>
        <w:ind w:right="261"/>
        <w:jc w:val="center"/>
        <w:rPr>
          <w:b/>
          <w:bCs/>
        </w:rPr>
      </w:pPr>
    </w:p>
    <w:p w14:paraId="0FC5BAD5">
      <w:pPr>
        <w:autoSpaceDE w:val="0"/>
        <w:autoSpaceDN w:val="0"/>
        <w:adjustRightInd w:val="0"/>
        <w:ind w:left="-567" w:right="261" w:firstLine="567"/>
        <w:jc w:val="both"/>
        <w:rPr>
          <w:bCs/>
          <w:sz w:val="28"/>
          <w:szCs w:val="28"/>
        </w:rP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67EEF694">
        <w:tblPrEx>
          <w:tblCellMar>
            <w:top w:w="0" w:type="dxa"/>
            <w:left w:w="108" w:type="dxa"/>
            <w:bottom w:w="0" w:type="dxa"/>
            <w:right w:w="108" w:type="dxa"/>
          </w:tblCellMar>
        </w:tblPrEx>
        <w:trPr>
          <w:trHeight w:val="4424" w:hRule="atLeast"/>
        </w:trPr>
        <w:tc>
          <w:tcPr>
            <w:tcW w:w="2545" w:type="pct"/>
          </w:tcPr>
          <w:p w14:paraId="59976A41">
            <w:pPr>
              <w:rPr>
                <w:sz w:val="22"/>
                <w:szCs w:val="22"/>
              </w:rPr>
            </w:pPr>
            <w:r>
              <w:rPr>
                <w:b/>
                <w:sz w:val="22"/>
                <w:szCs w:val="22"/>
              </w:rPr>
              <w:t>Заказчик:</w:t>
            </w:r>
            <w:r>
              <w:rPr>
                <w:sz w:val="22"/>
                <w:szCs w:val="22"/>
              </w:rPr>
              <w:t xml:space="preserve"> </w:t>
            </w:r>
          </w:p>
          <w:p w14:paraId="20D425BE">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05B8B39B">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22C12D2E">
            <w:pPr>
              <w:autoSpaceDE w:val="0"/>
              <w:autoSpaceDN w:val="0"/>
              <w:adjustRightInd w:val="0"/>
              <w:jc w:val="both"/>
              <w:rPr>
                <w:rFonts w:ascii="Courier New" w:hAnsi="Courier New" w:eastAsia="Calibri" w:cs="Courier New"/>
                <w:bCs/>
                <w:sz w:val="22"/>
                <w:szCs w:val="22"/>
                <w:lang w:eastAsia="en-US"/>
              </w:rPr>
            </w:pPr>
          </w:p>
        </w:tc>
      </w:tr>
    </w:tbl>
    <w:p w14:paraId="7DCD8EC7">
      <w:pPr>
        <w:ind w:right="261"/>
        <w:rPr>
          <w:sz w:val="26"/>
          <w:szCs w:val="26"/>
        </w:rPr>
      </w:pPr>
    </w:p>
    <w:p w14:paraId="51EB7515">
      <w:pPr>
        <w:ind w:right="261"/>
        <w:rPr>
          <w:sz w:val="26"/>
          <w:szCs w:val="26"/>
        </w:rPr>
      </w:pPr>
    </w:p>
    <w:p w14:paraId="50F78C28">
      <w:pPr>
        <w:ind w:right="261"/>
        <w:rPr>
          <w:sz w:val="26"/>
          <w:szCs w:val="26"/>
        </w:rPr>
      </w:pPr>
    </w:p>
    <w:p w14:paraId="43C8B917">
      <w:pPr>
        <w:pStyle w:val="200"/>
        <w:ind w:firstLine="540"/>
        <w:jc w:val="both"/>
        <w:outlineLvl w:val="2"/>
        <w:rPr>
          <w:sz w:val="26"/>
          <w:szCs w:val="26"/>
        </w:rPr>
      </w:pPr>
    </w:p>
    <w:p w14:paraId="7608A7ED">
      <w:pPr>
        <w:spacing w:after="160" w:line="259" w:lineRule="auto"/>
      </w:pPr>
    </w:p>
    <w:p w14:paraId="052249A3">
      <w:pPr>
        <w:spacing w:after="160" w:line="259" w:lineRule="auto"/>
      </w:pPr>
    </w:p>
    <w:p w14:paraId="23E9BA21">
      <w:pPr>
        <w:spacing w:after="160" w:line="259" w:lineRule="auto"/>
      </w:pPr>
    </w:p>
    <w:p w14:paraId="4B248FFC">
      <w:pPr>
        <w:spacing w:after="160" w:line="259" w:lineRule="auto"/>
      </w:pPr>
    </w:p>
    <w:p w14:paraId="244A8496">
      <w:pPr>
        <w:spacing w:after="160" w:line="259" w:lineRule="auto"/>
      </w:pPr>
    </w:p>
    <w:p w14:paraId="29E6F084">
      <w:pPr>
        <w:spacing w:after="160" w:line="259" w:lineRule="auto"/>
      </w:pPr>
    </w:p>
    <w:p w14:paraId="65DC6C63">
      <w:pPr>
        <w:spacing w:after="160" w:line="259" w:lineRule="auto"/>
      </w:pPr>
    </w:p>
    <w:p w14:paraId="059A843B">
      <w:pPr>
        <w:jc w:val="right"/>
      </w:pPr>
      <w:r>
        <w:t>Приложение № 2 к Контракту</w:t>
      </w:r>
    </w:p>
    <w:p w14:paraId="7A984841">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3E3F5B38">
      <w:pPr>
        <w:jc w:val="right"/>
      </w:pPr>
    </w:p>
    <w:p w14:paraId="31A62528">
      <w:pPr>
        <w:jc w:val="center"/>
        <w:rPr>
          <w:b/>
        </w:rPr>
      </w:pPr>
      <w:r>
        <w:rPr>
          <w:b/>
        </w:rPr>
        <w:t>Техническое задание</w:t>
      </w:r>
    </w:p>
    <w:p w14:paraId="0AF57760">
      <w:pPr>
        <w:jc w:val="both"/>
      </w:pPr>
      <w:r>
        <w:t xml:space="preserve"> </w:t>
      </w:r>
    </w:p>
    <w:p w14:paraId="53FB1C11">
      <w:pPr>
        <w:jc w:val="both"/>
      </w:pPr>
      <w:r>
        <w:t xml:space="preserve">1. </w:t>
      </w:r>
      <w:r>
        <w:rPr>
          <w:b/>
        </w:rPr>
        <w:t>Требования к качеству Товара, комплектности, таре, упаковке, маркировке и иные требования:</w:t>
      </w:r>
    </w:p>
    <w:p w14:paraId="58BCB1BF">
      <w:pPr>
        <w:jc w:val="both"/>
      </w:pPr>
      <w: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74669191">
      <w:pPr>
        <w:rPr>
          <w:b/>
        </w:rPr>
      </w:pPr>
    </w:p>
    <w:p w14:paraId="07AE4F8B">
      <w:pPr>
        <w:rPr>
          <w:color w:val="FF0000"/>
        </w:rPr>
      </w:pPr>
      <w:r>
        <w:rPr>
          <w:b/>
        </w:rPr>
        <w:t>2. Адрес поставки:</w:t>
      </w:r>
      <w:r>
        <w:t xml:space="preserve"> </w:t>
      </w:r>
    </w:p>
    <w:p w14:paraId="3543A6EA">
      <w:pPr>
        <w:ind w:firstLine="240"/>
        <w:rPr>
          <w:rFonts w:hint="default"/>
          <w:color w:val="FF0000"/>
          <w:sz w:val="22"/>
          <w:szCs w:val="22"/>
          <w:lang w:val="ru-RU"/>
        </w:rPr>
      </w:pPr>
      <w:r>
        <w:rPr>
          <w:rFonts w:hint="default"/>
          <w:color w:val="FF0000"/>
          <w:sz w:val="22"/>
          <w:szCs w:val="22"/>
          <w:lang w:val="ru-RU"/>
        </w:rPr>
        <w:t>192148, г. Санкт-Петербург, ул.Цимбалина, д.50 лит.А</w:t>
      </w:r>
    </w:p>
    <w:p w14:paraId="76D464F7">
      <w:pPr>
        <w:ind w:firstLine="240"/>
        <w:rPr>
          <w:rFonts w:hint="default"/>
          <w:color w:val="FF0000"/>
          <w:sz w:val="22"/>
          <w:szCs w:val="22"/>
          <w:lang w:val="ru-RU"/>
        </w:rPr>
      </w:pPr>
    </w:p>
    <w:p w14:paraId="091CA71B">
      <w:pPr>
        <w:rPr>
          <w:b/>
        </w:rPr>
      </w:pPr>
      <w:r>
        <w:rPr>
          <w:b/>
        </w:rPr>
        <w:t xml:space="preserve">3. Сопроводительные документы: </w:t>
      </w:r>
    </w:p>
    <w:p w14:paraId="62D5ED88">
      <w: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41FA8CD3"/>
    <w:p w14:paraId="2A9B7179">
      <w:pPr>
        <w:rPr>
          <w:b/>
        </w:rPr>
      </w:pPr>
      <w:r>
        <w:rPr>
          <w:b/>
        </w:rPr>
        <w:t xml:space="preserve">4. Срок поставки: </w:t>
      </w:r>
    </w:p>
    <w:p w14:paraId="36EECC6B">
      <w:r>
        <w:t xml:space="preserve">    В течение </w:t>
      </w:r>
      <w:r>
        <w:rPr>
          <w:color w:val="FF0000"/>
        </w:rPr>
        <w:t>15</w:t>
      </w:r>
      <w:r>
        <w:t xml:space="preserve"> рабочих дней с даты заключения Контракта.</w:t>
      </w:r>
    </w:p>
    <w:p w14:paraId="724F8D76"/>
    <w:p w14:paraId="6FCB6BB2">
      <w:pPr>
        <w:pStyle w:val="185"/>
        <w:ind w:left="0"/>
        <w:jc w:val="both"/>
        <w:rPr>
          <w:rFonts w:ascii="Times New Roman" w:hAnsi="Times New Roman" w:cs="Times New Roman"/>
          <w:b/>
          <w:sz w:val="24"/>
          <w:szCs w:val="24"/>
        </w:rPr>
      </w:pPr>
      <w:r>
        <w:rPr>
          <w:rFonts w:ascii="Times New Roman" w:hAnsi="Times New Roman" w:cs="Times New Roman"/>
          <w:b/>
          <w:sz w:val="24"/>
          <w:szCs w:val="24"/>
        </w:rPr>
        <w:t xml:space="preserve">5. Порядок приемки: </w:t>
      </w:r>
    </w:p>
    <w:p w14:paraId="66ED5975">
      <w:pPr>
        <w:pStyle w:val="185"/>
        <w:ind w:left="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spacing w:val="-1"/>
          <w:sz w:val="24"/>
          <w:szCs w:val="24"/>
        </w:rPr>
        <w:t xml:space="preserve"> </w:t>
      </w:r>
      <w:r>
        <w:rPr>
          <w:rFonts w:ascii="Times New Roman" w:hAnsi="Times New Roman" w:cs="Times New Roman"/>
          <w:sz w:val="24"/>
          <w:szCs w:val="24"/>
        </w:rPr>
        <w:t>Поставщик производит поставку</w:t>
      </w:r>
      <w:r>
        <w:rPr>
          <w:rFonts w:hint="default" w:ascii="Times New Roman" w:hAnsi="Times New Roman" w:cs="Times New Roman"/>
          <w:sz w:val="24"/>
          <w:szCs w:val="24"/>
          <w:lang w:val="ru-RU"/>
        </w:rPr>
        <w:t>, подъем и установку</w:t>
      </w:r>
      <w:r>
        <w:rPr>
          <w:rFonts w:ascii="Times New Roman" w:hAnsi="Times New Roman" w:cs="Times New Roman"/>
          <w:sz w:val="24"/>
          <w:szCs w:val="24"/>
        </w:rPr>
        <w:t xml:space="preserve">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приемки товара.</w:t>
      </w:r>
    </w:p>
    <w:p w14:paraId="4687EAEC">
      <w:pPr>
        <w:pStyle w:val="185"/>
        <w:ind w:left="0"/>
        <w:jc w:val="both"/>
        <w:rPr>
          <w:rFonts w:ascii="Times New Roman" w:hAnsi="Times New Roman" w:cs="Times New Roman"/>
          <w:sz w:val="24"/>
          <w:szCs w:val="24"/>
        </w:rPr>
      </w:pPr>
    </w:p>
    <w:p w14:paraId="13325A88">
      <w:pPr>
        <w:pStyle w:val="185"/>
        <w:ind w:left="0"/>
        <w:jc w:val="both"/>
        <w:rPr>
          <w:rFonts w:ascii="Times New Roman" w:hAnsi="Times New Roman" w:cs="Times New Roman"/>
          <w:b/>
          <w:sz w:val="24"/>
          <w:szCs w:val="24"/>
        </w:rPr>
      </w:pPr>
      <w:r>
        <w:rPr>
          <w:rFonts w:ascii="Times New Roman" w:hAnsi="Times New Roman" w:cs="Times New Roman"/>
          <w:b/>
          <w:sz w:val="24"/>
          <w:szCs w:val="24"/>
        </w:rPr>
        <w:t>6. Документ о приемке:</w:t>
      </w:r>
    </w:p>
    <w:p w14:paraId="401AFD26">
      <w:pPr>
        <w:pStyle w:val="185"/>
        <w:ind w:left="0"/>
        <w:jc w:val="both"/>
        <w:rPr>
          <w:rFonts w:ascii="Times New Roman" w:hAnsi="Times New Roman" w:cs="Times New Roman"/>
          <w:b/>
          <w:sz w:val="24"/>
          <w:szCs w:val="24"/>
          <w:lang w:val="en-US"/>
        </w:rPr>
      </w:pPr>
      <w:r>
        <w:rPr>
          <w:rFonts w:ascii="Times New Roman" w:hAnsi="Times New Roman" w:cs="Times New Roman"/>
          <w:b/>
        </w:rPr>
        <w:t xml:space="preserve">    </w:t>
      </w:r>
      <w:r>
        <w:rPr>
          <w:rFonts w:ascii="Times New Roman" w:hAnsi="Times New Roman" w:cs="Times New Roman"/>
          <w:sz w:val="24"/>
          <w:szCs w:val="24"/>
        </w:rPr>
        <w:t>Счет, счет фактура (при наличии), товарная накладная или УПД,  акт приёма-передачи товара, акт № 0510452. Документы о приемке оформляются Поставщиком.</w:t>
      </w:r>
    </w:p>
    <w:p w14:paraId="6F419B11">
      <w:pPr>
        <w:rPr>
          <w:b/>
        </w:rPr>
      </w:pPr>
      <w:r>
        <w:rPr>
          <w:b/>
        </w:rPr>
        <w:t>7. Срок приемки:</w:t>
      </w:r>
    </w:p>
    <w:p w14:paraId="0E8DCF19">
      <w:pPr>
        <w:rPr>
          <w:b/>
        </w:rPr>
      </w:pPr>
      <w:r>
        <w:t xml:space="preserve">    Не более 5 (Пяти) рабочих дней с момента поставки Товара.</w:t>
      </w:r>
    </w:p>
    <w:p w14:paraId="0EC4AA31">
      <w:pPr>
        <w:rPr>
          <w:b/>
        </w:rPr>
      </w:pPr>
      <w:r>
        <w:rPr>
          <w:b/>
        </w:rPr>
        <w:t xml:space="preserve"> </w:t>
      </w:r>
    </w:p>
    <w:p w14:paraId="5EFCE72F">
      <w:pPr>
        <w:jc w:val="both"/>
        <w:rPr>
          <w:b/>
        </w:rPr>
      </w:pPr>
      <w:r>
        <w:rPr>
          <w:b/>
        </w:rPr>
        <w:t xml:space="preserve">8.  Срок замены некачественного Товара, гарантийный срок на заменяемый товар: </w:t>
      </w:r>
    </w:p>
    <w:p w14:paraId="24038050">
      <w:pPr>
        <w:jc w:val="both"/>
        <w:rPr>
          <w:rFonts w:hint="default"/>
          <w:lang w:val="ru-RU"/>
        </w:rPr>
      </w:pPr>
      <w:r>
        <w:t xml:space="preserve">     В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r>
        <w:rPr>
          <w:rFonts w:hint="default"/>
          <w:lang w:val="ru-RU"/>
        </w:rPr>
        <w:t>.</w:t>
      </w:r>
    </w:p>
    <w:p w14:paraId="2A1F63FA"/>
    <w:p w14:paraId="4A90FC5F">
      <w:pPr>
        <w:ind w:right="261"/>
        <w:jc w:val="right"/>
      </w:pPr>
    </w:p>
    <w:p w14:paraId="6A3BD765">
      <w:pPr>
        <w:ind w:right="261"/>
        <w:jc w:val="center"/>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7DD7C46C">
        <w:tblPrEx>
          <w:tblCellMar>
            <w:top w:w="0" w:type="dxa"/>
            <w:left w:w="108" w:type="dxa"/>
            <w:bottom w:w="0" w:type="dxa"/>
            <w:right w:w="108" w:type="dxa"/>
          </w:tblCellMar>
        </w:tblPrEx>
        <w:trPr>
          <w:trHeight w:val="4424" w:hRule="atLeast"/>
        </w:trPr>
        <w:tc>
          <w:tcPr>
            <w:tcW w:w="2545" w:type="pct"/>
          </w:tcPr>
          <w:p w14:paraId="071388D2">
            <w:pPr>
              <w:rPr>
                <w:sz w:val="22"/>
                <w:szCs w:val="22"/>
              </w:rPr>
            </w:pPr>
            <w:r>
              <w:rPr>
                <w:b/>
                <w:sz w:val="22"/>
                <w:szCs w:val="22"/>
              </w:rPr>
              <w:t>Заказчик:</w:t>
            </w:r>
            <w:r>
              <w:rPr>
                <w:sz w:val="22"/>
                <w:szCs w:val="22"/>
              </w:rPr>
              <w:t xml:space="preserve"> </w:t>
            </w:r>
          </w:p>
          <w:p w14:paraId="13749365">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7A473885">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3885BE06">
            <w:pPr>
              <w:autoSpaceDE w:val="0"/>
              <w:autoSpaceDN w:val="0"/>
              <w:adjustRightInd w:val="0"/>
              <w:jc w:val="both"/>
              <w:rPr>
                <w:rFonts w:ascii="Courier New" w:hAnsi="Courier New" w:eastAsia="Calibri" w:cs="Courier New"/>
                <w:bCs/>
                <w:sz w:val="22"/>
                <w:szCs w:val="22"/>
                <w:lang w:eastAsia="en-US"/>
              </w:rPr>
            </w:pPr>
          </w:p>
        </w:tc>
      </w:tr>
    </w:tbl>
    <w:p w14:paraId="7AF4B902">
      <w:pPr>
        <w:jc w:val="both"/>
      </w:pPr>
    </w:p>
    <w:p w14:paraId="379C6E70">
      <w:pPr>
        <w:jc w:val="both"/>
      </w:pPr>
    </w:p>
    <w:p w14:paraId="45E8B98F">
      <w:pPr>
        <w:jc w:val="both"/>
      </w:pPr>
    </w:p>
    <w:p w14:paraId="35420AB3">
      <w:pPr>
        <w:jc w:val="both"/>
      </w:pPr>
    </w:p>
    <w:p w14:paraId="3B7C77C8">
      <w:pPr>
        <w:jc w:val="both"/>
      </w:pPr>
    </w:p>
    <w:p w14:paraId="2BB6A453">
      <w:pPr>
        <w:jc w:val="both"/>
      </w:pPr>
    </w:p>
    <w:p w14:paraId="64DB813D">
      <w:pPr>
        <w:jc w:val="both"/>
      </w:pPr>
    </w:p>
    <w:p w14:paraId="0F2ACA6D">
      <w:pPr>
        <w:jc w:val="both"/>
      </w:pPr>
    </w:p>
    <w:p w14:paraId="3C91872F">
      <w:pPr>
        <w:jc w:val="both"/>
      </w:pPr>
    </w:p>
    <w:p w14:paraId="59AF3436">
      <w:pPr>
        <w:jc w:val="both"/>
      </w:pPr>
    </w:p>
    <w:p w14:paraId="5D32D4DF">
      <w:pPr>
        <w:jc w:val="both"/>
      </w:pPr>
    </w:p>
    <w:p w14:paraId="27AEF869">
      <w:pPr>
        <w:jc w:val="both"/>
      </w:pPr>
    </w:p>
    <w:p w14:paraId="6F8A5E85">
      <w:pPr>
        <w:jc w:val="both"/>
      </w:pPr>
    </w:p>
    <w:p w14:paraId="5AD92CDE">
      <w:pPr>
        <w:jc w:val="both"/>
      </w:pPr>
    </w:p>
    <w:p w14:paraId="14E6849B">
      <w:pPr>
        <w:jc w:val="both"/>
      </w:pPr>
    </w:p>
    <w:p w14:paraId="2F1D4073">
      <w:pPr>
        <w:jc w:val="both"/>
      </w:pPr>
    </w:p>
    <w:p w14:paraId="6F6B6820">
      <w:pPr>
        <w:jc w:val="both"/>
      </w:pPr>
    </w:p>
    <w:p w14:paraId="0FA549D4">
      <w:pPr>
        <w:jc w:val="both"/>
      </w:pPr>
    </w:p>
    <w:p w14:paraId="2E63F80F">
      <w:pPr>
        <w:jc w:val="both"/>
      </w:pPr>
    </w:p>
    <w:p w14:paraId="20DC4A32">
      <w:pPr>
        <w:jc w:val="both"/>
      </w:pPr>
    </w:p>
    <w:p w14:paraId="20728FE6">
      <w:pPr>
        <w:jc w:val="both"/>
      </w:pPr>
    </w:p>
    <w:p w14:paraId="2B05F145">
      <w:pPr>
        <w:jc w:val="both"/>
      </w:pPr>
    </w:p>
    <w:p w14:paraId="3DD39732">
      <w:pPr>
        <w:jc w:val="both"/>
      </w:pPr>
    </w:p>
    <w:p w14:paraId="34563536">
      <w:pPr>
        <w:jc w:val="both"/>
      </w:pPr>
    </w:p>
    <w:p w14:paraId="600EC996">
      <w:pPr>
        <w:jc w:val="both"/>
      </w:pPr>
    </w:p>
    <w:p w14:paraId="7CA1754E">
      <w:pPr>
        <w:jc w:val="both"/>
      </w:pPr>
    </w:p>
    <w:p w14:paraId="631A1553">
      <w:pPr>
        <w:jc w:val="both"/>
      </w:pPr>
    </w:p>
    <w:p w14:paraId="4606F222">
      <w:pPr>
        <w:wordWrap w:val="0"/>
        <w:jc w:val="right"/>
        <w:rPr>
          <w:rFonts w:ascii="Times New Roman" w:hAnsi="Times New Roman" w:eastAsia="Times New Roman" w:cs="Times New Roman"/>
          <w:sz w:val="22"/>
          <w:szCs w:val="22"/>
          <w:lang w:bidi="ar-SA"/>
        </w:rPr>
      </w:pPr>
      <w:r>
        <w:rPr>
          <w:rFonts w:ascii="Times New Roman" w:hAnsi="Times New Roman" w:cs="Times New Roman"/>
          <w:sz w:val="22"/>
          <w:szCs w:val="22"/>
        </w:rPr>
        <w:t xml:space="preserve">Приложение № </w:t>
      </w:r>
      <w:r>
        <w:rPr>
          <w:rFonts w:hint="default" w:ascii="Times New Roman" w:hAnsi="Times New Roman" w:cs="Times New Roman"/>
          <w:sz w:val="22"/>
          <w:szCs w:val="22"/>
          <w:lang w:val="ru-RU"/>
        </w:rPr>
        <w:t xml:space="preserve">3 </w:t>
      </w:r>
      <w:r>
        <w:rPr>
          <w:rFonts w:ascii="Times New Roman" w:hAnsi="Times New Roman" w:eastAsia="Times New Roman" w:cs="Times New Roman"/>
          <w:sz w:val="22"/>
          <w:szCs w:val="22"/>
        </w:rPr>
        <w:t xml:space="preserve">к Контракту </w:t>
      </w:r>
    </w:p>
    <w:p w14:paraId="41C63536">
      <w:pPr>
        <w:pStyle w:val="185"/>
        <w:ind w:left="-426" w:firstLine="142"/>
        <w:jc w:val="right"/>
        <w:rPr>
          <w:rFonts w:hint="default" w:ascii="Times New Roman" w:hAnsi="Times New Roman" w:cs="Times New Roman"/>
          <w:sz w:val="24"/>
          <w:szCs w:val="24"/>
          <w:lang w:val="ru-RU"/>
        </w:rPr>
      </w:pPr>
      <w:r>
        <w:rPr>
          <w:rFonts w:ascii="Times New Roman" w:hAnsi="Times New Roman" w:cs="Times New Roman"/>
          <w:sz w:val="24"/>
          <w:szCs w:val="24"/>
        </w:rPr>
        <w:t xml:space="preserve"> от «___»____________202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г. № </w:t>
      </w:r>
      <w:r>
        <w:rPr>
          <w:rFonts w:hint="default" w:ascii="Times New Roman" w:hAnsi="Times New Roman" w:cs="Times New Roman"/>
          <w:color w:val="FF0000"/>
          <w:sz w:val="24"/>
          <w:szCs w:val="24"/>
          <w:lang w:val="ru-RU"/>
        </w:rPr>
        <w:t>___</w:t>
      </w:r>
    </w:p>
    <w:p w14:paraId="7381B3C7">
      <w:pPr>
        <w:autoSpaceDE w:val="0"/>
        <w:autoSpaceDN w:val="0"/>
        <w:jc w:val="center"/>
        <w:rPr>
          <w:rFonts w:ascii="Times New Roman" w:hAnsi="Times New Roman" w:eastAsia="Times New Roman" w:cs="Times New Roman"/>
          <w:sz w:val="22"/>
          <w:szCs w:val="22"/>
        </w:rPr>
      </w:pPr>
    </w:p>
    <w:p w14:paraId="5D7BADD8">
      <w:pPr>
        <w:tabs>
          <w:tab w:val="left" w:pos="276"/>
        </w:tabs>
        <w:rPr>
          <w:rFonts w:ascii="Times New Roman" w:hAnsi="Times New Roman" w:eastAsia="Times New Roman" w:cs="Times New Roman"/>
          <w:sz w:val="22"/>
          <w:szCs w:val="22"/>
        </w:rPr>
      </w:pPr>
    </w:p>
    <w:p w14:paraId="7D251653">
      <w:pPr>
        <w:jc w:val="center"/>
        <w:rPr>
          <w:b/>
        </w:rPr>
      </w:pPr>
    </w:p>
    <w:p w14:paraId="7E3D1A3A">
      <w:pPr>
        <w:jc w:val="center"/>
        <w:rPr>
          <w:b/>
        </w:rPr>
      </w:pPr>
    </w:p>
    <w:p w14:paraId="49340053">
      <w:pPr>
        <w:jc w:val="center"/>
        <w:rPr>
          <w:rFonts w:ascii="Times New Roman" w:hAnsi="Times New Roman" w:cs="Times New Roman"/>
          <w:b/>
        </w:rPr>
      </w:pPr>
      <w:r>
        <w:rPr>
          <w:rFonts w:ascii="Times New Roman" w:hAnsi="Times New Roman" w:cs="Times New Roman"/>
          <w:b/>
        </w:rPr>
        <w:t>Форма акта № 0510452</w:t>
      </w:r>
    </w:p>
    <w:p w14:paraId="386A5F97">
      <w:pPr>
        <w:jc w:val="both"/>
      </w:pPr>
    </w:p>
    <w:p w14:paraId="69EFE29D">
      <w:pPr>
        <w:ind w:firstLine="3842" w:firstLineChars="1600"/>
        <w:jc w:val="both"/>
      </w:pPr>
      <w:r>
        <w:rPr>
          <w:b/>
        </w:rPr>
        <w:object>
          <v:shape id="_x0000_i1025" o:spt="75" type="#_x0000_t75" style="height:39.35pt;width:61.1pt;" o:ole="t" filled="f" o:preferrelative="t" stroked="f" coordsize="21600,21600">
            <v:path/>
            <v:fill on="f" alignshape="1" focussize="0,0"/>
            <v:stroke on="f"/>
            <v:imagedata r:id="rId7" o:title=""/>
            <o:lock v:ext="edit" aspectratio="t"/>
            <w10:wrap type="none"/>
            <w10:anchorlock/>
          </v:shape>
          <o:OLEObject Type="Embed" ProgID="Acrobat.Document.DC" ShapeID="_x0000_i1025" DrawAspect="Icon" ObjectID="_1468075725" r:id="rId6">
            <o:LockedField>false</o:LockedField>
          </o:OLEObject>
        </w:object>
      </w:r>
    </w:p>
    <w:p w14:paraId="7FF44FA5">
      <w:pPr>
        <w:jc w:val="both"/>
      </w:pPr>
    </w:p>
    <w:p w14:paraId="2C654A4B">
      <w:pPr>
        <w:jc w:val="both"/>
      </w:pPr>
    </w:p>
    <w:p w14:paraId="25A77E57">
      <w:pPr>
        <w:jc w:val="both"/>
      </w:pPr>
    </w:p>
    <w:p w14:paraId="50EC6D60">
      <w:pPr>
        <w:jc w:val="both"/>
      </w:pPr>
    </w:p>
    <w:p w14:paraId="5A14945B">
      <w:pPr>
        <w:jc w:val="both"/>
      </w:pPr>
    </w:p>
    <w:tbl>
      <w:tblPr>
        <w:tblStyle w:val="12"/>
        <w:tblW w:w="4912" w:type="pct"/>
        <w:tblInd w:w="0" w:type="dxa"/>
        <w:tblLayout w:type="autofit"/>
        <w:tblCellMar>
          <w:top w:w="0" w:type="dxa"/>
          <w:left w:w="108" w:type="dxa"/>
          <w:bottom w:w="0" w:type="dxa"/>
          <w:right w:w="108" w:type="dxa"/>
        </w:tblCellMar>
      </w:tblPr>
      <w:tblGrid>
        <w:gridCol w:w="4786"/>
        <w:gridCol w:w="4616"/>
      </w:tblGrid>
      <w:tr w14:paraId="1545F914">
        <w:tblPrEx>
          <w:tblCellMar>
            <w:top w:w="0" w:type="dxa"/>
            <w:left w:w="108" w:type="dxa"/>
            <w:bottom w:w="0" w:type="dxa"/>
            <w:right w:w="108" w:type="dxa"/>
          </w:tblCellMar>
        </w:tblPrEx>
        <w:trPr>
          <w:trHeight w:val="4424" w:hRule="atLeast"/>
        </w:trPr>
        <w:tc>
          <w:tcPr>
            <w:tcW w:w="2545" w:type="pct"/>
          </w:tcPr>
          <w:p w14:paraId="2A47AA29">
            <w:pPr>
              <w:rPr>
                <w:sz w:val="22"/>
                <w:szCs w:val="22"/>
              </w:rPr>
            </w:pPr>
            <w:r>
              <w:rPr>
                <w:b/>
                <w:sz w:val="22"/>
                <w:szCs w:val="22"/>
              </w:rPr>
              <w:t>Заказчик:</w:t>
            </w:r>
            <w:r>
              <w:rPr>
                <w:sz w:val="22"/>
                <w:szCs w:val="22"/>
              </w:rPr>
              <w:t xml:space="preserve"> </w:t>
            </w:r>
          </w:p>
          <w:p w14:paraId="65DD810C">
            <w:pPr>
              <w:spacing w:before="120"/>
              <w:ind w:firstLine="11"/>
              <w:contextualSpacing/>
              <w:rPr>
                <w:bCs/>
                <w:sz w:val="22"/>
                <w:szCs w:val="22"/>
              </w:rPr>
            </w:pPr>
            <w:r>
              <w:rPr>
                <w:sz w:val="22"/>
                <w:szCs w:val="22"/>
              </w:rPr>
              <w:t>Государственное бюджетное дошкольное образовательное учреждение детский сад № 36  Невского района Санкт-Петербурга</w:t>
            </w:r>
            <w:r>
              <w:rPr>
                <w:sz w:val="22"/>
                <w:szCs w:val="22"/>
              </w:rPr>
              <w:br w:type="textWrapping"/>
            </w:r>
            <w:r>
              <w:rPr>
                <w:sz w:val="22"/>
                <w:szCs w:val="22"/>
              </w:rPr>
              <w:t>192029, Санкт-Петербург, ул. Бабушкина, д. 29, корп. 3, лит. А</w:t>
            </w:r>
            <w:r>
              <w:rPr>
                <w:sz w:val="22"/>
                <w:szCs w:val="22"/>
              </w:rPr>
              <w:br w:type="textWrapping"/>
            </w:r>
            <w:r>
              <w:rPr>
                <w:sz w:val="22"/>
                <w:szCs w:val="22"/>
              </w:rPr>
              <w:t>ИНН  7811065957</w:t>
            </w:r>
            <w:r>
              <w:rPr>
                <w:sz w:val="22"/>
                <w:szCs w:val="22"/>
              </w:rPr>
              <w:br w:type="textWrapping"/>
            </w:r>
            <w:r>
              <w:rPr>
                <w:sz w:val="22"/>
                <w:szCs w:val="22"/>
              </w:rPr>
              <w:t>КПП  781101001</w:t>
            </w:r>
            <w:r>
              <w:rPr>
                <w:sz w:val="22"/>
                <w:szCs w:val="22"/>
              </w:rPr>
              <w:br w:type="textWrapping"/>
            </w:r>
            <w:r>
              <w:rPr>
                <w:sz w:val="22"/>
                <w:szCs w:val="22"/>
              </w:rPr>
              <w:t>Т. 412-06-90, gdou_36@mail.ru</w:t>
            </w:r>
            <w:r>
              <w:rPr>
                <w:sz w:val="22"/>
                <w:szCs w:val="22"/>
              </w:rPr>
              <w:br w:type="textWrapping"/>
            </w:r>
            <w:r>
              <w:rPr>
                <w:sz w:val="22"/>
                <w:szCs w:val="22"/>
                <w:lang w:val="ru-RU"/>
              </w:rPr>
              <w:t>З</w:t>
            </w:r>
            <w:r>
              <w:rPr>
                <w:sz w:val="22"/>
                <w:szCs w:val="22"/>
              </w:rPr>
              <w:t>аведующ</w:t>
            </w:r>
            <w:r>
              <w:rPr>
                <w:sz w:val="22"/>
                <w:szCs w:val="22"/>
                <w:lang w:val="ru-RU"/>
              </w:rPr>
              <w:t>ий</w:t>
            </w:r>
            <w:r>
              <w:rPr>
                <w:sz w:val="22"/>
                <w:szCs w:val="22"/>
              </w:rPr>
              <w:br w:type="textWrapping"/>
            </w:r>
            <w:r>
              <w:rPr>
                <w:sz w:val="22"/>
                <w:szCs w:val="22"/>
              </w:rPr>
              <w:br w:type="textWrapping"/>
            </w:r>
            <w:r>
              <w:rPr>
                <w:sz w:val="22"/>
                <w:szCs w:val="22"/>
              </w:rPr>
              <w:t>Чепурина Т.А.</w:t>
            </w:r>
            <w:r>
              <w:rPr>
                <w:sz w:val="22"/>
                <w:szCs w:val="22"/>
              </w:rPr>
              <w:br w:type="textWrapping"/>
            </w:r>
            <w:r>
              <w:rPr>
                <w:sz w:val="22"/>
                <w:szCs w:val="22"/>
              </w:rPr>
              <w:t>Подписано ЭЦП</w:t>
            </w:r>
          </w:p>
        </w:tc>
        <w:tc>
          <w:tcPr>
            <w:tcW w:w="2455" w:type="pct"/>
          </w:tcPr>
          <w:p w14:paraId="5707054A">
            <w:pPr>
              <w:autoSpaceDE w:val="0"/>
              <w:autoSpaceDN w:val="0"/>
              <w:adjustRightInd w:val="0"/>
              <w:rPr>
                <w:rFonts w:eastAsia="Calibri"/>
                <w:b/>
                <w:bCs/>
                <w:sz w:val="22"/>
                <w:szCs w:val="22"/>
                <w:lang w:eastAsia="en-US"/>
              </w:rPr>
            </w:pPr>
            <w:r>
              <w:rPr>
                <w:rFonts w:eastAsia="Calibri"/>
                <w:b/>
                <w:bCs/>
                <w:sz w:val="22"/>
                <w:szCs w:val="22"/>
                <w:lang w:eastAsia="en-US"/>
              </w:rPr>
              <w:t>Поставщик:</w:t>
            </w:r>
          </w:p>
          <w:p w14:paraId="76C1BEC4">
            <w:pPr>
              <w:autoSpaceDE w:val="0"/>
              <w:autoSpaceDN w:val="0"/>
              <w:adjustRightInd w:val="0"/>
              <w:jc w:val="both"/>
              <w:rPr>
                <w:rFonts w:ascii="Courier New" w:hAnsi="Courier New" w:eastAsia="Calibri" w:cs="Courier New"/>
                <w:bCs/>
                <w:sz w:val="22"/>
                <w:szCs w:val="22"/>
                <w:lang w:eastAsia="en-US"/>
              </w:rPr>
            </w:pPr>
          </w:p>
        </w:tc>
      </w:tr>
    </w:tbl>
    <w:p w14:paraId="221D4ACD">
      <w:pPr>
        <w:jc w:val="both"/>
      </w:pPr>
    </w:p>
    <w:p w14:paraId="395065DD">
      <w:pPr>
        <w:jc w:val="both"/>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E037D"/>
    <w:multiLevelType w:val="multilevel"/>
    <w:tmpl w:val="0FFE037D"/>
    <w:lvl w:ilvl="0" w:tentative="0">
      <w:start w:val="1"/>
      <w:numFmt w:val="decimal"/>
      <w:lvlText w:val="%1."/>
      <w:lvlJc w:val="left"/>
      <w:pPr>
        <w:ind w:left="360" w:hanging="360"/>
      </w:pPr>
    </w:lvl>
    <w:lvl w:ilvl="1" w:tentative="0">
      <w:start w:val="1"/>
      <w:numFmt w:val="decimal"/>
      <w:pStyle w:val="196"/>
      <w:lvlText w:val="%2."/>
      <w:lvlJc w:val="left"/>
      <w:pPr>
        <w:ind w:left="792" w:hanging="432"/>
      </w:pPr>
      <w:rPr>
        <w:rFonts w:ascii="Times New Roman" w:hAnsi="Times New Roman" w:eastAsia="Times New Roman" w:cs="Times New Roman"/>
        <w:b w:val="0"/>
        <w:i w:val="0"/>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
    <w:nsid w:val="74037198"/>
    <w:multiLevelType w:val="multilevel"/>
    <w:tmpl w:val="74037198"/>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630F2"/>
    <w:rsid w:val="1040284A"/>
    <w:rsid w:val="10AA15AA"/>
    <w:rsid w:val="10F308B2"/>
    <w:rsid w:val="29A56923"/>
    <w:rsid w:val="3717359A"/>
    <w:rsid w:val="3FF57DC2"/>
    <w:rsid w:val="4A895AF8"/>
    <w:rsid w:val="5BE62E1F"/>
    <w:rsid w:val="652B3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paragraph" w:styleId="2">
    <w:name w:val="heading 1"/>
    <w:basedOn w:val="1"/>
    <w:next w:val="1"/>
    <w:link w:val="190"/>
    <w:qFormat/>
    <w:uiPriority w:val="9"/>
    <w:pPr>
      <w:keepNext/>
      <w:keepLines/>
      <w:spacing w:before="48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link w:val="198"/>
    <w:semiHidden/>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basedOn w:val="11"/>
    <w:unhideWhenUsed/>
    <w:qFormat/>
    <w:uiPriority w:val="99"/>
    <w:rPr>
      <w:vertAlign w:val="superscript"/>
    </w:rPr>
  </w:style>
  <w:style w:type="character" w:styleId="14">
    <w:name w:val="endnote reference"/>
    <w:basedOn w:val="11"/>
    <w:semiHidden/>
    <w:unhideWhenUsed/>
    <w:qFormat/>
    <w:uiPriority w:val="99"/>
    <w:rPr>
      <w:vertAlign w:val="superscript"/>
    </w:rPr>
  </w:style>
  <w:style w:type="character" w:styleId="15">
    <w:name w:val="Hyperlink"/>
    <w:unhideWhenUsed/>
    <w:qFormat/>
    <w:uiPriority w:val="99"/>
    <w:rPr>
      <w:color w:val="0563C1" w:themeColor="hyperlink"/>
      <w:u w:val="single"/>
      <w14:textFill>
        <w14:solidFill>
          <w14:schemeClr w14:val="hlink"/>
        </w14:solidFill>
      </w14:textFill>
    </w:rPr>
  </w:style>
  <w:style w:type="character" w:styleId="16">
    <w:name w:val="page number"/>
    <w:qFormat/>
    <w:uiPriority w:val="0"/>
    <w:rPr>
      <w:rFonts w:cs="Times New Roman"/>
    </w:rPr>
  </w:style>
  <w:style w:type="character" w:styleId="17">
    <w:name w:val="Strong"/>
    <w:qFormat/>
    <w:uiPriority w:val="22"/>
    <w:rPr>
      <w:rFonts w:cs="Times New Roman"/>
      <w:b/>
      <w:bCs/>
    </w:rPr>
  </w:style>
  <w:style w:type="paragraph" w:styleId="18">
    <w:name w:val="Balloon Text"/>
    <w:basedOn w:val="1"/>
    <w:link w:val="199"/>
    <w:semiHidden/>
    <w:unhideWhenUsed/>
    <w:qFormat/>
    <w:uiPriority w:val="99"/>
    <w:rPr>
      <w:rFonts w:ascii="Segoe UI" w:hAnsi="Segoe UI" w:cs="Segoe UI"/>
      <w:sz w:val="18"/>
      <w:szCs w:val="18"/>
    </w:rPr>
  </w:style>
  <w:style w:type="paragraph" w:styleId="19">
    <w:name w:val="Body Text 2"/>
    <w:basedOn w:val="1"/>
    <w:link w:val="189"/>
    <w:qFormat/>
    <w:uiPriority w:val="0"/>
  </w:style>
  <w:style w:type="paragraph" w:styleId="20">
    <w:name w:val="endnote text"/>
    <w:basedOn w:val="1"/>
    <w:link w:val="183"/>
    <w:semiHidden/>
    <w:unhideWhenUsed/>
    <w:qFormat/>
    <w:uiPriority w:val="99"/>
    <w:pPr>
      <w:spacing w:after="0" w:line="240" w:lineRule="auto"/>
    </w:pPr>
    <w:rPr>
      <w:sz w:val="20"/>
    </w:rPr>
  </w:style>
  <w:style w:type="paragraph" w:styleId="21">
    <w:name w:val="caption"/>
    <w:basedOn w:val="1"/>
    <w:next w:val="1"/>
    <w:link w:val="56"/>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2">
    <w:name w:val="footnote text"/>
    <w:basedOn w:val="1"/>
    <w:link w:val="182"/>
    <w:semiHidden/>
    <w:unhideWhenUsed/>
    <w:qFormat/>
    <w:uiPriority w:val="99"/>
    <w:pPr>
      <w:spacing w:after="40" w:line="240" w:lineRule="auto"/>
    </w:pPr>
    <w:rPr>
      <w:sz w:val="18"/>
    </w:rPr>
  </w:style>
  <w:style w:type="paragraph" w:styleId="23">
    <w:name w:val="toc 8"/>
    <w:basedOn w:val="1"/>
    <w:next w:val="1"/>
    <w:unhideWhenUsed/>
    <w:qFormat/>
    <w:uiPriority w:val="39"/>
    <w:pPr>
      <w:spacing w:after="57"/>
      <w:ind w:left="1984" w:right="0" w:firstLine="0"/>
    </w:pPr>
  </w:style>
  <w:style w:type="paragraph" w:styleId="24">
    <w:name w:val="header"/>
    <w:basedOn w:val="1"/>
    <w:link w:val="186"/>
    <w:unhideWhenUsed/>
    <w:qFormat/>
    <w:uiPriority w:val="99"/>
    <w:pPr>
      <w:tabs>
        <w:tab w:val="center" w:pos="4677"/>
        <w:tab w:val="right" w:pos="9355"/>
      </w:tabs>
    </w:pPr>
  </w:style>
  <w:style w:type="paragraph" w:styleId="25">
    <w:name w:val="toc 9"/>
    <w:basedOn w:val="1"/>
    <w:next w:val="1"/>
    <w:unhideWhenUsed/>
    <w:qFormat/>
    <w:uiPriority w:val="39"/>
    <w:pPr>
      <w:spacing w:after="57"/>
      <w:ind w:left="2268" w:right="0" w:firstLine="0"/>
    </w:pPr>
  </w:style>
  <w:style w:type="paragraph" w:styleId="26">
    <w:name w:val="toc 7"/>
    <w:basedOn w:val="1"/>
    <w:next w:val="1"/>
    <w:unhideWhenUsed/>
    <w:qFormat/>
    <w:uiPriority w:val="39"/>
    <w:pPr>
      <w:spacing w:after="57"/>
      <w:ind w:left="1701" w:right="0" w:firstLine="0"/>
    </w:pPr>
  </w:style>
  <w:style w:type="paragraph" w:styleId="27">
    <w:name w:val="toc 1"/>
    <w:basedOn w:val="1"/>
    <w:next w:val="1"/>
    <w:unhideWhenUsed/>
    <w:qFormat/>
    <w:uiPriority w:val="39"/>
    <w:pPr>
      <w:spacing w:after="57"/>
      <w:ind w:left="0" w:right="0" w:firstLine="0"/>
    </w:p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3"/>
    <w:basedOn w:val="1"/>
    <w:next w:val="1"/>
    <w:unhideWhenUsed/>
    <w:qFormat/>
    <w:uiPriority w:val="39"/>
    <w:pPr>
      <w:spacing w:after="57"/>
      <w:ind w:left="567" w:right="0" w:firstLine="0"/>
    </w:pPr>
  </w:style>
  <w:style w:type="paragraph" w:styleId="31">
    <w:name w:val="toc 2"/>
    <w:basedOn w:val="1"/>
    <w:next w:val="1"/>
    <w:unhideWhenUsed/>
    <w:qFormat/>
    <w:uiPriority w:val="39"/>
    <w:pPr>
      <w:spacing w:after="57"/>
      <w:ind w:left="283" w:right="0" w:firstLine="0"/>
    </w:pPr>
  </w:style>
  <w:style w:type="paragraph" w:styleId="32">
    <w:name w:val="toc 4"/>
    <w:basedOn w:val="1"/>
    <w:next w:val="1"/>
    <w:unhideWhenUsed/>
    <w:qFormat/>
    <w:uiPriority w:val="39"/>
    <w:pPr>
      <w:spacing w:after="57"/>
      <w:ind w:left="850" w:right="0" w:firstLine="0"/>
    </w:pPr>
  </w:style>
  <w:style w:type="paragraph" w:styleId="33">
    <w:name w:val="toc 5"/>
    <w:basedOn w:val="1"/>
    <w:next w:val="1"/>
    <w:unhideWhenUsed/>
    <w:qFormat/>
    <w:uiPriority w:val="39"/>
    <w:pPr>
      <w:spacing w:after="57"/>
      <w:ind w:left="1134" w:right="0" w:firstLine="0"/>
    </w:pPr>
  </w:style>
  <w:style w:type="paragraph" w:styleId="34">
    <w:name w:val="Title"/>
    <w:basedOn w:val="1"/>
    <w:next w:val="1"/>
    <w:link w:val="48"/>
    <w:qFormat/>
    <w:uiPriority w:val="10"/>
    <w:pPr>
      <w:spacing w:before="300" w:after="200"/>
      <w:contextualSpacing/>
    </w:pPr>
    <w:rPr>
      <w:sz w:val="48"/>
      <w:szCs w:val="48"/>
    </w:rPr>
  </w:style>
  <w:style w:type="paragraph" w:styleId="35">
    <w:name w:val="footer"/>
    <w:basedOn w:val="1"/>
    <w:link w:val="187"/>
    <w:unhideWhenUsed/>
    <w:qFormat/>
    <w:uiPriority w:val="99"/>
    <w:pPr>
      <w:tabs>
        <w:tab w:val="center" w:pos="4677"/>
        <w:tab w:val="right" w:pos="9355"/>
      </w:tabs>
    </w:pPr>
  </w:style>
  <w:style w:type="paragraph" w:styleId="36">
    <w:name w:val="Normal (Web)"/>
    <w:basedOn w:val="1"/>
    <w:link w:val="194"/>
    <w:qFormat/>
    <w:uiPriority w:val="99"/>
    <w:pPr>
      <w:spacing w:before="100" w:beforeAutospacing="1" w:after="100" w:afterAutospacing="1"/>
    </w:pPr>
  </w:style>
  <w:style w:type="paragraph" w:styleId="37">
    <w:name w:val="Subtitle"/>
    <w:basedOn w:val="1"/>
    <w:next w:val="1"/>
    <w:link w:val="49"/>
    <w:qFormat/>
    <w:uiPriority w:val="11"/>
    <w:pPr>
      <w:spacing w:before="200" w:after="200"/>
    </w:pPr>
    <w:rPr>
      <w:sz w:val="24"/>
      <w:szCs w:val="24"/>
    </w:rPr>
  </w:style>
  <w:style w:type="table" w:styleId="38">
    <w:name w:val="Table Grid"/>
    <w:basedOn w:val="12"/>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Heading 1 Char"/>
    <w:basedOn w:val="11"/>
    <w:uiPriority w:val="9"/>
    <w:rPr>
      <w:rFonts w:ascii="Arial" w:hAnsi="Arial" w:eastAsia="Arial" w:cs="Arial"/>
      <w:sz w:val="40"/>
      <w:szCs w:val="40"/>
    </w:rPr>
  </w:style>
  <w:style w:type="character" w:customStyle="1" w:styleId="40">
    <w:name w:val="Heading 2 Char"/>
    <w:basedOn w:val="11"/>
    <w:qFormat/>
    <w:uiPriority w:val="9"/>
    <w:rPr>
      <w:rFonts w:ascii="Arial" w:hAnsi="Arial" w:eastAsia="Arial" w:cs="Arial"/>
      <w:sz w:val="34"/>
    </w:rPr>
  </w:style>
  <w:style w:type="character" w:customStyle="1" w:styleId="41">
    <w:name w:val="Heading 3 Char"/>
    <w:basedOn w:val="11"/>
    <w:link w:val="4"/>
    <w:uiPriority w:val="9"/>
    <w:rPr>
      <w:rFonts w:ascii="Arial" w:hAnsi="Arial" w:eastAsia="Arial" w:cs="Arial"/>
      <w:sz w:val="30"/>
      <w:szCs w:val="30"/>
    </w:rPr>
  </w:style>
  <w:style w:type="character" w:customStyle="1" w:styleId="42">
    <w:name w:val="Heading 4 Char"/>
    <w:basedOn w:val="11"/>
    <w:link w:val="5"/>
    <w:uiPriority w:val="9"/>
    <w:rPr>
      <w:rFonts w:ascii="Arial" w:hAnsi="Arial" w:eastAsia="Arial" w:cs="Arial"/>
      <w:b/>
      <w:bCs/>
      <w:sz w:val="26"/>
      <w:szCs w:val="26"/>
    </w:rPr>
  </w:style>
  <w:style w:type="character" w:customStyle="1" w:styleId="43">
    <w:name w:val="Heading 5 Char"/>
    <w:basedOn w:val="11"/>
    <w:link w:val="6"/>
    <w:qFormat/>
    <w:uiPriority w:val="9"/>
    <w:rPr>
      <w:rFonts w:ascii="Arial" w:hAnsi="Arial" w:eastAsia="Arial" w:cs="Arial"/>
      <w:b/>
      <w:bCs/>
      <w:sz w:val="24"/>
      <w:szCs w:val="24"/>
    </w:rPr>
  </w:style>
  <w:style w:type="character" w:customStyle="1" w:styleId="44">
    <w:name w:val="Heading 6 Char"/>
    <w:basedOn w:val="11"/>
    <w:link w:val="7"/>
    <w:qFormat/>
    <w:uiPriority w:val="9"/>
    <w:rPr>
      <w:rFonts w:ascii="Arial" w:hAnsi="Arial" w:eastAsia="Arial" w:cs="Arial"/>
      <w:b/>
      <w:bCs/>
      <w:sz w:val="22"/>
      <w:szCs w:val="22"/>
    </w:rPr>
  </w:style>
  <w:style w:type="character" w:customStyle="1" w:styleId="45">
    <w:name w:val="Heading 7 Char"/>
    <w:basedOn w:val="11"/>
    <w:link w:val="8"/>
    <w:qFormat/>
    <w:uiPriority w:val="9"/>
    <w:rPr>
      <w:rFonts w:ascii="Arial" w:hAnsi="Arial" w:eastAsia="Arial" w:cs="Arial"/>
      <w:b/>
      <w:bCs/>
      <w:i/>
      <w:iCs/>
      <w:sz w:val="22"/>
      <w:szCs w:val="22"/>
    </w:rPr>
  </w:style>
  <w:style w:type="character" w:customStyle="1" w:styleId="46">
    <w:name w:val="Heading 8 Char"/>
    <w:basedOn w:val="11"/>
    <w:link w:val="9"/>
    <w:uiPriority w:val="9"/>
    <w:rPr>
      <w:rFonts w:ascii="Arial" w:hAnsi="Arial" w:eastAsia="Arial" w:cs="Arial"/>
      <w:i/>
      <w:iCs/>
      <w:sz w:val="22"/>
      <w:szCs w:val="22"/>
    </w:rPr>
  </w:style>
  <w:style w:type="character" w:customStyle="1" w:styleId="47">
    <w:name w:val="Heading 9 Char"/>
    <w:basedOn w:val="11"/>
    <w:link w:val="10"/>
    <w:qFormat/>
    <w:uiPriority w:val="9"/>
    <w:rPr>
      <w:rFonts w:ascii="Arial" w:hAnsi="Arial" w:eastAsia="Arial" w:cs="Arial"/>
      <w:i/>
      <w:iCs/>
      <w:sz w:val="21"/>
      <w:szCs w:val="21"/>
    </w:rPr>
  </w:style>
  <w:style w:type="character" w:customStyle="1" w:styleId="48">
    <w:name w:val="Title Char"/>
    <w:basedOn w:val="11"/>
    <w:link w:val="34"/>
    <w:qFormat/>
    <w:uiPriority w:val="10"/>
    <w:rPr>
      <w:sz w:val="48"/>
      <w:szCs w:val="48"/>
    </w:rPr>
  </w:style>
  <w:style w:type="character" w:customStyle="1" w:styleId="49">
    <w:name w:val="Subtitle Char"/>
    <w:basedOn w:val="11"/>
    <w:link w:val="37"/>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uiPriority w:val="30"/>
    <w:rPr>
      <w:i/>
    </w:rPr>
  </w:style>
  <w:style w:type="character" w:customStyle="1" w:styleId="54">
    <w:name w:val="Header Char"/>
    <w:basedOn w:val="11"/>
    <w:qFormat/>
    <w:uiPriority w:val="99"/>
  </w:style>
  <w:style w:type="character" w:customStyle="1" w:styleId="55">
    <w:name w:val="Footer Char"/>
    <w:basedOn w:val="11"/>
    <w:qFormat/>
    <w:uiPriority w:val="99"/>
  </w:style>
  <w:style w:type="character" w:customStyle="1" w:styleId="56">
    <w:name w:val="Caption Char"/>
    <w:basedOn w:val="11"/>
    <w:link w:val="21"/>
    <w:uiPriority w:val="35"/>
    <w:rPr>
      <w:b/>
      <w:bCs/>
      <w:color w:val="5B9BD5" w:themeColor="accent1"/>
      <w:sz w:val="18"/>
      <w:szCs w:val="18"/>
      <w14:textFill>
        <w14:solidFill>
          <w14:schemeClr w14:val="accent1"/>
        </w14:solidFill>
      </w14:textFill>
    </w:rPr>
  </w:style>
  <w:style w:type="table" w:customStyle="1" w:styleId="57">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12"/>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5">
    <w:name w:val="Grid Table 1 Light - Accent 2"/>
    <w:basedOn w:val="12"/>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6">
    <w:name w:val="Grid Table 1 Light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7">
    <w:name w:val="Grid Table 1 Light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68">
    <w:name w:val="Grid Table 1 Light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69">
    <w:name w:val="Grid Table 1 Light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2">
    <w:name w:val="Grid Table 2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3">
    <w:name w:val="Grid Table 2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4">
    <w:name w:val="Grid Table 2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5">
    <w:name w:val="Grid Table 2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6">
    <w:name w:val="Grid Table 2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7">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12"/>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3 - Accent 2"/>
    <w:basedOn w:val="12"/>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3 - Accent 3"/>
    <w:basedOn w:val="12"/>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3 - Accent 4"/>
    <w:basedOn w:val="12"/>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3 - Accent 5"/>
    <w:basedOn w:val="12"/>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3 - Accent 6"/>
    <w:basedOn w:val="12"/>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12"/>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6">
    <w:name w:val="Grid Table 4 - Accent 2"/>
    <w:basedOn w:val="12"/>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4 - Accent 3"/>
    <w:basedOn w:val="12"/>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4 - Accent 4"/>
    <w:basedOn w:val="12"/>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4 - Accent 5"/>
    <w:basedOn w:val="12"/>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4 - Accent 6"/>
    <w:basedOn w:val="12"/>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3">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4">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5">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6">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7">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98">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12"/>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12"/>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12"/>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4">
    <w:name w:val="Grid Table 6 Colorful - Accent 6"/>
    <w:basedOn w:val="12"/>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5">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12"/>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12"/>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12"/>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12"/>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12"/>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7 Colorful - Accent 6"/>
    <w:basedOn w:val="12"/>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2">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12"/>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4">
    <w:name w:val="List Table 1 Light - Accent 2"/>
    <w:basedOn w:val="12"/>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5">
    <w:name w:val="List Table 1 Light - Accent 3"/>
    <w:basedOn w:val="12"/>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6">
    <w:name w:val="List Table 1 Light - Accent 4"/>
    <w:basedOn w:val="12"/>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7">
    <w:name w:val="List Table 1 Light - Accent 5"/>
    <w:basedOn w:val="12"/>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18">
    <w:name w:val="List Table 1 Light - Accent 6"/>
    <w:basedOn w:val="12"/>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19">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12"/>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1">
    <w:name w:val="List Table 2 - Accent 2"/>
    <w:basedOn w:val="12"/>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2">
    <w:name w:val="List Table 2 - Accent 3"/>
    <w:basedOn w:val="12"/>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3">
    <w:name w:val="List Table 2 - Accent 4"/>
    <w:basedOn w:val="12"/>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4">
    <w:name w:val="List Table 2 - Accent 5"/>
    <w:basedOn w:val="12"/>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5">
    <w:name w:val="List Table 2 - Accent 6"/>
    <w:basedOn w:val="12"/>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6">
    <w:name w:val="List Table 3"/>
    <w:basedOn w:val="1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12"/>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28">
    <w:name w:val="List Table 3 - Accent 2"/>
    <w:basedOn w:val="12"/>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29">
    <w:name w:val="List Table 3 - Accent 3"/>
    <w:basedOn w:val="12"/>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0">
    <w:name w:val="List Table 3 - Accent 4"/>
    <w:basedOn w:val="12"/>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1">
    <w:name w:val="List Table 3 - Accent 5"/>
    <w:basedOn w:val="12"/>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2">
    <w:name w:val="List Table 3 - Accent 6"/>
    <w:basedOn w:val="12"/>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3">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12"/>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4 - Accent 2"/>
    <w:basedOn w:val="12"/>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4 - Accent 3"/>
    <w:basedOn w:val="12"/>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4 - Accent 4"/>
    <w:basedOn w:val="12"/>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4 - Accent 5"/>
    <w:basedOn w:val="12"/>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4 - Accent 6"/>
    <w:basedOn w:val="12"/>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12"/>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2">
    <w:name w:val="List Table 5 Dark - Accent 2"/>
    <w:basedOn w:val="12"/>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3">
    <w:name w:val="List Table 5 Dark - Accent 3"/>
    <w:basedOn w:val="12"/>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4">
    <w:name w:val="List Table 5 Dark - Accent 4"/>
    <w:basedOn w:val="12"/>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5">
    <w:name w:val="List Table 5 Dark - Accent 5"/>
    <w:basedOn w:val="12"/>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6">
    <w:name w:val="List Table 5 Dark - Accent 6"/>
    <w:basedOn w:val="12"/>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7">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12"/>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49">
    <w:name w:val="List Table 6 Colorful - Accent 2"/>
    <w:basedOn w:val="12"/>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12"/>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12"/>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12"/>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12"/>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12"/>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7 Colorful - Accent 2"/>
    <w:basedOn w:val="12"/>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12"/>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12"/>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12"/>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12"/>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12"/>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3">
    <w:name w:val="Lined - Accent 2"/>
    <w:basedOn w:val="12"/>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4">
    <w:name w:val="Lined - Accent 3"/>
    <w:basedOn w:val="12"/>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5">
    <w:name w:val="Lined - Accent 4"/>
    <w:basedOn w:val="12"/>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6">
    <w:name w:val="Lined - Accent 5"/>
    <w:basedOn w:val="12"/>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7">
    <w:name w:val="Lined - Accent 6"/>
    <w:basedOn w:val="12"/>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68">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12"/>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Bordered &amp; Lined - Accent 2"/>
    <w:basedOn w:val="12"/>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Bordered &amp; Lined - Accent 3"/>
    <w:basedOn w:val="12"/>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Bordered &amp; Lined - Accent 4"/>
    <w:basedOn w:val="12"/>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Bordered &amp; Lined - Accent 5"/>
    <w:basedOn w:val="12"/>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Bordered &amp; Lined - Accent 6"/>
    <w:basedOn w:val="12"/>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12"/>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7">
    <w:name w:val="Bordered - Accent 2"/>
    <w:basedOn w:val="1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8">
    <w:name w:val="Bordered - Accent 3"/>
    <w:basedOn w:val="12"/>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9">
    <w:name w:val="Bordered - Accent 4"/>
    <w:basedOn w:val="12"/>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0">
    <w:name w:val="Bordered - Accent 5"/>
    <w:basedOn w:val="12"/>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1">
    <w:name w:val="Bordered - Accent 6"/>
    <w:basedOn w:val="12"/>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2">
    <w:name w:val="Footnote Text Char"/>
    <w:link w:val="22"/>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pPr>
      <w:spacing w:before="0" w:beforeAutospacing="0" w:after="160" w:afterAutospacing="0" w:line="259" w:lineRule="auto"/>
    </w:pPr>
    <w:rPr>
      <w:rFonts w:hint="default" w:asciiTheme="minorHAnsi" w:hAnsiTheme="minorHAnsi" w:eastAsiaTheme="minorHAnsi" w:cstheme="minorBidi"/>
      <w:sz w:val="22"/>
      <w:szCs w:val="22"/>
      <w:lang w:val="ru-RU" w:eastAsia="en-US" w:bidi="ar-SA"/>
    </w:rPr>
  </w:style>
  <w:style w:type="paragraph" w:styleId="185">
    <w:name w:val="List Paragraph"/>
    <w:basedOn w:val="1"/>
    <w:link w:val="191"/>
    <w:qFormat/>
    <w:uiPriority w:val="34"/>
    <w:pPr>
      <w:spacing w:after="160" w:line="259" w:lineRule="auto"/>
      <w:ind w:left="720"/>
      <w:contextualSpacing/>
    </w:pPr>
    <w:rPr>
      <w:rFonts w:asciiTheme="minorHAnsi" w:hAnsiTheme="minorHAnsi" w:eastAsiaTheme="minorHAnsi" w:cstheme="minorBidi"/>
      <w:sz w:val="22"/>
      <w:szCs w:val="22"/>
      <w:lang w:eastAsia="en-US"/>
    </w:rPr>
  </w:style>
  <w:style w:type="character" w:customStyle="1" w:styleId="186">
    <w:name w:val="Верхний колонтитул Знак"/>
    <w:basedOn w:val="11"/>
    <w:link w:val="24"/>
    <w:qFormat/>
    <w:uiPriority w:val="99"/>
    <w:rPr>
      <w:rFonts w:ascii="Times New Roman" w:hAnsi="Times New Roman" w:eastAsia="Times New Roman" w:cs="Times New Roman"/>
      <w:sz w:val="24"/>
      <w:szCs w:val="24"/>
      <w:lang w:eastAsia="ru-RU"/>
    </w:rPr>
  </w:style>
  <w:style w:type="character" w:customStyle="1" w:styleId="187">
    <w:name w:val="Нижний колонтитул Знак"/>
    <w:basedOn w:val="11"/>
    <w:link w:val="35"/>
    <w:qFormat/>
    <w:uiPriority w:val="99"/>
    <w:rPr>
      <w:rFonts w:ascii="Times New Roman" w:hAnsi="Times New Roman" w:eastAsia="Times New Roman" w:cs="Times New Roman"/>
      <w:sz w:val="24"/>
      <w:szCs w:val="24"/>
      <w:lang w:eastAsia="ru-RU"/>
    </w:rPr>
  </w:style>
  <w:style w:type="paragraph" w:styleId="188">
    <w:name w:val="No Spacing"/>
    <w:qFormat/>
    <w:uiPriority w:val="1"/>
    <w:pPr>
      <w:spacing w:before="0" w:beforeAutospacing="0" w:after="0" w:afterAutospacing="0" w:line="240" w:lineRule="auto"/>
    </w:pPr>
    <w:rPr>
      <w:rFonts w:hint="default" w:ascii="Times New Roman" w:hAnsi="Times New Roman" w:eastAsia="Times New Roman" w:cs="Times New Roman"/>
      <w:sz w:val="24"/>
      <w:szCs w:val="24"/>
      <w:lang w:val="ru-RU" w:eastAsia="ru-RU" w:bidi="ar-SA"/>
    </w:rPr>
  </w:style>
  <w:style w:type="character" w:customStyle="1" w:styleId="189">
    <w:name w:val="Основной текст 2 Знак"/>
    <w:basedOn w:val="11"/>
    <w:link w:val="19"/>
    <w:qFormat/>
    <w:uiPriority w:val="0"/>
    <w:rPr>
      <w:rFonts w:ascii="Times New Roman" w:hAnsi="Times New Roman" w:eastAsia="Times New Roman" w:cs="Times New Roman"/>
      <w:sz w:val="24"/>
      <w:szCs w:val="24"/>
      <w:lang w:eastAsia="ru-RU"/>
    </w:rPr>
  </w:style>
  <w:style w:type="character" w:customStyle="1" w:styleId="190">
    <w:name w:val="Заголовок 1 Знак"/>
    <w:basedOn w:val="11"/>
    <w:link w:val="2"/>
    <w:qFormat/>
    <w:uiPriority w:val="9"/>
    <w:rPr>
      <w:rFonts w:asciiTheme="majorHAnsi" w:hAnsiTheme="majorHAnsi" w:eastAsiaTheme="majorEastAsia" w:cstheme="majorBidi"/>
      <w:b/>
      <w:bCs/>
      <w:color w:val="2E75B6" w:themeColor="accent1" w:themeShade="BF"/>
      <w:sz w:val="28"/>
      <w:szCs w:val="28"/>
      <w:lang w:eastAsia="ru-RU"/>
    </w:rPr>
  </w:style>
  <w:style w:type="character" w:customStyle="1" w:styleId="191">
    <w:name w:val="Абзац списка Знак"/>
    <w:link w:val="185"/>
    <w:qFormat/>
    <w:uiPriority w:val="34"/>
  </w:style>
  <w:style w:type="paragraph" w:customStyle="1" w:styleId="192">
    <w:name w:val="ConsPlusNormal"/>
    <w:link w:val="193"/>
    <w:qFormat/>
    <w:uiPriority w:val="0"/>
    <w:pPr>
      <w:widowControl w:val="0"/>
      <w:spacing w:before="0" w:beforeAutospacing="0" w:after="0" w:afterAutospacing="0" w:line="240" w:lineRule="auto"/>
    </w:pPr>
    <w:rPr>
      <w:rFonts w:hint="default" w:ascii="Calibri" w:hAnsi="Calibri" w:eastAsia="Times New Roman" w:cs="Calibri"/>
      <w:sz w:val="22"/>
      <w:szCs w:val="20"/>
      <w:lang w:val="ru-RU" w:eastAsia="ru-RU" w:bidi="ar-SA"/>
    </w:rPr>
  </w:style>
  <w:style w:type="character" w:customStyle="1" w:styleId="193">
    <w:name w:val="ConsPlusNormal Знак"/>
    <w:link w:val="192"/>
    <w:qFormat/>
    <w:uiPriority w:val="0"/>
    <w:rPr>
      <w:rFonts w:ascii="Calibri" w:hAnsi="Calibri" w:eastAsia="Times New Roman" w:cs="Calibri"/>
      <w:szCs w:val="20"/>
      <w:lang w:eastAsia="ru-RU"/>
    </w:rPr>
  </w:style>
  <w:style w:type="character" w:customStyle="1" w:styleId="194">
    <w:name w:val="Обычный (веб) Знак"/>
    <w:link w:val="36"/>
    <w:qFormat/>
    <w:uiPriority w:val="99"/>
    <w:rPr>
      <w:rFonts w:ascii="Times New Roman" w:hAnsi="Times New Roman" w:eastAsia="Times New Roman" w:cs="Times New Roman"/>
      <w:sz w:val="24"/>
      <w:szCs w:val="24"/>
      <w:lang w:eastAsia="ru-RU"/>
    </w:rPr>
  </w:style>
  <w:style w:type="character" w:customStyle="1" w:styleId="195">
    <w:name w:val="apple-converted-space"/>
    <w:qFormat/>
    <w:uiPriority w:val="0"/>
  </w:style>
  <w:style w:type="paragraph" w:customStyle="1" w:styleId="196">
    <w:name w:val="Пункты"/>
    <w:basedOn w:val="3"/>
    <w:link w:val="197"/>
    <w:qFormat/>
    <w:uiPriority w:val="0"/>
    <w:pPr>
      <w:keepLines w:val="0"/>
      <w:numPr>
        <w:ilvl w:val="1"/>
        <w:numId w:val="1"/>
      </w:numPr>
      <w:tabs>
        <w:tab w:val="left" w:pos="1134"/>
      </w:tabs>
      <w:spacing w:before="120"/>
      <w:jc w:val="both"/>
    </w:pPr>
    <w:rPr>
      <w:rFonts w:ascii="Times New Roman" w:hAnsi="Times New Roman" w:eastAsia="Times New Roman" w:cs="Times New Roman"/>
      <w:bCs/>
      <w:iCs/>
      <w:color w:val="auto"/>
      <w:sz w:val="24"/>
      <w:szCs w:val="28"/>
    </w:rPr>
  </w:style>
  <w:style w:type="character" w:customStyle="1" w:styleId="197">
    <w:name w:val="Пункты Знак"/>
    <w:link w:val="196"/>
    <w:qFormat/>
    <w:uiPriority w:val="0"/>
    <w:rPr>
      <w:rFonts w:ascii="Times New Roman" w:hAnsi="Times New Roman" w:eastAsia="Times New Roman" w:cs="Times New Roman"/>
      <w:bCs/>
      <w:iCs/>
      <w:sz w:val="24"/>
      <w:szCs w:val="28"/>
      <w:lang w:eastAsia="ru-RU"/>
    </w:rPr>
  </w:style>
  <w:style w:type="character" w:customStyle="1" w:styleId="198">
    <w:name w:val="Заголовок 2 Знак"/>
    <w:basedOn w:val="11"/>
    <w:link w:val="3"/>
    <w:semiHidden/>
    <w:qFormat/>
    <w:uiPriority w:val="9"/>
    <w:rPr>
      <w:rFonts w:asciiTheme="majorHAnsi" w:hAnsiTheme="majorHAnsi" w:eastAsiaTheme="majorEastAsia" w:cstheme="majorBidi"/>
      <w:color w:val="2E75B6" w:themeColor="accent1" w:themeShade="BF"/>
      <w:sz w:val="26"/>
      <w:szCs w:val="26"/>
      <w:lang w:eastAsia="ru-RU"/>
    </w:rPr>
  </w:style>
  <w:style w:type="character" w:customStyle="1" w:styleId="199">
    <w:name w:val="Текст выноски Знак"/>
    <w:basedOn w:val="11"/>
    <w:link w:val="18"/>
    <w:semiHidden/>
    <w:qFormat/>
    <w:uiPriority w:val="99"/>
    <w:rPr>
      <w:rFonts w:ascii="Segoe UI" w:hAnsi="Segoe UI" w:eastAsia="Times New Roman" w:cs="Segoe UI"/>
      <w:sz w:val="18"/>
      <w:szCs w:val="18"/>
      <w:lang w:eastAsia="ru-RU"/>
    </w:rPr>
  </w:style>
  <w:style w:type="paragraph" w:customStyle="1" w:styleId="200">
    <w:name w:val="ConsPlusTitl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FCEE-8430-4E63-93E4-BD319A62DC19}">
  <ds:schemaRefs/>
</ds:datastoreItem>
</file>

<file path=docProps/app.xml><?xml version="1.0" encoding="utf-8"?>
<Properties xmlns="http://schemas.openxmlformats.org/officeDocument/2006/extended-properties" xmlns:vt="http://schemas.openxmlformats.org/officeDocument/2006/docPropsVTypes">
  <Template>Normal</Template>
  <Pages>11</Pages>
  <Words>3219</Words>
  <Characters>22499</Characters>
  <TotalTime>21</TotalTime>
  <ScaleCrop>false</ScaleCrop>
  <LinksUpToDate>false</LinksUpToDate>
  <CharactersWithSpaces>25703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2024-01-22T14:59:00Z</dcterms:created>
  <dc:creator>Сергеев Алексей Борисович</dc:creator>
  <cp:lastModifiedBy>ГБДОУ №36</cp:lastModifiedBy>
  <dcterms:modified xsi:type="dcterms:W3CDTF">2026-05-15T12:27:57Z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B45ABE2CAEDA4941AD99E200E4BCC6D7_13</vt:lpwstr>
  </property>
  <property fmtid="{D5CDD505-2E9C-101B-9397-08002B2CF9AE}" pid="4" name="KSOTemplateDocerSaveRecord">
    <vt:lpwstr>eyJoZGlkIjoiYWJlMDU2MWNmMmY5MWQwNDEyNzJlMmRiN2UxMjBkZDQifQ==</vt:lpwstr>
  </property>
</Properties>
</file>