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417" w:type="dxa"/>
        <w:tblLook w:val="04A0" w:firstRow="1" w:lastRow="0" w:firstColumn="1" w:lastColumn="0" w:noHBand="0" w:noVBand="1"/>
      </w:tblPr>
      <w:tblGrid>
        <w:gridCol w:w="15417"/>
      </w:tblGrid>
      <w:tr w:rsidR="00CD36F5" w:rsidRPr="00FB5252" w:rsidTr="00C64CEE">
        <w:tc>
          <w:tcPr>
            <w:tcW w:w="15417" w:type="dxa"/>
            <w:hideMark/>
          </w:tcPr>
          <w:p w:rsidR="00CD36F5" w:rsidRPr="00FB5252" w:rsidRDefault="00CD36F5" w:rsidP="00C64CEE">
            <w:pPr>
              <w:widowControl/>
              <w:ind w:hanging="108"/>
              <w:jc w:val="right"/>
              <w:rPr>
                <w:rFonts w:ascii="Times New Roman" w:eastAsia="Times New Roman" w:hAnsi="Times New Roman" w:cs="Times New Roman"/>
                <w:b/>
                <w:i/>
                <w:color w:val="auto"/>
                <w:sz w:val="22"/>
                <w:szCs w:val="22"/>
                <w:lang w:bidi="ar-SA"/>
              </w:rPr>
            </w:pPr>
            <w:r w:rsidRPr="00FB5252">
              <w:rPr>
                <w:rFonts w:ascii="Times New Roman" w:eastAsia="Times New Roman" w:hAnsi="Times New Roman" w:cs="Times New Roman"/>
                <w:b/>
                <w:i/>
                <w:color w:val="auto"/>
                <w:sz w:val="22"/>
                <w:szCs w:val="22"/>
                <w:lang w:bidi="ar-SA"/>
              </w:rPr>
              <w:t>«УТВЕРЖДАЮ»</w:t>
            </w:r>
          </w:p>
        </w:tc>
      </w:tr>
      <w:tr w:rsidR="00CD36F5" w:rsidRPr="00FB5252" w:rsidTr="00C64CEE">
        <w:tc>
          <w:tcPr>
            <w:tcW w:w="15417" w:type="dxa"/>
          </w:tcPr>
          <w:p w:rsidR="00CD36F5" w:rsidRPr="00FB5252" w:rsidRDefault="00302366" w:rsidP="00302366">
            <w:pPr>
              <w:pStyle w:val="1"/>
              <w:tabs>
                <w:tab w:val="left" w:pos="4466"/>
              </w:tabs>
              <w:kinsoku w:val="0"/>
              <w:overflowPunct w:val="0"/>
              <w:jc w:val="right"/>
              <w:rPr>
                <w:bCs w:val="0"/>
                <w:color w:val="404040"/>
                <w:sz w:val="24"/>
              </w:rPr>
            </w:pPr>
            <w:r>
              <w:rPr>
                <w:b w:val="0"/>
                <w:bCs w:val="0"/>
                <w:color w:val="404040"/>
                <w:sz w:val="24"/>
                <w:szCs w:val="22"/>
              </w:rPr>
              <w:t>Д</w:t>
            </w:r>
            <w:r w:rsidR="00CD36F5" w:rsidRPr="00FB5252">
              <w:rPr>
                <w:b w:val="0"/>
                <w:bCs w:val="0"/>
                <w:color w:val="404040"/>
                <w:sz w:val="24"/>
                <w:szCs w:val="22"/>
              </w:rPr>
              <w:t>иректор СПб ГБУЗ МИАЦ</w:t>
            </w:r>
            <w:r w:rsidR="00CD36F5" w:rsidRPr="00FB5252">
              <w:rPr>
                <w:b w:val="0"/>
                <w:bCs w:val="0"/>
                <w:color w:val="404040"/>
                <w:sz w:val="24"/>
                <w:szCs w:val="22"/>
              </w:rPr>
              <w:br/>
            </w:r>
            <w:r w:rsidR="00CD36F5" w:rsidRPr="00FB5252">
              <w:rPr>
                <w:bCs w:val="0"/>
                <w:color w:val="404040"/>
                <w:sz w:val="24"/>
                <w:szCs w:val="22"/>
              </w:rPr>
              <w:t xml:space="preserve">_________________ </w:t>
            </w:r>
            <w:r>
              <w:rPr>
                <w:b w:val="0"/>
                <w:bCs w:val="0"/>
                <w:color w:val="404040"/>
                <w:sz w:val="24"/>
                <w:szCs w:val="22"/>
              </w:rPr>
              <w:t>П.С. Алексеев</w:t>
            </w:r>
          </w:p>
        </w:tc>
      </w:tr>
      <w:tr w:rsidR="00CD36F5" w:rsidRPr="00FB5252" w:rsidTr="00C64CEE">
        <w:tc>
          <w:tcPr>
            <w:tcW w:w="15417" w:type="dxa"/>
            <w:hideMark/>
          </w:tcPr>
          <w:p w:rsidR="00CD36F5" w:rsidRPr="00FB5252" w:rsidRDefault="00CD36F5" w:rsidP="00C64CEE">
            <w:pPr>
              <w:pStyle w:val="1"/>
              <w:tabs>
                <w:tab w:val="left" w:pos="4466"/>
              </w:tabs>
              <w:kinsoku w:val="0"/>
              <w:overflowPunct w:val="0"/>
              <w:jc w:val="right"/>
              <w:rPr>
                <w:b w:val="0"/>
                <w:bCs w:val="0"/>
                <w:color w:val="404040"/>
              </w:rPr>
            </w:pPr>
          </w:p>
        </w:tc>
      </w:tr>
    </w:tbl>
    <w:p w:rsidR="00CD36F5" w:rsidRPr="00FB5252" w:rsidRDefault="00CD36F5" w:rsidP="00CD36F5">
      <w:pPr>
        <w:ind w:firstLine="709"/>
        <w:jc w:val="center"/>
        <w:rPr>
          <w:rFonts w:ascii="Times New Roman" w:hAnsi="Times New Roman" w:cs="Times New Roman"/>
          <w:b/>
          <w:bCs/>
          <w:iCs/>
          <w:color w:val="auto"/>
          <w:sz w:val="22"/>
          <w:szCs w:val="22"/>
        </w:rPr>
      </w:pPr>
      <w:r w:rsidRPr="00FB5252">
        <w:rPr>
          <w:rFonts w:ascii="Times New Roman" w:hAnsi="Times New Roman" w:cs="Times New Roman"/>
          <w:b/>
          <w:bCs/>
          <w:iCs/>
          <w:color w:val="auto"/>
          <w:sz w:val="22"/>
          <w:szCs w:val="22"/>
        </w:rPr>
        <w:t>Обоснование начальной (максимальной) цены контракта</w:t>
      </w:r>
    </w:p>
    <w:p w:rsidR="00CD36F5" w:rsidRPr="00FD6919" w:rsidRDefault="00CD36F5" w:rsidP="00CD36F5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</w:pPr>
      <w:r w:rsidRPr="00FD6919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  <w:t>Обоснованной признается закупка, осуществляемая в соответствии с положениями статей 19 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Закон).</w:t>
      </w:r>
    </w:p>
    <w:p w:rsidR="00CD36F5" w:rsidRPr="00FD6919" w:rsidRDefault="00CD36F5" w:rsidP="00CD36F5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u w:val="single"/>
          <w:lang w:eastAsia="x-none"/>
        </w:rPr>
      </w:pPr>
      <w:r w:rsidRPr="00FD6919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  <w:t xml:space="preserve">1. </w:t>
      </w:r>
      <w:proofErr w:type="gramStart"/>
      <w:r w:rsidRPr="00FD6919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  <w:t>Начальная (максимальная) цена контракта (начальная сумма цен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Министерством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</w:t>
      </w:r>
      <w:proofErr w:type="gramEnd"/>
      <w:r w:rsidRPr="00FD6919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  <w:t xml:space="preserve">) цены контракта, цены контракта, заключаемого с единственным поставщиком (подрядчиком, исполнителем)», посредством применения следующего метода: </w:t>
      </w:r>
      <w:r w:rsidRPr="00FD6919">
        <w:rPr>
          <w:rFonts w:ascii="Times New Roman" w:eastAsia="Times New Roman" w:hAnsi="Times New Roman" w:cs="Times New Roman"/>
          <w:bCs/>
          <w:iCs/>
          <w:sz w:val="20"/>
          <w:szCs w:val="20"/>
          <w:u w:val="single"/>
          <w:lang w:eastAsia="x-none"/>
        </w:rPr>
        <w:t>метод сопоставимых рыночных цен (анализ рынка).</w:t>
      </w:r>
    </w:p>
    <w:p w:rsidR="00CD36F5" w:rsidRPr="00FD6919" w:rsidRDefault="00CD36F5" w:rsidP="00CD36F5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</w:pPr>
      <w:r w:rsidRPr="00FD6919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  <w:t xml:space="preserve">Запросы о предоставлении ценовой информации направлены </w:t>
      </w:r>
      <w:r w:rsidR="00E53EE1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  <w:t>5</w:t>
      </w:r>
      <w:r w:rsidRPr="00FD6919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  <w:t xml:space="preserve"> поставщикам (подрядчикам, исполнителям) исходящие №№ </w:t>
      </w:r>
      <w:r w:rsidR="00335950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  <w:t>1595,1596,1598,1599,1600</w:t>
      </w:r>
      <w:r w:rsidRPr="00FD6919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  <w:t xml:space="preserve"> от </w:t>
      </w:r>
      <w:r w:rsidR="00335950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  <w:t>25.05</w:t>
      </w:r>
      <w:r w:rsidR="00865B59" w:rsidRPr="00FD6919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  <w:t>.202</w:t>
      </w:r>
      <w:r w:rsidR="00E53EE1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  <w:t>6</w:t>
      </w:r>
      <w:r w:rsidR="00865B59" w:rsidRPr="00FD6919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  <w:t>,</w:t>
      </w:r>
      <w:r w:rsidRPr="00FD6919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  <w:t xml:space="preserve"> в ответ получены 3 </w:t>
      </w:r>
      <w:proofErr w:type="gramStart"/>
      <w:r w:rsidRPr="00FD6919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  <w:t>коммерческих</w:t>
      </w:r>
      <w:proofErr w:type="gramEnd"/>
      <w:r w:rsidRPr="00FD6919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  <w:t xml:space="preserve"> предложения.</w:t>
      </w:r>
    </w:p>
    <w:p w:rsidR="00302366" w:rsidRPr="00FD6919" w:rsidRDefault="00302366" w:rsidP="00CD36F5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</w:pPr>
      <w:proofErr w:type="gramStart"/>
      <w:r w:rsidRPr="00FD6919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  <w:t xml:space="preserve">Основываясь на принципе эффективности использования бюджетных средств (статья 34 Бюджетного кодекса Российской Федерации от 31.07.1998 </w:t>
      </w:r>
      <w:r w:rsidR="00620A70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  <w:t>№</w:t>
      </w:r>
      <w:r w:rsidRPr="00FD6919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  <w:t xml:space="preserve"> 145-ФЗ), из ответов, поступивших от поставщиков на указанные запросы, для расчета НМЦК выбраны 3 (три) минимальных ценовых предложения.</w:t>
      </w:r>
      <w:proofErr w:type="gramEnd"/>
    </w:p>
    <w:p w:rsidR="00CD36F5" w:rsidRPr="00FD6919" w:rsidRDefault="00CD36F5" w:rsidP="00CD36F5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</w:pPr>
      <w:r w:rsidRPr="00FD6919">
        <w:rPr>
          <w:rFonts w:ascii="Times New Roman" w:eastAsia="Times New Roman" w:hAnsi="Times New Roman" w:cs="Times New Roman"/>
          <w:bCs/>
          <w:iCs/>
          <w:sz w:val="20"/>
          <w:szCs w:val="20"/>
          <w:lang w:eastAsia="x-none"/>
        </w:rPr>
        <w:t>2. Валюта, используемая при формировании начальной (максимальной) цены контракта, (начальной цены единицы товара, работы, услуги), цены заявки на участие в электронном аукционе и расчетов с поставщиками (исполнителями, подрядчиками), - рубль Российской Федерации.</w:t>
      </w:r>
    </w:p>
    <w:tbl>
      <w:tblPr>
        <w:tblW w:w="514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3526"/>
        <w:gridCol w:w="888"/>
        <w:gridCol w:w="747"/>
        <w:gridCol w:w="1619"/>
        <w:gridCol w:w="1619"/>
        <w:gridCol w:w="1561"/>
        <w:gridCol w:w="1355"/>
        <w:gridCol w:w="1230"/>
        <w:gridCol w:w="1526"/>
        <w:gridCol w:w="1387"/>
      </w:tblGrid>
      <w:tr w:rsidR="00CD36F5" w:rsidRPr="000B0A08" w:rsidTr="00865B59">
        <w:trPr>
          <w:trHeight w:val="285"/>
        </w:trPr>
        <w:tc>
          <w:tcPr>
            <w:tcW w:w="198" w:type="pct"/>
            <w:vMerge w:val="restart"/>
            <w:vAlign w:val="center"/>
            <w:hideMark/>
          </w:tcPr>
          <w:p w:rsidR="00CD36F5" w:rsidRPr="000B0A08" w:rsidRDefault="00CD36F5" w:rsidP="00C64CE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B0A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№ </w:t>
            </w:r>
            <w:proofErr w:type="gramStart"/>
            <w:r w:rsidRPr="000B0A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</w:t>
            </w:r>
            <w:proofErr w:type="gramEnd"/>
            <w:r w:rsidRPr="000B0A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/п</w:t>
            </w:r>
          </w:p>
        </w:tc>
        <w:tc>
          <w:tcPr>
            <w:tcW w:w="1095" w:type="pct"/>
            <w:vMerge w:val="restart"/>
            <w:vAlign w:val="center"/>
            <w:hideMark/>
          </w:tcPr>
          <w:p w:rsidR="00CD36F5" w:rsidRPr="000B0A08" w:rsidRDefault="00CD36F5" w:rsidP="00C64CEE">
            <w:pPr>
              <w:autoSpaceDE w:val="0"/>
              <w:autoSpaceDN w:val="0"/>
              <w:adjustRightInd w:val="0"/>
              <w:ind w:firstLine="709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B0A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Наименование услуги</w:t>
            </w:r>
          </w:p>
        </w:tc>
        <w:tc>
          <w:tcPr>
            <w:tcW w:w="276" w:type="pct"/>
            <w:vMerge w:val="restart"/>
            <w:vAlign w:val="center"/>
          </w:tcPr>
          <w:p w:rsidR="00CD36F5" w:rsidRPr="000B0A08" w:rsidRDefault="00CD36F5" w:rsidP="00C64CE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B0A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Единица измерения</w:t>
            </w:r>
          </w:p>
        </w:tc>
        <w:tc>
          <w:tcPr>
            <w:tcW w:w="232" w:type="pct"/>
            <w:vMerge w:val="restart"/>
            <w:vAlign w:val="center"/>
            <w:hideMark/>
          </w:tcPr>
          <w:p w:rsidR="00CD36F5" w:rsidRPr="000B0A08" w:rsidRDefault="00CD36F5" w:rsidP="00C64CE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B0A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Кол-во</w:t>
            </w:r>
          </w:p>
        </w:tc>
        <w:tc>
          <w:tcPr>
            <w:tcW w:w="1491" w:type="pct"/>
            <w:gridSpan w:val="3"/>
            <w:vAlign w:val="center"/>
          </w:tcPr>
          <w:p w:rsidR="00CD36F5" w:rsidRPr="000B0A08" w:rsidRDefault="00CD36F5" w:rsidP="00C64CEE">
            <w:pPr>
              <w:autoSpaceDE w:val="0"/>
              <w:autoSpaceDN w:val="0"/>
              <w:adjustRightInd w:val="0"/>
              <w:ind w:firstLine="709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B0A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Анализ рынка – цена за единицу (НДС не облагается), руб.</w:t>
            </w:r>
          </w:p>
        </w:tc>
        <w:tc>
          <w:tcPr>
            <w:tcW w:w="1277" w:type="pct"/>
            <w:gridSpan w:val="3"/>
            <w:vAlign w:val="center"/>
            <w:hideMark/>
          </w:tcPr>
          <w:p w:rsidR="00CD36F5" w:rsidRPr="000B0A08" w:rsidRDefault="00CD36F5" w:rsidP="00C64CEE">
            <w:pPr>
              <w:autoSpaceDE w:val="0"/>
              <w:autoSpaceDN w:val="0"/>
              <w:adjustRightInd w:val="0"/>
              <w:ind w:firstLine="709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B0A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Однородность совокупности значений выявленный цен, используемых расчете </w:t>
            </w:r>
            <w:proofErr w:type="gramStart"/>
            <w:r w:rsidRPr="000B0A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Н(</w:t>
            </w:r>
            <w:proofErr w:type="gramEnd"/>
            <w:r w:rsidRPr="000B0A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М)ЦК, ЦКЕП</w:t>
            </w:r>
          </w:p>
        </w:tc>
        <w:tc>
          <w:tcPr>
            <w:tcW w:w="431" w:type="pct"/>
            <w:vMerge w:val="restart"/>
            <w:vAlign w:val="center"/>
            <w:hideMark/>
          </w:tcPr>
          <w:p w:rsidR="00CD36F5" w:rsidRPr="000B0A08" w:rsidRDefault="00CD36F5" w:rsidP="00C64CE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0B0A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Стоимость (НДС не облагается), руб.</w:t>
            </w:r>
          </w:p>
        </w:tc>
      </w:tr>
      <w:tr w:rsidR="00CD36F5" w:rsidRPr="000B0A08" w:rsidTr="00865B59">
        <w:trPr>
          <w:trHeight w:val="1095"/>
        </w:trPr>
        <w:tc>
          <w:tcPr>
            <w:tcW w:w="198" w:type="pct"/>
            <w:vMerge/>
            <w:vAlign w:val="center"/>
            <w:hideMark/>
          </w:tcPr>
          <w:p w:rsidR="00CD36F5" w:rsidRPr="000B0A08" w:rsidRDefault="00CD36F5" w:rsidP="00C64CEE">
            <w:pPr>
              <w:autoSpaceDE w:val="0"/>
              <w:autoSpaceDN w:val="0"/>
              <w:adjustRightInd w:val="0"/>
              <w:ind w:firstLine="709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95" w:type="pct"/>
            <w:vMerge/>
            <w:vAlign w:val="center"/>
            <w:hideMark/>
          </w:tcPr>
          <w:p w:rsidR="00CD36F5" w:rsidRPr="000B0A08" w:rsidRDefault="00CD36F5" w:rsidP="00C64CEE">
            <w:pPr>
              <w:autoSpaceDE w:val="0"/>
              <w:autoSpaceDN w:val="0"/>
              <w:adjustRightInd w:val="0"/>
              <w:ind w:firstLine="709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76" w:type="pct"/>
            <w:vMerge/>
          </w:tcPr>
          <w:p w:rsidR="00CD36F5" w:rsidRPr="000B0A08" w:rsidRDefault="00CD36F5" w:rsidP="00C64CEE">
            <w:pPr>
              <w:autoSpaceDE w:val="0"/>
              <w:autoSpaceDN w:val="0"/>
              <w:adjustRightInd w:val="0"/>
              <w:ind w:firstLine="709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" w:type="pct"/>
            <w:vMerge/>
            <w:vAlign w:val="center"/>
            <w:hideMark/>
          </w:tcPr>
          <w:p w:rsidR="00CD36F5" w:rsidRPr="000B0A08" w:rsidRDefault="00CD36F5" w:rsidP="00C64CEE">
            <w:pPr>
              <w:autoSpaceDE w:val="0"/>
              <w:autoSpaceDN w:val="0"/>
              <w:adjustRightInd w:val="0"/>
              <w:ind w:firstLine="709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CD36F5" w:rsidRPr="000B0A08" w:rsidRDefault="00CD36F5" w:rsidP="00C64CE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B0A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Предложение № 1</w:t>
            </w:r>
          </w:p>
          <w:p w:rsidR="00CD36F5" w:rsidRPr="000B0A08" w:rsidRDefault="00CD36F5" w:rsidP="0033595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proofErr w:type="spellStart"/>
            <w:r w:rsidRPr="000B0A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вх</w:t>
            </w:r>
            <w:proofErr w:type="spellEnd"/>
            <w:r w:rsidRPr="000B0A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 № </w:t>
            </w:r>
            <w:r w:rsidR="00335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52</w:t>
            </w:r>
            <w:r w:rsidR="00C64CE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/202</w:t>
            </w:r>
            <w:r w:rsidR="00620A7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</w:t>
            </w:r>
            <w:r w:rsidRPr="000B0A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от </w:t>
            </w:r>
            <w:r w:rsidR="00335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09.06</w:t>
            </w:r>
            <w:r w:rsidR="00C64CE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.202</w:t>
            </w:r>
            <w:r w:rsidR="00620A7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</w:t>
            </w:r>
          </w:p>
        </w:tc>
        <w:tc>
          <w:tcPr>
            <w:tcW w:w="503" w:type="pct"/>
            <w:vAlign w:val="center"/>
          </w:tcPr>
          <w:p w:rsidR="00CD36F5" w:rsidRPr="000B0A08" w:rsidRDefault="00CD36F5" w:rsidP="00C64CE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B0A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Предложение № 2</w:t>
            </w:r>
          </w:p>
          <w:p w:rsidR="00CD36F5" w:rsidRPr="000B0A08" w:rsidRDefault="00CD36F5" w:rsidP="0033595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proofErr w:type="spellStart"/>
            <w:r w:rsidRPr="000B0A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вх</w:t>
            </w:r>
            <w:proofErr w:type="spellEnd"/>
            <w:r w:rsidRPr="000B0A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 № </w:t>
            </w:r>
            <w:r w:rsidR="00335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53</w:t>
            </w:r>
            <w:r w:rsidR="00C64CEE" w:rsidRPr="00C64CE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/202</w:t>
            </w:r>
            <w:r w:rsidR="00620A7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</w:t>
            </w:r>
            <w:r w:rsidR="00C64CEE" w:rsidRPr="00C64CE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от </w:t>
            </w:r>
            <w:r w:rsidR="00335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09.06</w:t>
            </w:r>
            <w:r w:rsidR="00C64CEE" w:rsidRPr="00C64CE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.202</w:t>
            </w:r>
            <w:r w:rsidR="00620A7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</w:t>
            </w:r>
          </w:p>
        </w:tc>
        <w:tc>
          <w:tcPr>
            <w:tcW w:w="485" w:type="pct"/>
            <w:shd w:val="clear" w:color="auto" w:fill="auto"/>
            <w:vAlign w:val="center"/>
            <w:hideMark/>
          </w:tcPr>
          <w:p w:rsidR="00CD36F5" w:rsidRPr="000B0A08" w:rsidRDefault="00CD36F5" w:rsidP="00C64CE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B0A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Предложение № 3</w:t>
            </w:r>
          </w:p>
          <w:p w:rsidR="00CD36F5" w:rsidRPr="000B0A08" w:rsidRDefault="00CD36F5" w:rsidP="0033595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proofErr w:type="spellStart"/>
            <w:r w:rsidRPr="000B0A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вх</w:t>
            </w:r>
            <w:proofErr w:type="spellEnd"/>
            <w:r w:rsidRPr="000B0A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 № </w:t>
            </w:r>
            <w:r w:rsidR="00335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54</w:t>
            </w:r>
            <w:r w:rsidR="00C64CEE" w:rsidRPr="00C64CE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/202</w:t>
            </w:r>
            <w:r w:rsidR="00620A7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</w:t>
            </w:r>
            <w:r w:rsidR="00C64CEE" w:rsidRPr="00C64CE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от </w:t>
            </w:r>
            <w:r w:rsidR="003359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09.06</w:t>
            </w:r>
            <w:r w:rsidR="00620A7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.2</w:t>
            </w:r>
            <w:r w:rsidR="00C64CEE" w:rsidRPr="00C64CE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02</w:t>
            </w:r>
            <w:r w:rsidR="00620A7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</w:t>
            </w:r>
          </w:p>
        </w:tc>
        <w:tc>
          <w:tcPr>
            <w:tcW w:w="421" w:type="pct"/>
            <w:vAlign w:val="center"/>
            <w:hideMark/>
          </w:tcPr>
          <w:p w:rsidR="00CD36F5" w:rsidRPr="000B0A08" w:rsidRDefault="00CD36F5" w:rsidP="00865B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B0A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Средняя арифметическая цена за единицу</w:t>
            </w:r>
            <w:r w:rsidRPr="000B0A08">
              <w:rPr>
                <w:rFonts w:ascii="Times New Roman" w:eastAsia="Times New Roman" w:hAnsi="Times New Roman" w:cs="Times New Roman"/>
                <w:noProof/>
                <w:color w:val="auto"/>
                <w:sz w:val="20"/>
                <w:szCs w:val="20"/>
                <w:lang w:bidi="ar-SA"/>
              </w:rPr>
              <w:drawing>
                <wp:inline distT="0" distB="0" distL="0" distR="0" wp14:anchorId="63996D98" wp14:editId="100E48F9">
                  <wp:extent cx="400050" cy="1714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" w:type="pct"/>
            <w:vAlign w:val="center"/>
            <w:hideMark/>
          </w:tcPr>
          <w:p w:rsidR="00CD36F5" w:rsidRPr="000B0A08" w:rsidRDefault="00CD36F5" w:rsidP="00C64CE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B0A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Среднее квадратичное отклонение</w:t>
            </w:r>
            <w:r w:rsidRPr="000B0A08">
              <w:rPr>
                <w:rFonts w:ascii="Times New Roman" w:eastAsia="Times New Roman" w:hAnsi="Times New Roman" w:cs="Times New Roman"/>
                <w:noProof/>
                <w:color w:val="auto"/>
                <w:sz w:val="20"/>
                <w:szCs w:val="20"/>
                <w:lang w:bidi="ar-SA"/>
              </w:rPr>
              <w:drawing>
                <wp:inline distT="0" distB="0" distL="0" distR="0" wp14:anchorId="0F122963" wp14:editId="46CA85E5">
                  <wp:extent cx="647700" cy="45720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" w:type="pct"/>
            <w:vAlign w:val="center"/>
            <w:hideMark/>
          </w:tcPr>
          <w:p w:rsidR="00CD36F5" w:rsidRPr="000B0A08" w:rsidRDefault="00CD36F5" w:rsidP="00C64CE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B0A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Коэффициент вариации цен V(%)</w:t>
            </w:r>
          </w:p>
          <w:p w:rsidR="00CD36F5" w:rsidRPr="000B0A08" w:rsidRDefault="00CD36F5" w:rsidP="00C64CEE">
            <w:pPr>
              <w:autoSpaceDE w:val="0"/>
              <w:autoSpaceDN w:val="0"/>
              <w:adjustRightInd w:val="0"/>
              <w:ind w:firstLine="709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B0A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(не должен превышать 33%)</w:t>
            </w:r>
            <w:r w:rsidRPr="000B0A08">
              <w:rPr>
                <w:rFonts w:ascii="Times New Roman" w:eastAsia="Times New Roman" w:hAnsi="Times New Roman" w:cs="Times New Roman"/>
                <w:noProof/>
                <w:color w:val="auto"/>
                <w:sz w:val="20"/>
                <w:szCs w:val="20"/>
                <w:lang w:bidi="ar-SA"/>
              </w:rPr>
              <w:drawing>
                <wp:inline distT="0" distB="0" distL="0" distR="0" wp14:anchorId="627F6E3E" wp14:editId="4DB52860">
                  <wp:extent cx="704850" cy="36195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1" w:type="pct"/>
            <w:vMerge/>
            <w:vAlign w:val="center"/>
            <w:hideMark/>
          </w:tcPr>
          <w:p w:rsidR="00CD36F5" w:rsidRPr="000B0A08" w:rsidRDefault="00CD36F5" w:rsidP="00C64CEE">
            <w:pPr>
              <w:autoSpaceDE w:val="0"/>
              <w:autoSpaceDN w:val="0"/>
              <w:adjustRightInd w:val="0"/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</w:tr>
      <w:tr w:rsidR="00CD36F5" w:rsidRPr="000B0A08" w:rsidTr="00865B59">
        <w:trPr>
          <w:trHeight w:val="483"/>
        </w:trPr>
        <w:tc>
          <w:tcPr>
            <w:tcW w:w="198" w:type="pct"/>
            <w:vAlign w:val="center"/>
          </w:tcPr>
          <w:p w:rsidR="00CD36F5" w:rsidRPr="000B0A08" w:rsidRDefault="00CD36F5" w:rsidP="00C64C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0A0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95" w:type="pct"/>
            <w:vAlign w:val="center"/>
          </w:tcPr>
          <w:p w:rsidR="00CD36F5" w:rsidRPr="000B0A08" w:rsidRDefault="00CD36F5" w:rsidP="00C64C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B0A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Оказание услуг по переплету архивных документов постоянного хранения</w:t>
            </w:r>
          </w:p>
        </w:tc>
        <w:tc>
          <w:tcPr>
            <w:tcW w:w="276" w:type="pct"/>
            <w:vAlign w:val="center"/>
          </w:tcPr>
          <w:p w:rsidR="00CD36F5" w:rsidRPr="000B0A08" w:rsidRDefault="00CD36F5" w:rsidP="00C64C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0A08">
              <w:rPr>
                <w:rFonts w:ascii="Times New Roman" w:hAnsi="Times New Roman" w:cs="Times New Roman"/>
                <w:sz w:val="20"/>
                <w:szCs w:val="20"/>
              </w:rPr>
              <w:t>Усл. ед.</w:t>
            </w:r>
          </w:p>
        </w:tc>
        <w:tc>
          <w:tcPr>
            <w:tcW w:w="232" w:type="pct"/>
            <w:vAlign w:val="center"/>
          </w:tcPr>
          <w:p w:rsidR="00CD36F5" w:rsidRPr="000B0A08" w:rsidRDefault="00335950" w:rsidP="00E53EE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  <w:r w:rsidR="0030236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3" w:type="pct"/>
            <w:vAlign w:val="center"/>
          </w:tcPr>
          <w:p w:rsidR="00CD36F5" w:rsidRPr="000B0A08" w:rsidRDefault="002404FA" w:rsidP="00C64CE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4</w:t>
            </w:r>
            <w:r w:rsidR="00CD36F5" w:rsidRPr="000B0A08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00,00</w:t>
            </w:r>
          </w:p>
        </w:tc>
        <w:tc>
          <w:tcPr>
            <w:tcW w:w="503" w:type="pct"/>
            <w:vAlign w:val="center"/>
          </w:tcPr>
          <w:p w:rsidR="00CD36F5" w:rsidRPr="000B0A08" w:rsidRDefault="00E53EE1" w:rsidP="00C64CE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415</w:t>
            </w:r>
            <w:r w:rsidR="00CD36F5" w:rsidRPr="000B0A08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,00</w:t>
            </w:r>
          </w:p>
        </w:tc>
        <w:tc>
          <w:tcPr>
            <w:tcW w:w="485" w:type="pct"/>
            <w:vAlign w:val="center"/>
          </w:tcPr>
          <w:p w:rsidR="00CD36F5" w:rsidRPr="000B0A08" w:rsidRDefault="00C64CEE" w:rsidP="00E53EE1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4</w:t>
            </w:r>
            <w:r w:rsidR="00E53EE1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2</w:t>
            </w: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0</w:t>
            </w:r>
            <w:r w:rsidR="00CD36F5" w:rsidRPr="000B0A08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,00</w:t>
            </w:r>
          </w:p>
        </w:tc>
        <w:tc>
          <w:tcPr>
            <w:tcW w:w="421" w:type="pct"/>
            <w:vAlign w:val="center"/>
          </w:tcPr>
          <w:p w:rsidR="00CD36F5" w:rsidRPr="000B0A08" w:rsidRDefault="00E53EE1" w:rsidP="00467B8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411</w:t>
            </w:r>
            <w:r w:rsidR="00467B8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,67</w:t>
            </w:r>
          </w:p>
        </w:tc>
        <w:tc>
          <w:tcPr>
            <w:tcW w:w="382" w:type="pct"/>
            <w:vAlign w:val="center"/>
          </w:tcPr>
          <w:p w:rsidR="00CD36F5" w:rsidRPr="000B0A08" w:rsidRDefault="00E53EE1" w:rsidP="00E53EE1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10,4083</w:t>
            </w:r>
          </w:p>
        </w:tc>
        <w:tc>
          <w:tcPr>
            <w:tcW w:w="474" w:type="pct"/>
            <w:vAlign w:val="center"/>
          </w:tcPr>
          <w:p w:rsidR="00CD36F5" w:rsidRPr="000B0A08" w:rsidRDefault="00E53EE1" w:rsidP="00C64CE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2,53</w:t>
            </w:r>
          </w:p>
        </w:tc>
        <w:tc>
          <w:tcPr>
            <w:tcW w:w="431" w:type="pct"/>
            <w:vAlign w:val="center"/>
          </w:tcPr>
          <w:p w:rsidR="00CD36F5" w:rsidRPr="000B0A08" w:rsidRDefault="00335950" w:rsidP="0025661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177 01</w:t>
            </w:r>
            <w:r w:rsidR="0025661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25661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CD36F5" w:rsidRPr="000B0A08" w:rsidTr="00865B59">
        <w:trPr>
          <w:trHeight w:val="483"/>
        </w:trPr>
        <w:tc>
          <w:tcPr>
            <w:tcW w:w="4569" w:type="pct"/>
            <w:gridSpan w:val="10"/>
            <w:vAlign w:val="center"/>
          </w:tcPr>
          <w:p w:rsidR="00CD36F5" w:rsidRPr="000B0A08" w:rsidRDefault="00CD36F5" w:rsidP="00C64CE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</w:pPr>
            <w:r w:rsidRPr="000B0A08"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  <w:t>Итого:</w:t>
            </w:r>
          </w:p>
        </w:tc>
        <w:tc>
          <w:tcPr>
            <w:tcW w:w="431" w:type="pct"/>
            <w:vAlign w:val="center"/>
          </w:tcPr>
          <w:p w:rsidR="00CD36F5" w:rsidRPr="000B0A08" w:rsidRDefault="00335950" w:rsidP="0025661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177 01</w:t>
            </w:r>
            <w:r w:rsidR="0025661C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  <w:r w:rsidR="0025661C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</w:tr>
    </w:tbl>
    <w:p w:rsidR="00CD36F5" w:rsidRPr="005C750D" w:rsidRDefault="00CD36F5" w:rsidP="00CD36F5">
      <w:pPr>
        <w:tabs>
          <w:tab w:val="left" w:pos="9582"/>
        </w:tabs>
        <w:autoSpaceDE w:val="0"/>
        <w:autoSpaceDN w:val="0"/>
        <w:adjustRightInd w:val="0"/>
        <w:ind w:firstLine="709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C750D">
        <w:rPr>
          <w:rFonts w:ascii="Times New Roman" w:eastAsia="ヒラギノ角ゴ Pro W3" w:hAnsi="Times New Roman" w:cs="Times New Roman"/>
          <w:color w:val="auto"/>
          <w:sz w:val="22"/>
          <w:szCs w:val="22"/>
          <w:lang w:bidi="ar-SA"/>
        </w:rPr>
        <w:t xml:space="preserve">Начальная (максимальная) цена договора составляет </w:t>
      </w:r>
      <w:r w:rsidR="00335950">
        <w:rPr>
          <w:rFonts w:ascii="Times New Roman" w:eastAsia="ヒラギノ角ゴ Pro W3" w:hAnsi="Times New Roman" w:cs="Times New Roman"/>
          <w:b/>
          <w:color w:val="auto"/>
          <w:sz w:val="22"/>
          <w:szCs w:val="22"/>
          <w:lang w:bidi="ar-SA"/>
        </w:rPr>
        <w:t>177 01</w:t>
      </w:r>
      <w:r w:rsidR="0025661C">
        <w:rPr>
          <w:rFonts w:ascii="Times New Roman" w:eastAsia="ヒラギノ角ゴ Pro W3" w:hAnsi="Times New Roman" w:cs="Times New Roman"/>
          <w:b/>
          <w:color w:val="auto"/>
          <w:sz w:val="22"/>
          <w:szCs w:val="22"/>
          <w:lang w:bidi="ar-SA"/>
        </w:rPr>
        <w:t>8</w:t>
      </w:r>
      <w:r w:rsidR="00E53EE1">
        <w:rPr>
          <w:rFonts w:ascii="Times New Roman" w:eastAsia="ヒラギノ角ゴ Pro W3" w:hAnsi="Times New Roman" w:cs="Times New Roman"/>
          <w:b/>
          <w:color w:val="auto"/>
          <w:sz w:val="22"/>
          <w:szCs w:val="22"/>
          <w:lang w:bidi="ar-SA"/>
        </w:rPr>
        <w:t>,</w:t>
      </w:r>
      <w:r w:rsidR="0025661C">
        <w:rPr>
          <w:rFonts w:ascii="Times New Roman" w:eastAsia="ヒラギノ角ゴ Pro W3" w:hAnsi="Times New Roman" w:cs="Times New Roman"/>
          <w:b/>
          <w:color w:val="auto"/>
          <w:sz w:val="22"/>
          <w:szCs w:val="22"/>
          <w:lang w:bidi="ar-SA"/>
        </w:rPr>
        <w:t>10</w:t>
      </w:r>
      <w:bookmarkStart w:id="0" w:name="_GoBack"/>
      <w:bookmarkEnd w:id="0"/>
      <w:r w:rsidRPr="005C750D">
        <w:rPr>
          <w:rFonts w:ascii="Times New Roman" w:eastAsia="ヒラギノ角ゴ Pro W3" w:hAnsi="Times New Roman" w:cs="Times New Roman"/>
          <w:b/>
          <w:color w:val="auto"/>
          <w:sz w:val="22"/>
          <w:szCs w:val="22"/>
          <w:lang w:bidi="ar-SA"/>
        </w:rPr>
        <w:t xml:space="preserve"> </w:t>
      </w:r>
      <w:r w:rsidRPr="005C750D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руб</w:t>
      </w:r>
      <w:r w:rsidRPr="005C750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</w:t>
      </w:r>
    </w:p>
    <w:p w:rsidR="00CD36F5" w:rsidRDefault="00CD36F5" w:rsidP="00CD36F5">
      <w:pPr>
        <w:autoSpaceDE w:val="0"/>
        <w:autoSpaceDN w:val="0"/>
        <w:adjustRightInd w:val="0"/>
        <w:ind w:firstLine="709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C750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Совокупность цен принимается однородной, т.к. коэффициенты вариации цен не превышают 33%.</w:t>
      </w:r>
    </w:p>
    <w:p w:rsidR="00CD36F5" w:rsidRDefault="00CD36F5" w:rsidP="00CD36F5">
      <w:pPr>
        <w:autoSpaceDE w:val="0"/>
        <w:autoSpaceDN w:val="0"/>
        <w:adjustRightInd w:val="0"/>
        <w:ind w:firstLine="709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:rsidR="00CD36F5" w:rsidRDefault="00CD36F5" w:rsidP="00CD36F5">
      <w:pPr>
        <w:widowControl/>
        <w:tabs>
          <w:tab w:val="left" w:pos="9582"/>
        </w:tabs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Заведующий Объединенным архивом </w:t>
      </w:r>
      <w:r w:rsidRPr="0040330C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Комитета по здравоохранению: ________________ Кускова Ю.Н.</w:t>
      </w:r>
    </w:p>
    <w:p w:rsidR="00CD36F5" w:rsidRDefault="00CD36F5" w:rsidP="00CD36F5">
      <w:pPr>
        <w:widowControl/>
        <w:tabs>
          <w:tab w:val="left" w:pos="9582"/>
        </w:tabs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40330C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Согласовано:</w:t>
      </w:r>
    </w:p>
    <w:p w:rsidR="00351C28" w:rsidRDefault="00CD36F5" w:rsidP="00CD36F5">
      <w:pPr>
        <w:widowControl/>
        <w:tabs>
          <w:tab w:val="left" w:pos="9582"/>
        </w:tabs>
      </w:pPr>
      <w:r w:rsidRPr="0040330C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Специалист по закупкам сектора закупок Планово-экономического отдела: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______________ </w:t>
      </w:r>
      <w:r w:rsidRPr="0040330C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Ловягина С.Н.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</w:p>
    <w:sectPr w:rsidR="00351C28" w:rsidSect="00C64CEE">
      <w:pgSz w:w="16838" w:h="11906" w:orient="landscape"/>
      <w:pgMar w:top="851" w:right="851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ヒラギノ角ゴ Pro W3">
    <w:altName w:val="Times New Roman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6F5"/>
    <w:rsid w:val="002404FA"/>
    <w:rsid w:val="0025661C"/>
    <w:rsid w:val="00302366"/>
    <w:rsid w:val="00335950"/>
    <w:rsid w:val="00351C28"/>
    <w:rsid w:val="00467B89"/>
    <w:rsid w:val="0061650B"/>
    <w:rsid w:val="00620A70"/>
    <w:rsid w:val="006F1A2A"/>
    <w:rsid w:val="00865B59"/>
    <w:rsid w:val="008D7186"/>
    <w:rsid w:val="00916C20"/>
    <w:rsid w:val="00A90243"/>
    <w:rsid w:val="00C64CEE"/>
    <w:rsid w:val="00CD36F5"/>
    <w:rsid w:val="00D93B26"/>
    <w:rsid w:val="00E53EE1"/>
    <w:rsid w:val="00FD6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F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next w:val="a3"/>
    <w:qFormat/>
    <w:rsid w:val="00CD36F5"/>
    <w:pPr>
      <w:autoSpaceDE w:val="0"/>
      <w:autoSpaceDN w:val="0"/>
      <w:adjustRightInd w:val="0"/>
      <w:jc w:val="center"/>
    </w:pPr>
    <w:rPr>
      <w:rFonts w:ascii="Times New Roman" w:eastAsia="SimSun" w:hAnsi="Times New Roman" w:cs="Times New Roman"/>
      <w:b/>
      <w:bCs/>
      <w:color w:val="auto"/>
      <w:sz w:val="28"/>
      <w:szCs w:val="28"/>
      <w:lang w:bidi="ar-SA"/>
    </w:rPr>
  </w:style>
  <w:style w:type="paragraph" w:styleId="a3">
    <w:name w:val="Title"/>
    <w:basedOn w:val="a"/>
    <w:next w:val="a"/>
    <w:link w:val="a4"/>
    <w:uiPriority w:val="10"/>
    <w:qFormat/>
    <w:rsid w:val="00CD36F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CD36F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 w:bidi="ru-RU"/>
    </w:rPr>
  </w:style>
  <w:style w:type="paragraph" w:styleId="a5">
    <w:name w:val="Balloon Text"/>
    <w:basedOn w:val="a"/>
    <w:link w:val="a6"/>
    <w:uiPriority w:val="99"/>
    <w:semiHidden/>
    <w:unhideWhenUsed/>
    <w:rsid w:val="00CD36F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36F5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F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next w:val="a3"/>
    <w:qFormat/>
    <w:rsid w:val="00CD36F5"/>
    <w:pPr>
      <w:autoSpaceDE w:val="0"/>
      <w:autoSpaceDN w:val="0"/>
      <w:adjustRightInd w:val="0"/>
      <w:jc w:val="center"/>
    </w:pPr>
    <w:rPr>
      <w:rFonts w:ascii="Times New Roman" w:eastAsia="SimSun" w:hAnsi="Times New Roman" w:cs="Times New Roman"/>
      <w:b/>
      <w:bCs/>
      <w:color w:val="auto"/>
      <w:sz w:val="28"/>
      <w:szCs w:val="28"/>
      <w:lang w:bidi="ar-SA"/>
    </w:rPr>
  </w:style>
  <w:style w:type="paragraph" w:styleId="a3">
    <w:name w:val="Title"/>
    <w:basedOn w:val="a"/>
    <w:next w:val="a"/>
    <w:link w:val="a4"/>
    <w:uiPriority w:val="10"/>
    <w:qFormat/>
    <w:rsid w:val="00CD36F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CD36F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 w:bidi="ru-RU"/>
    </w:rPr>
  </w:style>
  <w:style w:type="paragraph" w:styleId="a5">
    <w:name w:val="Balloon Text"/>
    <w:basedOn w:val="a"/>
    <w:link w:val="a6"/>
    <w:uiPriority w:val="99"/>
    <w:semiHidden/>
    <w:unhideWhenUsed/>
    <w:rsid w:val="00CD36F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36F5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430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Ловягина Светлана Николаевна</dc:creator>
  <cp:lastModifiedBy>Ловягина Светлана Николаевна</cp:lastModifiedBy>
  <cp:revision>11</cp:revision>
  <cp:lastPrinted>2025-05-13T08:59:00Z</cp:lastPrinted>
  <dcterms:created xsi:type="dcterms:W3CDTF">2024-09-26T14:19:00Z</dcterms:created>
  <dcterms:modified xsi:type="dcterms:W3CDTF">2026-06-15T09:36:00Z</dcterms:modified>
</cp:coreProperties>
</file>