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1. Обоснование начальной (максимальной) цены контракта </w:t>
      </w:r>
      <w:r>
        <w:rPr>
          <w:b/>
          <w:sz w:val="24"/>
          <w:szCs w:val="24"/>
        </w:rPr>
        <w:br/>
        <w:t>(начальных цен единиц товара, работы, услуги)</w:t>
      </w:r>
    </w:p>
    <w:p>
      <w:pPr>
        <w:ind w:firstLine="567"/>
        <w:jc w:val="center"/>
        <w:rPr>
          <w:b/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Начальная (максимальная) цена контракта (начальная цена единицы товара, работы, услуги) определена и обоснована в соответствии с требованиями </w:t>
      </w:r>
      <w:hyperlink r:id="rId7" w:history="1">
        <w:r>
          <w:rPr>
            <w:sz w:val="24"/>
            <w:szCs w:val="24"/>
          </w:rPr>
          <w:t>статьи 22</w:t>
        </w:r>
      </w:hyperlink>
      <w:r>
        <w:rPr>
          <w:sz w:val="24"/>
          <w:szCs w:val="24"/>
        </w:rPr>
        <w:t xml:space="preserve"> Закона и методических </w:t>
      </w:r>
      <w:hyperlink r:id="rId8" w:history="1">
        <w:r>
          <w:rPr>
            <w:sz w:val="24"/>
            <w:szCs w:val="24"/>
          </w:rPr>
          <w:t>рекомендаций</w:t>
        </w:r>
      </w:hyperlink>
      <w:r>
        <w:rPr>
          <w:sz w:val="24"/>
          <w:szCs w:val="24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</w:t>
      </w:r>
      <w:r>
        <w:rPr>
          <w:b/>
          <w:sz w:val="24"/>
          <w:szCs w:val="24"/>
        </w:rPr>
        <w:t>нормативный метод.</w:t>
      </w:r>
      <w:r>
        <w:rPr>
          <w:sz w:val="24"/>
          <w:szCs w:val="24"/>
        </w:rPr>
        <w:t xml:space="preserve"> </w:t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1.2. Цена контракта (цена единицы товара, работы, услуги) определяется участником закупки на основе прилагаемого заказчиком расчета начальной (максимальной) цены контракта (начальной цены единицы товара, работы, услуги) в Приложении №1 с учетом расходов на перевозку, страхование, уплату таможенных пошлин, налогов и других обязательных платежей.</w:t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1.3. В случае если победитель не является плательщиком НДС (в том числе находится на упрощенной системе налогообложения), расчеты за единицу товара (выполненные работы, оказанные услуги) при формировании проекта контракта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закупки, с которым заключается контракт.</w:t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Валюта, используемая при формировании начальной (максимальной) цены контракта, (начальной цены единицы товара, работы, услуги), цены заявки на участие в закупке и расчетов с поставщиками (исполнителями, подрядчиками) - </w:t>
      </w:r>
      <w:r>
        <w:rPr>
          <w:b/>
          <w:sz w:val="24"/>
          <w:szCs w:val="24"/>
        </w:rPr>
        <w:t>рубль Российской Федерации</w:t>
      </w:r>
      <w:r>
        <w:rPr>
          <w:sz w:val="24"/>
          <w:szCs w:val="24"/>
        </w:rPr>
        <w:t>.</w:t>
      </w:r>
    </w:p>
    <w:p>
      <w:pPr>
        <w:ind w:firstLine="567"/>
        <w:jc w:val="both"/>
        <w:rPr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  <w:bookmarkStart w:id="0" w:name="_GoBack"/>
      <w:bookmarkEnd w:id="0"/>
    </w:p>
    <w:p>
      <w:pPr>
        <w:pStyle w:val="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2. </w:t>
      </w:r>
      <w:hyperlink w:anchor="Par1699" w:history="1">
        <w:r>
          <w:rPr>
            <w:b/>
            <w:sz w:val="24"/>
            <w:szCs w:val="24"/>
          </w:rPr>
          <w:t>Расчет</w:t>
        </w:r>
      </w:hyperlink>
      <w:r>
        <w:rPr>
          <w:b/>
          <w:sz w:val="24"/>
          <w:szCs w:val="24"/>
        </w:rPr>
        <w:t xml:space="preserve"> начальной (максимальной) цены контракта (начальной цены единицы товара, работы, услуги)</w:t>
      </w:r>
    </w:p>
    <w:p>
      <w:pPr>
        <w:pStyle w:val="41"/>
        <w:jc w:val="center"/>
        <w:rPr>
          <w:b/>
          <w:sz w:val="24"/>
          <w:szCs w:val="24"/>
        </w:rPr>
      </w:pPr>
    </w:p>
    <w:p>
      <w:pPr>
        <w:pStyle w:val="21"/>
        <w:ind w:firstLine="567"/>
        <w:jc w:val="both"/>
        <w:rPr>
          <w:color w:val="000000"/>
        </w:rPr>
      </w:pPr>
      <w:r>
        <w:rPr>
          <w:color w:val="000000" w:themeColor="text1"/>
        </w:rPr>
        <w:t xml:space="preserve">2.1. Цена за единицу товара сформирована согласно постановлению ПРАВИТЕЛЬСТВО САНКТ-ПЕТЕРБУРГА </w:t>
      </w:r>
      <w:r>
        <w:rPr>
          <w:bCs/>
          <w:color w:val="000000" w:themeColor="text1"/>
        </w:rPr>
        <w:t>от 15 июня 2016 года № 489 «Об утверждении </w:t>
      </w:r>
      <w:hyperlink r:id="rId9" w:anchor="65A0IQ" w:history="1">
        <w:r>
          <w:rPr>
            <w:rStyle w:val="a7"/>
            <w:bCs/>
            <w:color w:val="000000" w:themeColor="text1"/>
          </w:rPr>
          <w:t>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</w:t>
        </w:r>
      </w:hyperlink>
      <w:r>
        <w:rPr>
          <w:bCs/>
          <w:color w:val="000000" w:themeColor="text1"/>
        </w:rPr>
        <w:t>»,  распоряжению</w:t>
      </w:r>
      <w:hyperlink r:id="rId10" w:history="1">
        <w:r>
          <w:rPr>
            <w:rStyle w:val="aa"/>
            <w:bCs/>
            <w:color w:val="000000" w:themeColor="text1"/>
          </w:rPr>
          <w:t xml:space="preserve"> Комитета по государственному заказу Санкт-Петербурга от 31 мая 2018 г.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 (с изменениями и дополнениями)</w:t>
        </w:r>
      </w:hyperlink>
      <w:r>
        <w:rPr>
          <w:color w:val="000000"/>
        </w:rPr>
        <w:t>.</w:t>
      </w:r>
    </w:p>
    <w:p>
      <w:pPr>
        <w:pStyle w:val="a5"/>
        <w:rPr>
          <w:b/>
          <w:color w:val="000000"/>
          <w:sz w:val="24"/>
          <w:szCs w:val="24"/>
        </w:rPr>
      </w:pPr>
    </w:p>
    <w:tbl>
      <w:tblPr>
        <w:tblW w:w="15344" w:type="dxa"/>
        <w:tblInd w:w="-39" w:type="dxa"/>
        <w:tblLayout w:type="fixed"/>
        <w:tblLook w:val="04A0" w:firstRow="1" w:lastRow="0" w:firstColumn="1" w:lastColumn="0" w:noHBand="0" w:noVBand="1"/>
      </w:tblPr>
      <w:tblGrid>
        <w:gridCol w:w="601"/>
        <w:gridCol w:w="1276"/>
        <w:gridCol w:w="2127"/>
        <w:gridCol w:w="1701"/>
        <w:gridCol w:w="708"/>
        <w:gridCol w:w="993"/>
        <w:gridCol w:w="2268"/>
        <w:gridCol w:w="1134"/>
        <w:gridCol w:w="850"/>
        <w:gridCol w:w="992"/>
        <w:gridCol w:w="709"/>
        <w:gridCol w:w="851"/>
        <w:gridCol w:w="1134"/>
      </w:tblGrid>
      <w:tr>
        <w:trPr>
          <w:trHeight w:val="163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№ по Приложению №2 к ППр СПб №489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Код по ОКПД2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Наименование отдельного вида товаров, работ, услуг</w:t>
            </w:r>
          </w:p>
        </w:tc>
        <w:tc>
          <w:tcPr>
            <w:tcW w:w="86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Требования к потребительским свойствам (в том числе характеристикам качества) и иным характеристикам (в том числе предельные цены) отдельных видов товаров, работ, услуг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Кол-во товара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Ед. изм.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Сумма товара, руб.</w:t>
            </w:r>
          </w:p>
        </w:tc>
      </w:tr>
      <w:tr>
        <w:trPr>
          <w:trHeight w:val="163"/>
        </w:trPr>
        <w:tc>
          <w:tcPr>
            <w:tcW w:w="6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Характеристика</w:t>
            </w:r>
          </w:p>
          <w:p>
            <w:pPr>
              <w:tabs>
                <w:tab w:val="left" w:pos="13608"/>
              </w:tabs>
              <w:jc w:val="center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Единица измерения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Значение характеристики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000000"/>
            </w:tcBorders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000000"/>
            </w:tcBorders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>
        <w:trPr>
          <w:trHeight w:val="163"/>
        </w:trPr>
        <w:tc>
          <w:tcPr>
            <w:tcW w:w="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Код по ОКЕИ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Для государственных гражданских служащих государственных органов Санкт-Петербурга, относящихся к категории «руководители», руководителя органа управления территориальным государственным внебюджетным фондом, руководителей унитарных предприятий </w:t>
            </w:r>
            <w:r>
              <w:rPr>
                <w:b/>
                <w:bCs/>
                <w:sz w:val="16"/>
                <w:szCs w:val="16"/>
              </w:rPr>
              <w:br/>
              <w:t>Санкт-Петербурга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Для руководителей казенных и бюджетных учреждений</w:t>
            </w:r>
          </w:p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Для иных должностей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Без учета категорий и (или) групп должностей работников государственных учреждений</w:t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16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  <w:hyperlink r:id="rId11" w:history="1">
              <w:r>
                <w:rPr>
                  <w:b/>
                  <w:bCs/>
                  <w:color w:val="0563C1"/>
                  <w:sz w:val="16"/>
                  <w:szCs w:val="16"/>
                  <w:u w:val="single"/>
                </w:rPr>
                <w:t>В соответствии с кодом конечного каталожного наименования (ККН)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Предельная цена (руб. с НДС)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85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521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26.20.11.110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Ноутбук тип 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26.20.11.110-111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100 000,00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100 000,00</w:t>
            </w:r>
          </w:p>
        </w:tc>
      </w:tr>
      <w:tr>
        <w:trPr>
          <w:trHeight w:val="346"/>
        </w:trPr>
        <w:tc>
          <w:tcPr>
            <w:tcW w:w="142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100 000,00</w:t>
            </w:r>
          </w:p>
        </w:tc>
      </w:tr>
    </w:tbl>
    <w:p>
      <w:pPr>
        <w:ind w:right="-285" w:firstLine="283"/>
        <w:jc w:val="right"/>
        <w:rPr>
          <w:sz w:val="20"/>
        </w:rPr>
      </w:pPr>
    </w:p>
    <w:sectPr>
      <w:pgSz w:w="16838" w:h="11906" w:orient="landscape"/>
      <w:pgMar w:top="1134" w:right="79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E40C7A-5D2F-4168-81AC-FFD737A33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1">
    <w:name w:val="heading 1"/>
    <w:aliases w:val="Заголовок 1 Знак Знак Знак Знак,Заголовок 1 Знак Знак1 Знак Знак Знак,Заголовок 1 Знак1,Заголовок 1 Знак Знак,Заголовок 1 Знак Знак1,Заголовок 1 Знак2,Document Header1,Заголовок 1 Знак1 Знак,Заголовок 1 Знак Знак Знак,H1"/>
    <w:basedOn w:val="a"/>
    <w:link w:val="10"/>
    <w:qFormat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0"/>
    <w:link w:val="20"/>
    <w:qFormat/>
    <w:pPr>
      <w:keepNext/>
      <w:tabs>
        <w:tab w:val="num" w:pos="576"/>
      </w:tabs>
      <w:suppressAutoHyphens/>
      <w:spacing w:before="240" w:after="120"/>
      <w:ind w:left="576" w:hanging="576"/>
      <w:jc w:val="both"/>
      <w:outlineLvl w:val="1"/>
    </w:pPr>
    <w:rPr>
      <w:rFonts w:eastAsia="Lucida Sans Unicode"/>
      <w:b/>
      <w:bCs/>
      <w:sz w:val="36"/>
      <w:szCs w:val="36"/>
      <w:lang w:val="x-none" w:eastAsia="ar-SA"/>
    </w:rPr>
  </w:style>
  <w:style w:type="paragraph" w:styleId="3">
    <w:name w:val="heading 3"/>
    <w:aliases w:val="h3,Head 3,l3+toc 3,CT,Sub-section Title,l3,H3,Section Header3"/>
    <w:basedOn w:val="a"/>
    <w:next w:val="a"/>
    <w:link w:val="30"/>
    <w:qFormat/>
    <w:pPr>
      <w:keepNext/>
      <w:tabs>
        <w:tab w:val="num" w:pos="720"/>
      </w:tabs>
      <w:suppressAutoHyphens/>
      <w:spacing w:before="240" w:after="60"/>
      <w:ind w:left="720" w:hanging="720"/>
      <w:jc w:val="both"/>
      <w:outlineLvl w:val="2"/>
    </w:pPr>
    <w:rPr>
      <w:rFonts w:ascii="Arial" w:eastAsia="Times New Roman" w:hAnsi="Arial"/>
      <w:b/>
      <w:sz w:val="24"/>
      <w:lang w:val="x-none" w:eastAsia="ar-SA"/>
    </w:rPr>
  </w:style>
  <w:style w:type="paragraph" w:styleId="4">
    <w:name w:val="heading 4"/>
    <w:aliases w:val="Параграф"/>
    <w:basedOn w:val="a"/>
    <w:next w:val="a"/>
    <w:link w:val="40"/>
    <w:qFormat/>
    <w:pPr>
      <w:keepNext/>
      <w:tabs>
        <w:tab w:val="num" w:pos="864"/>
      </w:tabs>
      <w:suppressAutoHyphens/>
      <w:spacing w:before="240" w:after="60"/>
      <w:ind w:left="864" w:hanging="864"/>
      <w:jc w:val="both"/>
      <w:outlineLvl w:val="3"/>
    </w:pPr>
    <w:rPr>
      <w:rFonts w:eastAsia="Times New Roman"/>
      <w:b/>
      <w:bCs/>
      <w:szCs w:val="28"/>
      <w:lang w:val="x-none" w:eastAsia="ar-SA"/>
    </w:rPr>
  </w:style>
  <w:style w:type="paragraph" w:styleId="6">
    <w:name w:val="heading 6"/>
    <w:basedOn w:val="a"/>
    <w:next w:val="a"/>
    <w:link w:val="60"/>
    <w:qFormat/>
    <w:pPr>
      <w:widowControl w:val="0"/>
      <w:tabs>
        <w:tab w:val="num" w:pos="1152"/>
      </w:tabs>
      <w:suppressAutoHyphens/>
      <w:autoSpaceDE w:val="0"/>
      <w:spacing w:before="240" w:after="60"/>
      <w:ind w:left="1152" w:hanging="1152"/>
      <w:outlineLvl w:val="5"/>
    </w:pPr>
    <w:rPr>
      <w:rFonts w:eastAsia="Times New Roman"/>
      <w:b/>
      <w:bCs/>
      <w:sz w:val="22"/>
      <w:szCs w:val="22"/>
      <w:lang w:val="x-none" w:eastAsia="ar-SA"/>
    </w:rPr>
  </w:style>
  <w:style w:type="paragraph" w:styleId="7">
    <w:name w:val="heading 7"/>
    <w:basedOn w:val="a"/>
    <w:next w:val="a0"/>
    <w:link w:val="70"/>
    <w:qFormat/>
    <w:pPr>
      <w:keepNext/>
      <w:tabs>
        <w:tab w:val="num" w:pos="1296"/>
      </w:tabs>
      <w:suppressAutoHyphens/>
      <w:spacing w:before="240" w:after="120"/>
      <w:ind w:left="1296" w:hanging="1296"/>
      <w:jc w:val="both"/>
      <w:outlineLvl w:val="6"/>
    </w:pPr>
    <w:rPr>
      <w:rFonts w:ascii="Arial" w:eastAsia="MS Mincho" w:hAnsi="Arial"/>
      <w:b/>
      <w:bCs/>
      <w:sz w:val="21"/>
      <w:szCs w:val="21"/>
      <w:lang w:val="x-none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41">
    <w:name w:val="Обычный4"/>
    <w:link w:val="a4"/>
    <w:qFormat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4">
    <w:name w:val="Обычный Знак"/>
    <w:link w:val="41"/>
    <w:locked/>
    <w:rPr>
      <w:rFonts w:ascii="Times New Roman" w:eastAsia="Times New Roman" w:hAnsi="Times New Roman" w:cs="Times New Roman"/>
      <w:lang w:eastAsia="ru-RU"/>
    </w:rPr>
  </w:style>
  <w:style w:type="paragraph" w:styleId="a5">
    <w:name w:val="No Spacing"/>
    <w:aliases w:val="Без интервал,для таблиц,Без интервала21,No Spacing,Максим,мой,МОЙ,Без интервала 111,МММ,МОЙ МОЙ,Основной,Основа"/>
    <w:link w:val="a6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</w:rPr>
  </w:style>
  <w:style w:type="character" w:customStyle="1" w:styleId="a6">
    <w:name w:val="Без интервала Знак"/>
    <w:aliases w:val="Без интервал Знак,для таблиц Знак,Без интервала21 Знак,No Spacing Знак,Максим Знак,мой Знак,МОЙ Знак,Без интервала 111 Знак,МММ Знак,МОЙ МОЙ Знак,Основной Знак,Основа Знак"/>
    <w:link w:val="a5"/>
    <w:uiPriority w:val="1"/>
    <w:locked/>
    <w:rPr>
      <w:rFonts w:ascii="Times New Roman" w:eastAsia="Calibri" w:hAnsi="Times New Roman" w:cs="Times New Roman"/>
    </w:rPr>
  </w:style>
  <w:style w:type="character" w:styleId="a7">
    <w:name w:val="Hyperlink"/>
    <w:basedOn w:val="a1"/>
    <w:uiPriority w:val="99"/>
    <w:unhideWhenUsed/>
    <w:rPr>
      <w:color w:val="0563C1" w:themeColor="hyperlink"/>
      <w:u w:val="single"/>
    </w:rPr>
  </w:style>
  <w:style w:type="paragraph" w:customStyle="1" w:styleId="21">
    <w:name w:val="Без интервала2"/>
    <w:qFormat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1">
    <w:name w:val="Без интервала1"/>
    <w:link w:val="NoSpacingChar"/>
    <w:uiPriority w:val="99"/>
    <w:qFormat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NoSpacingChar">
    <w:name w:val="No Spacing Char"/>
    <w:aliases w:val="Без интервал Char"/>
    <w:link w:val="11"/>
    <w:uiPriority w:val="99"/>
    <w:locked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aliases w:val="Заголовок 1 Знак Знак Знак Знак Знак,Заголовок 1 Знак Знак1 Знак Знак Знак Знак,Заголовок 1 Знак1 Знак1,Заголовок 1 Знак Знак Знак1,Заголовок 1 Знак Знак1 Знак,Заголовок 1 Знак2 Знак,Document Header1 Знак,Заголовок 1 Знак1 Знак Знак"/>
    <w:basedOn w:val="a1"/>
    <w:link w:val="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Pr>
      <w:rFonts w:ascii="Segoe UI" w:eastAsia="Calibri" w:hAnsi="Segoe UI" w:cs="Segoe UI"/>
      <w:sz w:val="18"/>
      <w:szCs w:val="18"/>
      <w:lang w:eastAsia="ru-RU"/>
    </w:rPr>
  </w:style>
  <w:style w:type="character" w:customStyle="1" w:styleId="aa">
    <w:name w:val="Гипертекстовая ссылка"/>
    <w:uiPriority w:val="99"/>
    <w:rPr>
      <w:rFonts w:cs="Times New Roman"/>
      <w:b w:val="0"/>
      <w:color w:val="106BBE"/>
    </w:rPr>
  </w:style>
  <w:style w:type="paragraph" w:customStyle="1" w:styleId="ab">
    <w:name w:val="Нормальный (таблица)"/>
    <w:basedOn w:val="a"/>
    <w:next w:val="a"/>
    <w:uiPriority w:val="99"/>
    <w:pPr>
      <w:widowControl w:val="0"/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pPr>
      <w:widowControl w:val="0"/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1"/>
    <w:link w:val="2"/>
    <w:rPr>
      <w:rFonts w:ascii="Times New Roman" w:eastAsia="Lucida Sans Unicode" w:hAnsi="Times New Roman" w:cs="Times New Roman"/>
      <w:b/>
      <w:bCs/>
      <w:sz w:val="36"/>
      <w:szCs w:val="36"/>
      <w:lang w:val="x-none" w:eastAsia="ar-SA"/>
    </w:rPr>
  </w:style>
  <w:style w:type="character" w:customStyle="1" w:styleId="30">
    <w:name w:val="Заголовок 3 Знак"/>
    <w:aliases w:val="h3 Знак,Head 3 Знак,l3+toc 3 Знак,CT Знак,Sub-section Title Знак,l3 Знак,H3 Знак,Section Header3 Знак"/>
    <w:basedOn w:val="a1"/>
    <w:link w:val="3"/>
    <w:rPr>
      <w:rFonts w:ascii="Arial" w:eastAsia="Times New Roman" w:hAnsi="Arial" w:cs="Times New Roman"/>
      <w:b/>
      <w:sz w:val="24"/>
      <w:szCs w:val="20"/>
      <w:lang w:val="x-none" w:eastAsia="ar-SA"/>
    </w:rPr>
  </w:style>
  <w:style w:type="character" w:customStyle="1" w:styleId="40">
    <w:name w:val="Заголовок 4 Знак"/>
    <w:aliases w:val="Параграф Знак"/>
    <w:basedOn w:val="a1"/>
    <w:link w:val="4"/>
    <w:rPr>
      <w:rFonts w:ascii="Times New Roman" w:eastAsia="Times New Roman" w:hAnsi="Times New Roman" w:cs="Times New Roman"/>
      <w:b/>
      <w:bCs/>
      <w:sz w:val="28"/>
      <w:szCs w:val="28"/>
      <w:lang w:val="x-none" w:eastAsia="ar-SA"/>
    </w:rPr>
  </w:style>
  <w:style w:type="character" w:customStyle="1" w:styleId="60">
    <w:name w:val="Заголовок 6 Знак"/>
    <w:basedOn w:val="a1"/>
    <w:link w:val="6"/>
    <w:rPr>
      <w:rFonts w:ascii="Times New Roman" w:eastAsia="Times New Roman" w:hAnsi="Times New Roman" w:cs="Times New Roman"/>
      <w:b/>
      <w:bCs/>
      <w:lang w:val="x-none" w:eastAsia="ar-SA"/>
    </w:rPr>
  </w:style>
  <w:style w:type="character" w:customStyle="1" w:styleId="70">
    <w:name w:val="Заголовок 7 Знак"/>
    <w:basedOn w:val="a1"/>
    <w:link w:val="7"/>
    <w:rPr>
      <w:rFonts w:ascii="Arial" w:eastAsia="MS Mincho" w:hAnsi="Arial" w:cs="Times New Roman"/>
      <w:b/>
      <w:bCs/>
      <w:sz w:val="21"/>
      <w:szCs w:val="21"/>
      <w:lang w:val="x-none" w:eastAsia="ar-SA"/>
    </w:rPr>
  </w:style>
  <w:style w:type="paragraph" w:styleId="a0">
    <w:name w:val="Body Text"/>
    <w:basedOn w:val="a"/>
    <w:link w:val="ad"/>
    <w:uiPriority w:val="99"/>
    <w:semiHidden/>
    <w:unhideWhenUsed/>
    <w:pPr>
      <w:spacing w:after="120"/>
    </w:pPr>
  </w:style>
  <w:style w:type="character" w:customStyle="1" w:styleId="ad">
    <w:name w:val="Основной текст Знак"/>
    <w:basedOn w:val="a1"/>
    <w:link w:val="a0"/>
    <w:uiPriority w:val="99"/>
    <w:semiHidden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headertext">
    <w:name w:val="headertext"/>
    <w:basedOn w:val="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e">
    <w:name w:val="Другое_"/>
    <w:basedOn w:val="a1"/>
    <w:link w:val="af"/>
    <w:rPr>
      <w:rFonts w:ascii="Times New Roman" w:eastAsia="Times New Roman" w:hAnsi="Times New Roman" w:cs="Times New Roman"/>
      <w:sz w:val="11"/>
      <w:szCs w:val="11"/>
    </w:rPr>
  </w:style>
  <w:style w:type="paragraph" w:customStyle="1" w:styleId="af">
    <w:name w:val="Другое"/>
    <w:basedOn w:val="a"/>
    <w:link w:val="ae"/>
    <w:pPr>
      <w:widowControl w:val="0"/>
      <w:jc w:val="center"/>
    </w:pPr>
    <w:rPr>
      <w:rFonts w:eastAsia="Times New Roman"/>
      <w:sz w:val="11"/>
      <w:szCs w:val="11"/>
      <w:lang w:eastAsia="en-US"/>
    </w:rPr>
  </w:style>
  <w:style w:type="character" w:customStyle="1" w:styleId="22">
    <w:name w:val="Колонтитул (2)_"/>
    <w:basedOn w:val="a1"/>
    <w:link w:val="23"/>
    <w:rPr>
      <w:rFonts w:ascii="Times New Roman" w:eastAsia="Times New Roman" w:hAnsi="Times New Roman" w:cs="Times New Roman"/>
      <w:sz w:val="20"/>
      <w:szCs w:val="20"/>
    </w:rPr>
  </w:style>
  <w:style w:type="paragraph" w:customStyle="1" w:styleId="23">
    <w:name w:val="Колонтитул (2)"/>
    <w:basedOn w:val="a"/>
    <w:link w:val="22"/>
    <w:pPr>
      <w:widowControl w:val="0"/>
    </w:pPr>
    <w:rPr>
      <w:rFonts w:eastAsia="Times New Roman"/>
      <w:sz w:val="20"/>
      <w:lang w:eastAsia="en-US"/>
    </w:rPr>
  </w:style>
  <w:style w:type="paragraph" w:styleId="af0">
    <w:name w:val="head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f2">
    <w:name w:val="foot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1"/>
    <w:link w:val="af2"/>
    <w:uiPriority w:val="99"/>
    <w:rPr>
      <w:rFonts w:ascii="Times New Roman" w:eastAsia="Calibri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3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6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43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1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5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24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1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2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1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0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4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0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4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6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1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6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B5546A760EB4FE1014FD39FA00362A8A0152E9B42EDAA79w5k1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85842A66EE54FE1014FD39FA00362A8A0152E9B42EDA878w5k0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z-spb.ru/content/2831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internet.garant.ru/document/redirect/43445208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4560118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909</TotalTime>
  <Pages>2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Пользователь Windows</cp:lastModifiedBy>
  <cp:revision>246</cp:revision>
  <cp:lastPrinted>2022-06-16T07:44:00Z</cp:lastPrinted>
  <dcterms:created xsi:type="dcterms:W3CDTF">2025-07-23T11:25:00Z</dcterms:created>
  <dcterms:modified xsi:type="dcterms:W3CDTF">2026-06-16T09:33:00Z</dcterms:modified>
</cp:coreProperties>
</file>