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header4.xml" ContentType="application/vnd.openxmlformats-officedocument.wordprocessingml.header+xml"/>
  <Override PartName="/word/_rels/document.xml.rels" ContentType="application/vnd.openxmlformats-package.relationships+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Контракт № _________</w:t>
      </w:r>
    </w:p>
    <w:p>
      <w:pPr>
        <w:pStyle w:val="Normal"/>
        <w:spacing w:lineRule="auto" w:line="240" w:before="0" w:after="0"/>
        <w:ind w:firstLine="709"/>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(Идентификационный код закупки №</w:t>
      </w:r>
      <w:r>
        <w:rPr>
          <w:rFonts w:eastAsia="Times New Roman" w:cs="Times New Roman" w:ascii="Times New Roman" w:hAnsi="Times New Roman"/>
          <w:sz w:val="24"/>
          <w:szCs w:val="24"/>
          <w:lang w:val="en-US" w:eastAsia="ru-RU"/>
        </w:rPr>
        <w:t xml:space="preserve"> 262781413442278140100100010000000244</w:t>
      </w:r>
      <w:r>
        <w:rPr>
          <w:rFonts w:eastAsia="Times New Roman" w:cs="Times New Roman" w:ascii="Times New Roman" w:hAnsi="Times New Roman"/>
          <w:sz w:val="24"/>
          <w:szCs w:val="24"/>
          <w:lang w:val="en-US"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10257" w:type="dxa"/>
        <w:jc w:val="left"/>
        <w:tblInd w:w="20" w:type="dxa"/>
        <w:tblLayout w:type="fixed"/>
        <w:tblCellMar>
          <w:top w:w="0" w:type="dxa"/>
          <w:left w:w="0" w:type="dxa"/>
          <w:bottom w:w="0" w:type="dxa"/>
          <w:right w:w="0" w:type="dxa"/>
        </w:tblCellMar>
        <w:tblLook w:lastRow="0" w:firstRow="1" w:lastColumn="0" w:firstColumn="1" w:val="04a0" w:noHBand="0" w:noVBand="1"/>
      </w:tblPr>
      <w:tblGrid>
        <w:gridCol w:w="3225"/>
        <w:gridCol w:w="7031"/>
      </w:tblGrid>
      <w:tr>
        <w:trPr>
          <w:trHeight w:val="381" w:hRule="atLeast"/>
        </w:trPr>
        <w:tc>
          <w:tcPr>
            <w:tcW w:w="3225" w:type="dxa"/>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 Санкт-Петербург</w:t>
            </w:r>
          </w:p>
        </w:tc>
        <w:tc>
          <w:tcPr>
            <w:tcW w:w="7031" w:type="dxa"/>
            <w:tcBorders/>
          </w:tcPr>
          <w:p>
            <w:pPr>
              <w:pStyle w:val="Normal"/>
              <w:spacing w:lineRule="auto" w:line="240" w:before="0" w:after="0"/>
              <w:ind w:firstLine="709"/>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 _________ 2026г.</w:t>
            </w:r>
          </w:p>
        </w:tc>
      </w:tr>
    </w:tbl>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i w:val="false"/>
          <w:iCs w:val="false"/>
          <w:sz w:val="24"/>
          <w:szCs w:val="24"/>
          <w:lang w:eastAsia="ru-RU"/>
        </w:rPr>
        <w:t>Санкт-Петербургское государственное бюджетное учреждение здравоохранения «Консультативно-диагностическая поликлиника № 1 Приморского района»,</w:t>
      </w:r>
      <w:r>
        <w:rPr>
          <w:rFonts w:eastAsia="Times New Roman" w:cs="Times New Roman" w:ascii="Times New Roman" w:hAnsi="Times New Roman"/>
          <w:i w:val="false"/>
          <w:iCs w:val="false"/>
          <w:sz w:val="24"/>
          <w:szCs w:val="24"/>
          <w:lang w:eastAsia="ru-RU"/>
        </w:rPr>
        <w:t xml:space="preserve"> именуемое в дальнейшем «Заказчик», в лице </w:t>
      </w:r>
      <w:r>
        <w:rPr>
          <w:rFonts w:eastAsia="Times New Roman" w:cs="Times New Roman" w:ascii="Times New Roman" w:hAnsi="Times New Roman"/>
          <w:i w:val="false"/>
          <w:iCs w:val="false"/>
          <w:sz w:val="24"/>
          <w:szCs w:val="24"/>
          <w:lang w:eastAsia="ru-RU"/>
        </w:rPr>
        <w:t>______</w:t>
      </w:r>
      <w:r>
        <w:rPr>
          <w:rFonts w:eastAsia="Times New Roman" w:cs="Times New Roman" w:ascii="Times New Roman" w:hAnsi="Times New Roman"/>
          <w:i w:val="false"/>
          <w:iCs w:val="false"/>
          <w:sz w:val="24"/>
          <w:szCs w:val="24"/>
          <w:lang w:eastAsia="ru-RU"/>
        </w:rPr>
        <w:t>, действующего на основании Устава, с одной стороны и __________________</w:t>
      </w:r>
      <w:r>
        <w:rPr>
          <w:rFonts w:eastAsia="Times New Roman" w:cs="Times New Roman" w:ascii="Times New Roman" w:hAnsi="Times New Roman"/>
          <w:b/>
          <w:bCs/>
          <w:i w:val="false"/>
          <w:iCs w:val="false"/>
          <w:caps w:val="false"/>
          <w:smallCaps w:val="false"/>
          <w:color w:val="000000"/>
          <w:spacing w:val="0"/>
          <w:sz w:val="24"/>
          <w:szCs w:val="24"/>
          <w:shd w:fill="FFFFFF" w:val="clear"/>
          <w:lang w:eastAsia="ru-RU"/>
        </w:rPr>
        <w:t xml:space="preserve">, </w:t>
      </w:r>
      <w:r>
        <w:rPr>
          <w:rFonts w:eastAsia="Times New Roman" w:cs="Times New Roman" w:ascii="Times New Roman" w:hAnsi="Times New Roman"/>
          <w:b w:val="false"/>
          <w:bCs w:val="false"/>
          <w:i w:val="false"/>
          <w:iCs w:val="false"/>
          <w:caps w:val="false"/>
          <w:smallCaps w:val="false"/>
          <w:color w:val="000000"/>
          <w:spacing w:val="0"/>
          <w:sz w:val="24"/>
          <w:szCs w:val="24"/>
          <w:shd w:fill="FFFFFF" w:val="clear"/>
          <w:lang w:eastAsia="ru-RU"/>
        </w:rPr>
        <w:t>в лице</w:t>
      </w:r>
      <w:r>
        <w:rPr>
          <w:rFonts w:eastAsia="Times New Roman" w:cs="Times New Roman" w:ascii="Times New Roman" w:hAnsi="Times New Roman"/>
          <w:b/>
          <w:bCs/>
          <w:i w:val="false"/>
          <w:iCs w:val="false"/>
          <w:caps w:val="false"/>
          <w:smallCaps w:val="false"/>
          <w:color w:val="000000"/>
          <w:spacing w:val="0"/>
          <w:sz w:val="24"/>
          <w:szCs w:val="24"/>
          <w:shd w:fill="FFFFFF" w:val="clear"/>
          <w:lang w:eastAsia="ru-RU"/>
        </w:rPr>
        <w:t xml:space="preserve"> </w:t>
      </w:r>
      <w:r>
        <w:rPr>
          <w:rFonts w:eastAsia="Times New Roman" w:cs="Times New Roman" w:ascii="Times New Roman" w:hAnsi="Times New Roman"/>
          <w:b w:val="false"/>
          <w:bCs w:val="false"/>
          <w:i w:val="false"/>
          <w:iCs w:val="false"/>
          <w:caps w:val="false"/>
          <w:smallCaps w:val="false"/>
          <w:color w:val="000000"/>
          <w:spacing w:val="0"/>
          <w:sz w:val="24"/>
          <w:szCs w:val="24"/>
          <w:shd w:fill="auto" w:val="clear"/>
          <w:lang w:eastAsia="ru-RU"/>
        </w:rPr>
        <w:t>_________</w:t>
      </w:r>
      <w:r>
        <w:rPr>
          <w:rFonts w:eastAsia="Times New Roman" w:cs="Times New Roman" w:ascii="Times New Roman" w:hAnsi="Times New Roman"/>
          <w:b w:val="false"/>
          <w:bCs w:val="false"/>
          <w:i w:val="false"/>
          <w:iCs w:val="false"/>
          <w:caps w:val="false"/>
          <w:smallCaps w:val="false"/>
          <w:color w:val="000000"/>
          <w:spacing w:val="0"/>
          <w:sz w:val="24"/>
          <w:szCs w:val="24"/>
          <w:shd w:fill="FFFFFF" w:val="clear"/>
          <w:lang w:eastAsia="ru-RU"/>
        </w:rPr>
        <w:t>,</w:t>
      </w:r>
      <w:r>
        <w:rPr>
          <w:rFonts w:eastAsia="Times New Roman" w:cs="Times New Roman" w:ascii="Times New Roman" w:hAnsi="Times New Roman"/>
          <w:b/>
          <w:bCs/>
          <w:i w:val="false"/>
          <w:iCs w:val="false"/>
          <w:caps w:val="false"/>
          <w:smallCaps w:val="false"/>
          <w:color w:val="000000"/>
          <w:spacing w:val="0"/>
          <w:sz w:val="24"/>
          <w:szCs w:val="24"/>
          <w:shd w:fill="FFFFFF" w:val="clear"/>
          <w:lang w:eastAsia="ru-RU"/>
        </w:rPr>
        <w:t xml:space="preserve"> </w:t>
      </w:r>
      <w:r>
        <w:rPr>
          <w:rFonts w:eastAsia="Times New Roman" w:cs="Times New Roman" w:ascii="Times New Roman" w:hAnsi="Times New Roman"/>
          <w:i w:val="false"/>
          <w:iCs w:val="false"/>
          <w:sz w:val="24"/>
          <w:szCs w:val="24"/>
          <w:lang w:eastAsia="ru-RU"/>
        </w:rPr>
        <w:t>именуемое в дальнейшем «Поставщик», действующий на основании _________,</w:t>
      </w:r>
      <w:r>
        <w:rPr>
          <w:rFonts w:eastAsia="Times New Roman" w:cs="Times New Roman" w:ascii="Times New Roman" w:hAnsi="Times New Roman"/>
          <w:sz w:val="24"/>
          <w:szCs w:val="24"/>
          <w:lang w:eastAsia="ru-RU"/>
        </w:rPr>
        <w:t xml:space="preserve"> с другой стороны, здесь и далее именуемые «Стороны», с другой стороны, здесь и далее именуемые «Стороны», в порядке п. 4 ч.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также - Федеральный закон о контрактной системе, Закон, ФЗ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44), заключили настоящий Контракт (далее - Контракт) о нижеследующем: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 Предмет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Pr>
          <w:rFonts w:eastAsia="Times New Roman" w:cs="Times New Roman" w:ascii="Times New Roman" w:hAnsi="Times New Roman"/>
          <w:b/>
          <w:bCs/>
          <w:sz w:val="24"/>
          <w:szCs w:val="24"/>
          <w:lang w:eastAsia="ru-RU"/>
        </w:rPr>
        <w:t>поставку индикаторных тест-полосок</w:t>
      </w:r>
      <w:bookmarkStart w:id="0" w:name="_Hlk188359341"/>
      <w:r>
        <w:rPr>
          <w:rFonts w:eastAsia="Times New Roman" w:cs="Times New Roman" w:ascii="Times New Roman" w:hAnsi="Times New Roman"/>
          <w:b/>
          <w:bCs/>
          <w:sz w:val="24"/>
          <w:szCs w:val="24"/>
          <w:lang w:eastAsia="ru-RU"/>
        </w:rPr>
        <w:t xml:space="preserve"> </w:t>
      </w:r>
      <w:r>
        <w:rPr>
          <w:rFonts w:eastAsia="Times New Roman" w:cs="Times New Roman" w:ascii="Times New Roman" w:hAnsi="Times New Roman"/>
          <w:b/>
          <w:sz w:val="24"/>
          <w:szCs w:val="24"/>
          <w:lang w:eastAsia="ru-RU"/>
        </w:rPr>
        <w:t xml:space="preserve">для СПб ГБУЗ КДП № 1 </w:t>
      </w:r>
      <w:r>
        <w:rPr>
          <w:rFonts w:eastAsia="Times New Roman" w:cs="Times New Roman" w:ascii="Times New Roman" w:hAnsi="Times New Roman"/>
          <w:b/>
          <w:i w:val="false"/>
          <w:strike w:val="false"/>
          <w:dstrike w:val="false"/>
          <w:outline w:val="false"/>
          <w:shadow w:val="false"/>
          <w:color w:val="000000"/>
          <w:sz w:val="24"/>
          <w:szCs w:val="24"/>
          <w:u w:val="none"/>
          <w:em w:val="none"/>
          <w:lang w:eastAsia="ru-RU"/>
        </w:rPr>
        <w:t>в 2026 году</w:t>
      </w:r>
      <w:bookmarkEnd w:id="0"/>
      <w:r>
        <w:rPr>
          <w:rFonts w:eastAsia="Times New Roman" w:cs="Times New Roman" w:ascii="Times New Roman" w:hAnsi="Times New Roman"/>
          <w:sz w:val="24"/>
          <w:szCs w:val="24"/>
          <w:lang w:eastAsia="ru-RU"/>
        </w:rPr>
        <w:t xml:space="preserve"> (далее - Товар) Заказчику в обусловленный Контрактом срок, согласно Спецификации (Приложение </w:t>
      </w:r>
      <w:r>
        <w:rPr>
          <w:rFonts w:eastAsia="Times New Roman" w:cs="Times New Roman" w:ascii="Times New Roman" w:hAnsi="Times New Roman"/>
          <w:sz w:val="24"/>
          <w:szCs w:val="24"/>
          <w:lang w:val="en-US" w:eastAsia="ru-RU"/>
        </w:rPr>
        <w:t>№</w:t>
      </w:r>
      <w:r>
        <w:rPr>
          <w:rFonts w:eastAsia="Times New Roman" w:cs="Times New Roman" w:ascii="Times New Roman" w:hAnsi="Times New Roman"/>
          <w:sz w:val="24"/>
          <w:szCs w:val="24"/>
          <w:lang w:eastAsia="ru-RU"/>
        </w:rPr>
        <w:t xml:space="preserve"> 1 к Контракту), а Заказчик обязуется принять и оплатить Товар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1.2. Наименование, количество поставляемого Товара, его функциональные, технические и качественные характеристики установлены в Спецификации (Приложение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1 к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2. Цена Контракта и порядок расчетов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2.1. </w:t>
      </w:r>
      <w:r>
        <w:rPr>
          <w:rFonts w:eastAsia="Times New Roman" w:cs="Times New Roman" w:ascii="Times New Roman" w:hAnsi="Times New Roman"/>
          <w:b/>
          <w:bCs/>
          <w:sz w:val="24"/>
          <w:szCs w:val="24"/>
          <w:lang w:eastAsia="ru-RU"/>
        </w:rPr>
        <w:t>Цена Контракта составляет ______ рублей ___копеек</w:t>
      </w:r>
      <w:r>
        <w:rPr>
          <w:rFonts w:eastAsia="Times New Roman" w:cs="Times New Roman" w:ascii="Times New Roman" w:hAnsi="Times New Roman"/>
          <w:sz w:val="24"/>
          <w:szCs w:val="24"/>
          <w:lang w:eastAsia="ru-RU"/>
        </w:rPr>
        <w:t>, в том числе НДС _______</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ФЗ N 44 и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 заключении и исполнении Контракта изменение его существенных условий не допускается, за исключением случаев, предусмотренных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2.3. Источник финансирования Контракта - Внебюджетные средства: Средства бюджетных учреждений.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2.4. Оплата поставленного Товара производится Заказчиком в течение 7 (семи) рабочих дней </w:t>
      </w:r>
      <w:r>
        <w:rPr>
          <w:rFonts w:eastAsia="Times New Roman" w:cs="Times New Roman" w:ascii="Times New Roman" w:hAnsi="Times New Roman"/>
          <w:i w:val="false"/>
          <w:iCs w:val="false"/>
          <w:sz w:val="24"/>
          <w:szCs w:val="24"/>
          <w:lang w:eastAsia="ru-RU"/>
        </w:rPr>
        <w:t>с даты подписания Заказчиком Акта приема-передачи Товара по Контракту, и на основании документов, предусмотренных пунктом 3.3 настоящего Контракта</w:t>
      </w:r>
      <w:r>
        <w:rPr>
          <w:rFonts w:eastAsia="Times New Roman" w:cs="Times New Roman" w:ascii="Times New Roman" w:hAnsi="Times New Roman"/>
          <w:sz w:val="24"/>
          <w:szCs w:val="24"/>
          <w:lang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pPr>
        <w:sectPr>
          <w:headerReference w:type="default" r:id="rId2"/>
          <w:type w:val="nextPage"/>
          <w:pgSz w:w="11906" w:h="16838"/>
          <w:pgMar w:left="709" w:right="993" w:gutter="0" w:header="709" w:top="1134" w:footer="0" w:bottom="1134"/>
          <w:pgNumType w:fmt="decimal"/>
          <w:formProt w:val="false"/>
          <w:textDirection w:val="lrTb"/>
          <w:docGrid w:type="default" w:linePitch="360" w:charSpace="4096"/>
        </w:sect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 иные обязательные платежи подлежат уплате в бюджеты бюджетной системы Российской Федерации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2.7. Датой оплаты считается дата списания денежных средств со счета Заказчика, указанного в Контракте.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2.8. Суммы неисполненных Поставщиком требований об уплате неустоек (штрафов, пеней), предъявленных Заказчиком в соответствии с ФЗ N 44 и Контрактом, удерживаются Заказчиком из суммы, подлежащей оплате Поставщику.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3. Порядок, сроки и условия приемки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Товар поставляется Заказчику единовременно в соответствии с условиями Контракта. Количество Товара определяется на основании Контракта.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Поставка Товара осуществляется Поставщиком </w:t>
      </w:r>
      <w:r>
        <w:rPr>
          <w:rFonts w:eastAsia="Times New Roman" w:cs="Times New Roman" w:ascii="Times New Roman" w:hAnsi="Times New Roman"/>
          <w:b/>
          <w:sz w:val="24"/>
          <w:szCs w:val="24"/>
          <w:lang w:eastAsia="ru-RU"/>
        </w:rPr>
        <w:t xml:space="preserve">в течение </w:t>
      </w:r>
      <w:r>
        <w:rPr>
          <w:rFonts w:eastAsia="Times New Roman" w:cs="Times New Roman" w:ascii="Times New Roman" w:hAnsi="Times New Roman"/>
          <w:b/>
          <w:sz w:val="24"/>
          <w:szCs w:val="24"/>
          <w:lang w:eastAsia="ru-RU"/>
        </w:rPr>
        <w:t>10</w:t>
      </w:r>
      <w:r>
        <w:rPr>
          <w:rFonts w:eastAsia="Times New Roman" w:cs="Times New Roman" w:ascii="Times New Roman" w:hAnsi="Times New Roman"/>
          <w:b/>
          <w:sz w:val="24"/>
          <w:szCs w:val="24"/>
          <w:lang w:eastAsia="ru-RU"/>
        </w:rPr>
        <w:t xml:space="preserve"> (</w:t>
      </w:r>
      <w:r>
        <w:rPr>
          <w:rFonts w:eastAsia="Times New Roman" w:cs="Times New Roman" w:ascii="Times New Roman" w:hAnsi="Times New Roman"/>
          <w:b/>
          <w:sz w:val="24"/>
          <w:szCs w:val="24"/>
          <w:lang w:eastAsia="ru-RU"/>
        </w:rPr>
        <w:t>десяти</w:t>
      </w:r>
      <w:r>
        <w:rPr>
          <w:rFonts w:eastAsia="Times New Roman" w:cs="Times New Roman" w:ascii="Times New Roman" w:hAnsi="Times New Roman"/>
          <w:b/>
          <w:sz w:val="24"/>
          <w:szCs w:val="24"/>
          <w:lang w:eastAsia="ru-RU"/>
        </w:rPr>
        <w:t>) рабочих дней</w:t>
      </w:r>
      <w:r>
        <w:rPr>
          <w:rFonts w:eastAsia="Times New Roman" w:cs="Times New Roman" w:ascii="Times New Roman" w:hAnsi="Times New Roman"/>
          <w:sz w:val="24"/>
          <w:szCs w:val="24"/>
          <w:lang w:eastAsia="ru-RU"/>
        </w:rPr>
        <w:t xml:space="preserve"> со дня заключения Сторонами Контракта. Поставка осуществляется в рабочее время Заказчика, по предварительному согласованию с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Поставка осуществляется в рабочее время Заказчика, по предварительному согласованию с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3.2. Поставка Товара осуществляется Поставщиком по адресу: 197183, г. Санкт-Петербург, Приморский пр., д. 3, лит. А, в помещение, указанное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Погрузо-разгрузочные работы и доставка Товара осуществляются силами и за счет средств Поставщика.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3.3. Одновременно с поставкой Товара Поставщик предоставляет Заказчику следующие документы: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 счет на оплату поставленного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б) копию регистрационного удостоверения на медицинское изделие, выданного Федеральной службой по надзору в сфере здравоохранения (в отношении Товара по позиции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1 Спецификации (Приложение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1 к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товарную накладную, составленную по форме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 счет-фактуру (при наличии);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 акт приема-передачи Товара в двух экземплярах;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3.4. В день поставки Товара Заказчику осуществляет приемку Товара по количеству упаковок Товара, комплекту, явным видимым повреждениям упаковки и качеству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3.5.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3.6. Заказчик в срок не более 15 рабочих дней со дня получения от Поставщика документов, предусмотренных пунктом 3.3 Контракта, и на основании результатов экспертизы, проведенной в соответствии с пунктом 3.5 Контракта осуществляет одно из следующих действий: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подписывает полученный от Поставщика акт приема-передачи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формирует и направляет Поставщику мотивированный отказ от подписания акта приема-передачи Товара с указанием причин такого отказа, перечня недостатков и сроков их устранения Поставщиком.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3.6.1. Заказчик имеет право частично принять поставленный Товар с отражением информации о фактически принятом количестве Товара в акте приема-передачи.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3.7.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3.8. 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пунктом 3.6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3.9. Датой приемки поставленного Товара считается дата подписания Заказчиком акта-приема передачи.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Подписание со стороны Заказчика акта приема-передачи Товара подтверждает исполнение обязательств Поставщика,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3.10.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приема-передачи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3.11. Сдача и приемка Товара осуществляются уполномоченными представителями Сторон.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cs="Times New Roman"/>
          <w:b/>
          <w:bCs/>
          <w:sz w:val="24"/>
          <w:szCs w:val="24"/>
        </w:rPr>
      </w:pPr>
      <w:r>
        <w:rPr>
          <w:rFonts w:cs="Times New Roman" w:ascii="Times New Roman" w:hAnsi="Times New Roman"/>
          <w:b/>
          <w:bCs/>
          <w:sz w:val="24"/>
          <w:szCs w:val="24"/>
        </w:rPr>
        <w:t>4. Взаимодействие Сторон</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 Поставщик обязан</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4.1.1. Поставить Товар в порядке, количестве, в срок и на условиях, предусмотренных Контрактом.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4.1.4. </w:t>
      </w:r>
      <w:r>
        <w:rPr>
          <w:rFonts w:eastAsia="Times New Roman" w:cs="Times New Roman" w:ascii="Times New Roman" w:hAnsi="Times New Roman"/>
          <w:i w:val="false"/>
          <w:iCs w:val="false"/>
          <w:color w:val="000000"/>
          <w:sz w:val="24"/>
          <w:szCs w:val="24"/>
          <w:shd w:fill="auto" w:val="clear"/>
          <w:lang w:eastAsia="ru-RU"/>
        </w:rPr>
        <w:t>В случае принятия решения об одностороннем отказе от исполнения Контракта направлять такое решение Заказчику в соответствии с требованиями, установленными ст. 95 Закона</w:t>
      </w:r>
      <w:r>
        <w:rPr>
          <w:rFonts w:eastAsia="Times New Roman" w:cs="Times New Roman" w:ascii="Times New Roman" w:hAnsi="Times New Roman"/>
          <w:sz w:val="24"/>
          <w:szCs w:val="24"/>
          <w:lang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4.1.6. Обеспечивать гарантии на Товар в соответствии с разделом 6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4.1.7. При поставке Товара предоставлять Заказчику документы, указанные в пункте 3.3 настоящего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4.1.8. Нести риск случайного повреждения Товара или уничтожения его до момента передачи Товара Заказчику.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4.1.9. Одновременно с поставкой Товара передавать Заказчику надлежащим образом оформленные сопроводительные документы, предусмотренные пунктом 3.3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4.1.10. Устранять выявленные дефекты Товара в течение гарантийного срока за свой счет. В случае невозможности устранения дефектов Товара произвести его замену на Товар с аналогичными техническими характеристиками.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 Поставщик вправе: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4.2.1. Требовать от Заказчика надлежащего исполнения обязательств в соответствии с условиями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4.2.4. Требовать возмещения убытков, уплаты неустоек (штрафов, пеней) в соответствии с разделом 7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4.2.5. </w:t>
      </w:r>
      <w:r>
        <w:rPr>
          <w:rFonts w:eastAsia="Times New Roman" w:cs="Times New Roman" w:ascii="Times New Roman" w:hAnsi="Times New Roman"/>
          <w:b w:val="false"/>
          <w:color w:val="000000"/>
          <w:sz w:val="24"/>
          <w:szCs w:val="24"/>
          <w:shd w:fill="auto" w:val="clear"/>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w:t>
      </w:r>
      <w:hyperlink r:id="rId3">
        <w:r>
          <w:rPr>
            <w:rStyle w:val="Hyperlink"/>
            <w:rFonts w:eastAsia="Times New Roman" w:cs="Times New Roman" w:ascii="Times New Roman" w:hAnsi="Times New Roman"/>
            <w:b w:val="false"/>
            <w:strike w:val="false"/>
            <w:dstrike w:val="false"/>
            <w:color w:val="000000"/>
            <w:sz w:val="24"/>
            <w:szCs w:val="24"/>
            <w:u w:val="none"/>
            <w:effect w:val="none"/>
            <w:shd w:fill="auto" w:val="clear"/>
            <w:lang w:eastAsia="ru-RU"/>
          </w:rPr>
          <w:t>подпунктом "в" пункта 1</w:t>
        </w:r>
      </w:hyperlink>
      <w:r>
        <w:rPr>
          <w:rFonts w:eastAsia="Times New Roman" w:cs="Times New Roman" w:ascii="Times New Roman" w:hAnsi="Times New Roman"/>
          <w:b w:val="false"/>
          <w:color w:val="000000"/>
          <w:sz w:val="24"/>
          <w:szCs w:val="24"/>
          <w:shd w:fill="auto" w:val="clear"/>
          <w:lang w:eastAsia="ru-RU"/>
        </w:rPr>
        <w:t xml:space="preserve">, </w:t>
      </w:r>
      <w:hyperlink r:id="rId4">
        <w:r>
          <w:rPr>
            <w:rStyle w:val="Hyperlink"/>
            <w:rFonts w:eastAsia="Times New Roman" w:cs="Times New Roman" w:ascii="Times New Roman" w:hAnsi="Times New Roman"/>
            <w:b w:val="false"/>
            <w:strike w:val="false"/>
            <w:dstrike w:val="false"/>
            <w:color w:val="000000"/>
            <w:sz w:val="24"/>
            <w:szCs w:val="24"/>
            <w:u w:val="none"/>
            <w:effect w:val="none"/>
            <w:shd w:fill="auto" w:val="clear"/>
            <w:lang w:eastAsia="ru-RU"/>
          </w:rPr>
          <w:t>подпунктом "б" пункта 2</w:t>
        </w:r>
      </w:hyperlink>
      <w:r>
        <w:rPr>
          <w:rFonts w:eastAsia="Times New Roman" w:cs="Times New Roman" w:ascii="Times New Roman" w:hAnsi="Times New Roman"/>
          <w:b w:val="false"/>
          <w:color w:val="000000"/>
          <w:sz w:val="24"/>
          <w:szCs w:val="24"/>
          <w:shd w:fill="auto" w:val="clear"/>
          <w:lang w:eastAsia="ru-RU"/>
        </w:rPr>
        <w:t xml:space="preserve">, </w:t>
      </w:r>
      <w:hyperlink r:id="rId5">
        <w:r>
          <w:rPr>
            <w:rStyle w:val="Hyperlink"/>
            <w:rFonts w:eastAsia="Times New Roman" w:cs="Times New Roman" w:ascii="Times New Roman" w:hAnsi="Times New Roman"/>
            <w:b w:val="false"/>
            <w:strike w:val="false"/>
            <w:dstrike w:val="false"/>
            <w:color w:val="000000"/>
            <w:sz w:val="24"/>
            <w:szCs w:val="24"/>
            <w:u w:val="none"/>
            <w:effect w:val="none"/>
            <w:shd w:fill="auto" w:val="clear"/>
            <w:lang w:eastAsia="ru-RU"/>
          </w:rPr>
          <w:t>подпунктом "в" пункта 3 части 4 статьи 14</w:t>
        </w:r>
      </w:hyperlink>
      <w:r>
        <w:rPr>
          <w:rFonts w:eastAsia="Times New Roman" w:cs="Times New Roman" w:ascii="Times New Roman" w:hAnsi="Times New Roman"/>
          <w:b w:val="false"/>
          <w:color w:val="000000"/>
          <w:sz w:val="24"/>
          <w:szCs w:val="24"/>
          <w:shd w:fill="auto" w:val="clear"/>
          <w:lang w:eastAsia="ru-RU"/>
        </w:rPr>
        <w:t xml:space="preserve">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 Заказчик обязан: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4.3.1. Обеспечить своевременную оплату поставленного Товара, соответствующего условиям Контракта, в порядке и сроки, предусмотренные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4.3.2. </w:t>
      </w:r>
      <w:r>
        <w:rPr>
          <w:rFonts w:eastAsia="Times New Roman" w:cs="Times New Roman" w:ascii="Times New Roman" w:hAnsi="Times New Roman"/>
          <w:i w:val="false"/>
          <w:iCs w:val="false"/>
          <w:color w:val="000000"/>
          <w:sz w:val="24"/>
          <w:szCs w:val="24"/>
          <w:shd w:fill="auto" w:val="clear"/>
          <w:lang w:eastAsia="ru-RU"/>
        </w:rPr>
        <w:t>В случае принятия решения об одностороннем отказе от исполнения Контракта направлять такое решение Поставщику в соответствии с требованиями, установленными ст. 95 Закона</w:t>
      </w:r>
      <w:r>
        <w:rPr>
          <w:rFonts w:eastAsia="Times New Roman" w:cs="Times New Roman" w:ascii="Times New Roman" w:hAnsi="Times New Roman"/>
          <w:sz w:val="24"/>
          <w:szCs w:val="24"/>
          <w:lang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4.3.3. Требовать уплаты неустоек (штрафов, пеней) в соответствии с разделом 7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4.3.4.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N 44 и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 Заказчик вправе: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4.4.1. Требовать от Поставщика надлежащего исполнения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4.4.2. Требовать от Поставщика своевременного устранения нарушений, выявленных как в ходе приемки, так и в течение срока годности.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4.4.3. Проверять ход и качество выполнения Поставщиком условий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4.4.4. Требовать возмещения убытков, причиненных по вине Поставщика, в соответствии с действующим законодательством и разделом 7 Контракта, причиненных по вине Поставщика.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4.4.6. Отказаться от приемки и оплаты Товара, не соответствующего условиям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4.4.9. Запрашивать у Поставщика информацию об исполнении им обязательств по Контракту.</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5. Упаковка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5.4. Поставщик несет ответственность перед Заказчиком за повреждение Товара вследствие его ненадлежащей упаковки.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5.5. Транспортная упаковка должна соответствовать требованиям законодательства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6. Гарантия, качество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6.1. Поставщик гарантирует, что поставляемый Товар соответствует требованиям, установленным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6.4. Гарантия Поставщика на поставленный Товар составляет 12 месяцев. Гарантия производителя на Товар составляет 12 месяцев. Гарантийный срок начинает исчисляться со дня подписания Заказчиком акта приема-передачи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7. Ответственность Сторон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7.6. В случае нарушения Поставщиком срока представления документов, предусмотренных пунктом 3.3 Контракта, Заказчик не несет ответственность, установленную пунктами 7.4 - 7.5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7.11.1. В случае нарушения срока предоставления документов, установленного п. 3.3 Контракта, Поставщик несет ответственность в соответствии с п. 7.11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7.14. Уплата неустойки (штрафа, пени) не освобождает Стороны от исполнения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8. Обстоятельства непреодолимой силы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cs="Times New Roman"/>
          <w:b/>
          <w:bCs/>
          <w:sz w:val="24"/>
          <w:szCs w:val="24"/>
        </w:rPr>
      </w:pPr>
      <w:r>
        <w:rPr>
          <w:rFonts w:cs="Times New Roman" w:ascii="Times New Roman" w:hAnsi="Times New Roman"/>
          <w:b/>
          <w:bCs/>
          <w:sz w:val="24"/>
          <w:szCs w:val="24"/>
        </w:rPr>
        <w:t>9. Рассмотрение и разрешение споров</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9.1. Все споры, возникающие из Контракта, Стороны могут разрешать путем переговоров.</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9.4. Претензии могут направляться Сторонами друг другу любыми средствами связи, том числе Почтой России, по факсу либо по электронной почте, по реквизитам Сторон, указанным в разделе 15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9.5. Сторона должна дать ответ на претензию по существу в срок не позднее 5 (пяти) рабочих дней с даты получения претензии.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10. Срок действия и порядок изменения, расторжения</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Контракта. Срок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 Контракт вступает в силу с даты его заключения обеими Сторонами и действует по "31" декабря 2026г.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Контракт составлен в форме электронного документа, подписанного усиленными электронными подписями Сторон. Контракт подлежит внесению в систему АИС ГЗ.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10.2. Изменения условий Контракта при его исполнении не допускается, за исключением случаев, предусмотренных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10.5. Стороны вправе отказаться от исполнения Контракта в одностороннем порядке в соответствии с положениями статьи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w:t>
      </w:r>
      <w:r>
        <w:rPr>
          <w:rFonts w:eastAsia="Times New Roman" w:cs="Times New Roman" w:ascii="Times New Roman" w:hAnsi="Times New Roman"/>
          <w:color w:val="auto"/>
          <w:kern w:val="0"/>
          <w:sz w:val="24"/>
          <w:szCs w:val="24"/>
          <w:lang w:val="ru-RU" w:eastAsia="ru-RU" w:bidi="ar-SA"/>
        </w:rPr>
        <w:t>0.7. В случае принятия Заказчиком решения об одностороннем отказе от исполнения Контракта такое решение направляется Поставщику, в соответствии со статьей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10.9.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N 44, обращение о включении информации о Поставщике в реестр недобросовестных поставщиков (подрядчиков, исполнителей).</w:t>
      </w:r>
    </w:p>
    <w:p>
      <w:pPr>
        <w:pStyle w:val="Normal"/>
        <w:spacing w:lineRule="auto" w:line="240" w:before="0" w:after="0"/>
        <w:ind w:firstLine="709"/>
        <w:jc w:val="both"/>
        <w:rPr>
          <w:i w:val="false"/>
          <w:i w:val="false"/>
          <w:iCs w:val="false"/>
        </w:rPr>
      </w:pPr>
      <w:r>
        <w:rPr>
          <w:rFonts w:eastAsia="Times New Roman" w:cs="Times New Roman" w:ascii="Times New Roman" w:hAnsi="Times New Roman"/>
          <w:i w:val="false"/>
          <w:iCs w:val="false"/>
          <w:sz w:val="24"/>
          <w:szCs w:val="24"/>
          <w:lang w:eastAsia="ru-RU"/>
        </w:rPr>
        <w:t>10.10.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4.4.8 Контракта.</w:t>
      </w:r>
    </w:p>
    <w:p>
      <w:pPr>
        <w:pStyle w:val="Normal"/>
        <w:spacing w:lineRule="auto" w:line="240" w:before="0" w:after="0"/>
        <w:ind w:firstLine="709"/>
        <w:jc w:val="both"/>
        <w:rPr>
          <w:i w:val="false"/>
          <w:i w:val="false"/>
          <w:iCs w:val="false"/>
        </w:rPr>
      </w:pPr>
      <w:r>
        <w:rPr>
          <w:rFonts w:eastAsia="Times New Roman" w:cs="Times New Roman" w:ascii="Times New Roman" w:hAnsi="Times New Roman"/>
          <w:i w:val="false"/>
          <w:iCs w:val="false"/>
          <w:sz w:val="24"/>
          <w:szCs w:val="24"/>
          <w:lang w:eastAsia="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i w:val="false"/>
          <w:iCs w:val="false"/>
          <w:color w:val="000000"/>
          <w:sz w:val="24"/>
          <w:szCs w:val="24"/>
          <w:shd w:fill="auto" w:val="clear"/>
          <w:lang w:eastAsia="ru-RU"/>
        </w:rPr>
        <w:t>10.12. В случае принятия Поставщиком решения об одностороннем отказе от исполнения Контракта такое решение направляется Заказчику в соответствии с требованиями, установленными   ст.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10.13.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ФЗ N 44, обращение о включении информации о Поставщике в реестр недобросовестных поставщиков (подрядчиков, исполнителей).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10.15. Срок исполнения Контракта: 31.12.2026г.</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11. Исключительные права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11.1. Поставщик гарантирует отсутствие нарушения исключительных прав третьих лиц, связанных с поставкой и использованием Товара в рамках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numPr>
          <w:ilvl w:val="0"/>
          <w:numId w:val="0"/>
        </w:numPr>
        <w:spacing w:lineRule="auto" w:line="240" w:before="0" w:after="0"/>
        <w:ind w:firstLine="709" w:left="0"/>
        <w:jc w:val="center"/>
        <w:outlineLvl w:val="0"/>
        <w:rPr>
          <w:rFonts w:ascii="Times New Roman" w:hAnsi="Times New Roman" w:cs="Times New Roman"/>
          <w:b/>
          <w:sz w:val="24"/>
          <w:szCs w:val="24"/>
        </w:rPr>
      </w:pPr>
      <w:r>
        <w:rPr>
          <w:rFonts w:eastAsia="Times New Roman" w:cs="Times New Roman" w:ascii="Times New Roman" w:hAnsi="Times New Roman"/>
          <w:b/>
          <w:sz w:val="24"/>
          <w:szCs w:val="24"/>
          <w:lang w:eastAsia="ru-RU"/>
        </w:rPr>
        <w:t>12.</w:t>
      </w:r>
      <w:r>
        <w:rPr>
          <w:rFonts w:cs="Times New Roman" w:ascii="Times New Roman" w:hAnsi="Times New Roman"/>
          <w:b/>
          <w:bCs/>
          <w:sz w:val="24"/>
          <w:szCs w:val="24"/>
        </w:rPr>
        <w:t xml:space="preserve"> Антикоррупционная оговорка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не совершать иных действий, нарушающих антикоррупционное законодательство Российской Федерации.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t>13. Прочие положения</w:t>
      </w:r>
    </w:p>
    <w:p>
      <w:pPr>
        <w:pStyle w:val="Normal"/>
        <w:widowControl/>
        <w:suppressAutoHyphens w:val="true"/>
        <w:bidi w:val="0"/>
        <w:spacing w:lineRule="auto" w:line="240" w:before="0" w:after="0"/>
        <w:ind w:firstLine="624" w:left="0" w:right="0"/>
        <w:jc w:val="both"/>
        <w:rPr>
          <w:rFonts w:ascii="Times New Roman" w:hAnsi="Times New Roman" w:cs="Times New Roman"/>
          <w:sz w:val="24"/>
          <w:szCs w:val="24"/>
        </w:rPr>
      </w:pPr>
      <w:r>
        <w:rPr>
          <w:rFonts w:cs="Times New Roman" w:ascii="Times New Roman" w:hAnsi="Times New Roman"/>
          <w:sz w:val="24"/>
          <w:szCs w:val="24"/>
        </w:rPr>
        <w:t>13.1. Во всем, что не оговорено в Контракте, Стороны руководствуются действующим законодательством Российской Федерации.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13.4. При исполнении Контракта не допускается: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13.6. Контракт составлен в форме электронного документа, подписанного усиленными электронными подписями Сторон.</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13.7. Должностное лицо Заказчика, ответственное за исполнение Контракта, </w:t>
      </w:r>
      <w:r>
        <w:rPr>
          <w:rFonts w:cs="Times New Roman" w:ascii="Times New Roman" w:hAnsi="Times New Roman"/>
          <w:bCs/>
          <w:sz w:val="24"/>
          <w:szCs w:val="24"/>
        </w:rPr>
        <w:t>главная медицинская сестра Баранова Елена Дмитриевна, тел. 8-911-783-30-05, e-mail: kdp1.glmeds@zdrav.spb.ru.</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13.8. Поставщик, подписывая настоящий Контракта подтверждает свое соответствие требованиям ч. 1 и ч. 1.1 ст. 31 ФЗ N 44.</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13.9. Поставщик, подписывая настоящий Контракт подтверждает, что не является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года № 252 «О примени ответных специальных экономических мер в связи с недружественными действиями некоторых иностранных государств и международных организаций», либо организацией, находящейся под контролем таких лиц.</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t>14. Перечень приложений</w:t>
      </w:r>
    </w:p>
    <w:p>
      <w:pPr>
        <w:pStyle w:val="Normal"/>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14.1. Неотъемлемой частью Контракта является следующее:</w:t>
      </w:r>
    </w:p>
    <w:p>
      <w:pPr>
        <w:pStyle w:val="Normal"/>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 xml:space="preserve">Приложение </w:t>
      </w:r>
      <w:r>
        <w:rPr>
          <w:rFonts w:cs="Times New Roman" w:ascii="Times New Roman" w:hAnsi="Times New Roman"/>
          <w:sz w:val="24"/>
          <w:szCs w:val="24"/>
          <w:lang w:val="en-US"/>
        </w:rPr>
        <w:t>N</w:t>
      </w:r>
      <w:r>
        <w:rPr>
          <w:rFonts w:cs="Times New Roman" w:ascii="Times New Roman" w:hAnsi="Times New Roman"/>
          <w:sz w:val="24"/>
          <w:szCs w:val="24"/>
        </w:rPr>
        <w:t xml:space="preserve"> 1 - Спецификация</w:t>
      </w:r>
    </w:p>
    <w:p>
      <w:pPr>
        <w:pStyle w:val="Normal"/>
        <w:spacing w:lineRule="auto" w:line="240" w:before="0" w:after="0"/>
        <w:ind w:firstLine="709"/>
        <w:rPr>
          <w:i w:val="false"/>
          <w:i w:val="false"/>
          <w:iCs w:val="false"/>
        </w:rPr>
      </w:pPr>
      <w:r>
        <w:rPr>
          <w:i w:val="false"/>
          <w:iCs w:val="false"/>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15. Реквизиты и подписи Сторон</w:t>
      </w:r>
    </w:p>
    <w:tbl>
      <w:tblPr>
        <w:tblW w:w="10155" w:type="dxa"/>
        <w:jc w:val="left"/>
        <w:tblInd w:w="20" w:type="dxa"/>
        <w:tblLayout w:type="fixed"/>
        <w:tblCellMar>
          <w:top w:w="0" w:type="dxa"/>
          <w:left w:w="0" w:type="dxa"/>
          <w:bottom w:w="0" w:type="dxa"/>
          <w:right w:w="0" w:type="dxa"/>
        </w:tblCellMar>
        <w:tblLook w:noVBand="1" w:val="04a0" w:noHBand="0" w:lastColumn="0" w:firstColumn="1" w:lastRow="0" w:firstRow="1"/>
      </w:tblPr>
      <w:tblGrid>
        <w:gridCol w:w="5385"/>
        <w:gridCol w:w="4371"/>
        <w:gridCol w:w="399"/>
      </w:tblGrid>
      <w:tr>
        <w:trPr/>
        <w:tc>
          <w:tcPr>
            <w:tcW w:w="5385" w:type="dxa"/>
            <w:tcBorders/>
            <w:shd w:color="auto" w:fill="auto" w:val="clear"/>
          </w:tcPr>
          <w:p>
            <w:pPr>
              <w:pStyle w:val="Normal"/>
              <w:spacing w:lineRule="auto" w:line="240" w:before="0" w:after="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ЗАКАЗЧИК:</w:t>
            </w:r>
          </w:p>
        </w:tc>
        <w:tc>
          <w:tcPr>
            <w:tcW w:w="4371" w:type="dxa"/>
            <w:tcBorders/>
            <w:shd w:color="auto" w:fill="auto" w:val="clear"/>
          </w:tcPr>
          <w:p>
            <w:pPr>
              <w:pStyle w:val="Normal"/>
              <w:spacing w:lineRule="auto" w:line="240" w:before="0" w:after="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ПОСТАВЩИК:</w:t>
            </w:r>
          </w:p>
        </w:tc>
        <w:tc>
          <w:tcPr>
            <w:tcW w:w="399" w:type="dxa"/>
            <w:tcBorders/>
          </w:tcPr>
          <w:p>
            <w:pPr>
              <w:pStyle w:val="Normal"/>
              <w:widowControl/>
              <w:bidi w:val="0"/>
              <w:spacing w:lineRule="auto" w:line="259" w:before="0" w:after="160"/>
              <w:jc w:val="left"/>
              <w:rPr/>
            </w:pPr>
            <w:r>
              <w:rPr/>
            </w:r>
          </w:p>
        </w:tc>
      </w:tr>
      <w:tr>
        <w:trPr/>
        <w:tc>
          <w:tcPr>
            <w:tcW w:w="5385" w:type="dxa"/>
            <w:tcBorders/>
            <w:shd w:color="auto" w:fill="auto" w:val="clear"/>
          </w:tcPr>
          <w:p>
            <w:pPr>
              <w:pStyle w:val="Normal"/>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СПб ГБУЗ КДП №1</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Место нахождения и почтовый адрес:</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197183, г. Санкт-Петербург, Приморский пр.</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 3, лит. 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ИНН 7814134422</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КПП 781401001</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ОКАТО - 40270563000</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ОГРН – 1037832003692</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Комитет Финансов Санкт-Петербурга (СПб ГБУЗ КДП № 1 лицевой счет 0641034) ОКЦ№1Северо-Западного ГУ Банка России // УФК по г. Санкт-Петербургу, г. Санкт-Петербург, БИК 014030106</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казначейский счет 03224643400000007200</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номер счета банка 40 10 28 10 9 4537 000 000 5</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Тел. 576-75-40, 576-76-43 – бухгалтерия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Адреса электронной почты:</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dkcprim@zdrav.spb.ru</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kdp1.goszakaz@zdrav.spb.ru</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kdp1.buh@zdrav.spb.ru</w:t>
            </w:r>
          </w:p>
        </w:tc>
        <w:tc>
          <w:tcPr>
            <w:tcW w:w="4770" w:type="dxa"/>
            <w:gridSpan w:val="2"/>
            <w:tcBorders/>
            <w:shd w:color="auto" w:fill="auto" w:val="clear"/>
          </w:tcPr>
          <w:p>
            <w:pPr>
              <w:pStyle w:val="Normal"/>
              <w:spacing w:lineRule="auto" w:line="240" w:before="0" w:after="0"/>
              <w:rPr>
                <w:rFonts w:ascii="Times New Roman" w:hAnsi="Times New Roman" w:cs="Times New Roman"/>
                <w:b/>
                <w:bCs/>
                <w:i w:val="false"/>
                <w:i w:val="false"/>
                <w:iCs w:val="false"/>
                <w:caps w:val="false"/>
                <w:smallCaps w:val="false"/>
                <w:color w:val="000000"/>
                <w:spacing w:val="0"/>
                <w:sz w:val="24"/>
                <w:szCs w:val="24"/>
                <w:shd w:fill="FFFFFF" w:val="clear"/>
              </w:rPr>
            </w:pPr>
            <w:r>
              <w:rPr>
                <w:rFonts w:cs="Times New Roman" w:ascii="Times New Roman" w:hAnsi="Times New Roman"/>
                <w:b/>
                <w:bCs/>
                <w:i w:val="false"/>
                <w:iCs w:val="false"/>
                <w:caps w:val="false"/>
                <w:smallCaps w:val="false"/>
                <w:color w:val="000000"/>
                <w:spacing w:val="0"/>
                <w:sz w:val="24"/>
                <w:szCs w:val="24"/>
                <w:shd w:fill="FFFFFF" w:val="clear"/>
              </w:rPr>
            </w:r>
          </w:p>
        </w:tc>
      </w:tr>
      <w:tr>
        <w:trPr>
          <w:trHeight w:val="460" w:hRule="atLeast"/>
        </w:trPr>
        <w:tc>
          <w:tcPr>
            <w:tcW w:w="5385" w:type="dxa"/>
            <w:tcBorders/>
            <w:shd w:color="auto" w:fill="auto" w:val="clear"/>
          </w:tcPr>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Главный врач</w:t>
            </w:r>
          </w:p>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__________________ Е. В. Королькова</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(подписано ЭЦП)</w:t>
            </w:r>
          </w:p>
        </w:tc>
        <w:tc>
          <w:tcPr>
            <w:tcW w:w="4770" w:type="dxa"/>
            <w:gridSpan w:val="2"/>
            <w:tcBorders/>
            <w:shd w:color="auto" w:fill="auto" w:val="clear"/>
          </w:tcPr>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r>
          </w:p>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t>__________________</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eastAsia="ru-RU" w:bidi="ru-RU"/>
              </w:rPr>
              <w:t xml:space="preserve"> </w:t>
            </w:r>
            <w:r>
              <w:rPr>
                <w:rFonts w:eastAsia="Courier New" w:cs="Courier New" w:ascii="Times New Roman" w:hAnsi="Times New Roman"/>
                <w:b/>
                <w:i w:val="false"/>
                <w:iCs w:val="false"/>
                <w:color w:val="000000"/>
                <w:sz w:val="24"/>
                <w:szCs w:val="24"/>
                <w:lang w:eastAsia="ru-RU" w:bidi="ru-RU"/>
              </w:rPr>
              <w:t>(подписано ЭЦП)</w:t>
            </w:r>
          </w:p>
        </w:tc>
      </w:tr>
    </w:tbl>
    <w:p>
      <w:pPr>
        <w:pStyle w:val="Normal"/>
        <w:spacing w:lineRule="auto" w:line="240" w:before="0" w:after="0"/>
        <w:jc w:val="both"/>
        <w:rPr>
          <w:rFonts w:ascii="Times New Roman" w:hAnsi="Times New Roman" w:eastAsia="Times New Roman" w:cs="Times New Roman"/>
          <w:i/>
          <w:i/>
          <w:sz w:val="18"/>
          <w:szCs w:val="24"/>
          <w:lang w:eastAsia="ru-RU"/>
        </w:rPr>
      </w:pPr>
      <w:r>
        <w:rPr>
          <w:rFonts w:eastAsia="Times New Roman" w:cs="Times New Roman" w:ascii="Times New Roman" w:hAnsi="Times New Roman"/>
          <w:i/>
          <w:sz w:val="18"/>
          <w:szCs w:val="24"/>
          <w:lang w:eastAsia="ru-RU"/>
        </w:rPr>
        <w:t>*Контракт подписан усиленными электронными подписями лиц, имеющих право действовать от имени Заказчика и Поставщика</w:t>
      </w:r>
    </w:p>
    <w:p>
      <w:pPr>
        <w:pStyle w:val="Normal"/>
        <w:rPr>
          <w:rFonts w:ascii="Times New Roman" w:hAnsi="Times New Roman" w:eastAsia="Times New Roman" w:cs="Times New Roman"/>
          <w:i/>
          <w:i/>
          <w:sz w:val="18"/>
          <w:szCs w:val="24"/>
          <w:lang w:eastAsia="ru-RU"/>
        </w:rPr>
      </w:pPr>
      <w:r>
        <w:rPr>
          <w:rFonts w:eastAsia="Times New Roman" w:cs="Times New Roman" w:ascii="Times New Roman" w:hAnsi="Times New Roman"/>
          <w:i/>
          <w:sz w:val="18"/>
          <w:szCs w:val="24"/>
          <w:lang w:eastAsia="ru-RU"/>
        </w:rPr>
      </w:r>
      <w:r>
        <w:br w:type="page"/>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 xml:space="preserve">Приложение </w:t>
      </w:r>
      <w:r>
        <w:rPr>
          <w:rFonts w:cs="Times New Roman" w:ascii="Times New Roman" w:hAnsi="Times New Roman"/>
          <w:sz w:val="24"/>
          <w:szCs w:val="24"/>
          <w:lang w:val="en-US"/>
        </w:rPr>
        <w:t>N</w:t>
      </w:r>
      <w:r>
        <w:rPr>
          <w:rFonts w:cs="Times New Roman" w:ascii="Times New Roman" w:hAnsi="Times New Roman"/>
          <w:sz w:val="24"/>
          <w:szCs w:val="24"/>
        </w:rPr>
        <w:t xml:space="preserve"> 1 к контракту </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от «___» __________2026г.</w:t>
      </w:r>
    </w:p>
    <w:p>
      <w:pPr>
        <w:pStyle w:val="Normal"/>
        <w:jc w:val="center"/>
        <w:rPr>
          <w:rFonts w:ascii="Times New Roman" w:hAnsi="Times New Roman" w:cs="Times New Roman"/>
          <w:b/>
          <w:sz w:val="24"/>
          <w:szCs w:val="24"/>
        </w:rPr>
      </w:pPr>
      <w:r>
        <w:rPr>
          <w:rFonts w:cs="Times New Roman" w:ascii="Times New Roman" w:hAnsi="Times New Roman"/>
          <w:b/>
          <w:sz w:val="24"/>
          <w:szCs w:val="24"/>
        </w:rPr>
        <w:t xml:space="preserve">Спецификация </w:t>
      </w:r>
    </w:p>
    <w:tbl>
      <w:tblPr>
        <w:tblW w:w="10875" w:type="dxa"/>
        <w:jc w:val="left"/>
        <w:tblInd w:w="-175" w:type="dxa"/>
        <w:tblLayout w:type="fixed"/>
        <w:tblCellMar>
          <w:top w:w="0" w:type="dxa"/>
          <w:left w:w="108" w:type="dxa"/>
          <w:bottom w:w="0" w:type="dxa"/>
          <w:right w:w="108" w:type="dxa"/>
        </w:tblCellMar>
        <w:tblLook w:noVBand="1" w:val="04a0" w:noHBand="0" w:lastColumn="0" w:firstColumn="1" w:lastRow="0" w:firstRow="1"/>
      </w:tblPr>
      <w:tblGrid>
        <w:gridCol w:w="566"/>
        <w:gridCol w:w="1699"/>
        <w:gridCol w:w="3833"/>
        <w:gridCol w:w="847"/>
        <w:gridCol w:w="672"/>
        <w:gridCol w:w="1142"/>
        <w:gridCol w:w="855"/>
        <w:gridCol w:w="1259"/>
      </w:tblGrid>
      <w:tr>
        <w:trPr>
          <w:trHeight w:val="594"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w:t>
            </w:r>
            <w:r>
              <w:rPr>
                <w:rFonts w:cs="Times New Roman" w:ascii="Times New Roman" w:hAnsi="Times New Roman"/>
                <w:sz w:val="20"/>
                <w:szCs w:val="20"/>
              </w:rPr>
              <w:t>п/п</w:t>
            </w:r>
          </w:p>
        </w:tc>
        <w:tc>
          <w:tcPr>
            <w:tcW w:w="1699"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Наименование товара</w:t>
            </w:r>
          </w:p>
        </w:tc>
        <w:tc>
          <w:tcPr>
            <w:tcW w:w="3833"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Характеристики, страна происхождения товара</w:t>
            </w:r>
          </w:p>
        </w:tc>
        <w:tc>
          <w:tcPr>
            <w:tcW w:w="847"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Ед. изм.</w:t>
            </w:r>
          </w:p>
        </w:tc>
        <w:tc>
          <w:tcPr>
            <w:tcW w:w="672"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Кол-во</w:t>
            </w:r>
          </w:p>
        </w:tc>
        <w:tc>
          <w:tcPr>
            <w:tcW w:w="1142"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Цена, в руб.</w:t>
            </w:r>
          </w:p>
        </w:tc>
        <w:tc>
          <w:tcPr>
            <w:tcW w:w="855"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НДС, %</w:t>
            </w:r>
          </w:p>
        </w:tc>
        <w:tc>
          <w:tcPr>
            <w:tcW w:w="1259"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Итого, в руб.</w:t>
            </w:r>
          </w:p>
        </w:tc>
      </w:tr>
      <w:tr>
        <w:trPr>
          <w:trHeight w:val="300" w:hRule="atLeast"/>
        </w:trPr>
        <w:tc>
          <w:tcPr>
            <w:tcW w:w="566" w:type="dxa"/>
            <w:tcBorders>
              <w:left w:val="single" w:sz="4" w:space="0" w:color="000000"/>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1</w:t>
            </w:r>
          </w:p>
        </w:tc>
        <w:tc>
          <w:tcPr>
            <w:tcW w:w="1699"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2</w:t>
            </w:r>
          </w:p>
        </w:tc>
        <w:tc>
          <w:tcPr>
            <w:tcW w:w="3833"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3</w:t>
            </w:r>
          </w:p>
        </w:tc>
        <w:tc>
          <w:tcPr>
            <w:tcW w:w="847"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4</w:t>
            </w:r>
          </w:p>
        </w:tc>
        <w:tc>
          <w:tcPr>
            <w:tcW w:w="672"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5</w:t>
            </w:r>
          </w:p>
        </w:tc>
        <w:tc>
          <w:tcPr>
            <w:tcW w:w="1142"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6</w:t>
            </w:r>
          </w:p>
        </w:tc>
        <w:tc>
          <w:tcPr>
            <w:tcW w:w="855"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7</w:t>
            </w:r>
          </w:p>
        </w:tc>
        <w:tc>
          <w:tcPr>
            <w:tcW w:w="1259"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8</w:t>
            </w:r>
          </w:p>
        </w:tc>
      </w:tr>
      <w:tr>
        <w:trPr>
          <w:trHeight w:val="1025" w:hRule="atLeast"/>
        </w:trPr>
        <w:tc>
          <w:tcPr>
            <w:tcW w:w="566" w:type="dxa"/>
            <w:tcBorders>
              <w:left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1</w:t>
            </w:r>
          </w:p>
        </w:tc>
        <w:tc>
          <w:tcPr>
            <w:tcW w:w="1699" w:type="dxa"/>
            <w:tcBorders>
              <w:bottom w:val="single" w:sz="4" w:space="0" w:color="000000"/>
              <w:right w:val="single" w:sz="4" w:space="0" w:color="000000"/>
            </w:tcBorders>
            <w:shd w:color="auto" w:fill="auto" w:val="clear"/>
          </w:tcPr>
          <w:p>
            <w:pPr>
              <w:pStyle w:val="Normal"/>
              <w:spacing w:before="0" w:after="160"/>
              <w:jc w:val="left"/>
              <w:rPr>
                <w:rFonts w:ascii="Times New Roman" w:hAnsi="Times New Roman"/>
                <w:b w:val="false"/>
                <w:i w:val="false"/>
                <w:i w:val="false"/>
                <w:caps w:val="false"/>
                <w:smallCaps w:val="false"/>
                <w:color w:val="000000"/>
                <w:spacing w:val="0"/>
                <w:sz w:val="20"/>
                <w:szCs w:val="20"/>
              </w:rPr>
            </w:pPr>
            <w:r>
              <w:rPr>
                <w:rFonts w:ascii="Times New Roman" w:hAnsi="Times New Roman"/>
                <w:b w:val="false"/>
                <w:i w:val="false"/>
                <w:caps w:val="false"/>
                <w:smallCaps w:val="false"/>
                <w:color w:val="000000"/>
                <w:spacing w:val="0"/>
                <w:sz w:val="20"/>
                <w:szCs w:val="20"/>
              </w:rPr>
            </w:r>
          </w:p>
        </w:tc>
        <w:tc>
          <w:tcPr>
            <w:tcW w:w="3833" w:type="dxa"/>
            <w:tcBorders>
              <w:bottom w:val="single" w:sz="4" w:space="0" w:color="000000"/>
              <w:right w:val="single" w:sz="4" w:space="0" w:color="000000"/>
            </w:tcBorders>
            <w:shd w:color="auto" w:fill="auto" w:val="clear"/>
          </w:tcPr>
          <w:p>
            <w:pPr>
              <w:pStyle w:val="Normal"/>
              <w:spacing w:before="0" w:after="0"/>
              <w:ind w:left="-108"/>
              <w:jc w:val="left"/>
              <w:rPr>
                <w:rFonts w:ascii="Times New Roman" w:hAnsi="Times New Roman" w:cs="Times New Roman"/>
                <w:b w:val="false"/>
                <w:i w:val="false"/>
                <w:i w:val="false"/>
                <w:caps w:val="false"/>
                <w:smallCaps w:val="false"/>
                <w:color w:val="000000"/>
                <w:spacing w:val="0"/>
                <w:sz w:val="20"/>
                <w:szCs w:val="20"/>
              </w:rPr>
            </w:pPr>
            <w:r>
              <w:rPr>
                <w:rFonts w:cs="Times New Roman" w:ascii="Times New Roman" w:hAnsi="Times New Roman"/>
                <w:b w:val="false"/>
                <w:i w:val="false"/>
                <w:caps w:val="false"/>
                <w:smallCaps w:val="false"/>
                <w:color w:val="000000"/>
                <w:spacing w:val="0"/>
                <w:sz w:val="20"/>
                <w:szCs w:val="20"/>
              </w:rPr>
            </w:r>
          </w:p>
        </w:tc>
        <w:tc>
          <w:tcPr>
            <w:tcW w:w="847"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c>
          <w:tcPr>
            <w:tcW w:w="672"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color w:val="000000"/>
                <w:sz w:val="20"/>
                <w:szCs w:val="20"/>
              </w:rPr>
            </w:pPr>
            <w:r>
              <w:rPr>
                <w:rFonts w:cs="Times New Roman" w:ascii="Times New Roman" w:hAnsi="Times New Roman"/>
                <w:color w:val="000000"/>
                <w:sz w:val="20"/>
                <w:szCs w:val="20"/>
              </w:rPr>
            </w:r>
          </w:p>
        </w:tc>
        <w:tc>
          <w:tcPr>
            <w:tcW w:w="1142"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c>
          <w:tcPr>
            <w:tcW w:w="855"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c>
          <w:tcPr>
            <w:tcW w:w="1259"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r>
    </w:tbl>
    <w:p>
      <w:pPr>
        <w:pStyle w:val="Normal"/>
        <w:ind w:firstLine="709"/>
        <w:jc w:val="both"/>
        <w:rPr>
          <w:b/>
        </w:rPr>
      </w:pPr>
      <w:r>
        <w:rPr>
          <w:b/>
        </w:rPr>
        <w:t xml:space="preserve">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cs="Times New Roman" w:ascii="Times New Roman" w:hAnsi="Times New Roman"/>
          <w:b/>
          <w:sz w:val="24"/>
          <w:szCs w:val="24"/>
        </w:rPr>
        <w:t xml:space="preserve">ИТОГО: </w:t>
      </w:r>
    </w:p>
    <w:p>
      <w:pPr>
        <w:pStyle w:val="ConsPlusNormal1"/>
        <w:ind w:firstLine="709"/>
        <w:jc w:val="both"/>
        <w:rPr/>
      </w:pPr>
      <w:r>
        <w:rPr/>
      </w:r>
    </w:p>
    <w:tbl>
      <w:tblPr>
        <w:tblW w:w="9761" w:type="dxa"/>
        <w:jc w:val="left"/>
        <w:tblInd w:w="20" w:type="dxa"/>
        <w:tblLayout w:type="fixed"/>
        <w:tblCellMar>
          <w:top w:w="0" w:type="dxa"/>
          <w:left w:w="0" w:type="dxa"/>
          <w:bottom w:w="0" w:type="dxa"/>
          <w:right w:w="0" w:type="dxa"/>
        </w:tblCellMar>
        <w:tblLook w:noVBand="1" w:val="04a0" w:noHBand="0" w:lastColumn="0" w:firstColumn="1" w:lastRow="0" w:firstRow="1"/>
      </w:tblPr>
      <w:tblGrid>
        <w:gridCol w:w="4941"/>
        <w:gridCol w:w="4819"/>
      </w:tblGrid>
      <w:tr>
        <w:trPr>
          <w:trHeight w:val="460" w:hRule="atLeast"/>
        </w:trPr>
        <w:tc>
          <w:tcPr>
            <w:tcW w:w="4941" w:type="dxa"/>
            <w:tcBorders/>
            <w:shd w:color="auto" w:fill="auto" w:val="clear"/>
          </w:tcPr>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Главный врач</w:t>
            </w:r>
          </w:p>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__________________ Е. В. Королькова</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(подписано ЭЦП)</w:t>
            </w:r>
          </w:p>
        </w:tc>
        <w:tc>
          <w:tcPr>
            <w:tcW w:w="4819" w:type="dxa"/>
            <w:tcBorders/>
            <w:shd w:color="auto" w:fill="auto" w:val="clear"/>
          </w:tcPr>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r>
          </w:p>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t>__________________</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eastAsia="ru-RU" w:bidi="ru-RU"/>
              </w:rPr>
              <w:t xml:space="preserve"> </w:t>
            </w:r>
            <w:r>
              <w:rPr>
                <w:rFonts w:eastAsia="Courier New" w:cs="Courier New" w:ascii="Times New Roman" w:hAnsi="Times New Roman"/>
                <w:b/>
                <w:i w:val="false"/>
                <w:iCs w:val="false"/>
                <w:color w:val="000000"/>
                <w:sz w:val="24"/>
                <w:szCs w:val="24"/>
                <w:lang w:eastAsia="ru-RU" w:bidi="ru-RU"/>
              </w:rPr>
              <w:t>(подписано ЭЦП)</w:t>
            </w:r>
          </w:p>
        </w:tc>
      </w:tr>
    </w:tbl>
    <w:p>
      <w:pPr>
        <w:pStyle w:val="ConsPlusNormal1"/>
        <w:ind w:firstLine="709"/>
        <w:jc w:val="both"/>
        <w:rPr/>
      </w:pPr>
      <w:r>
        <w:rPr/>
      </w:r>
    </w:p>
    <w:p>
      <w:pPr>
        <w:pStyle w:val="ConsPlusNormal1"/>
        <w:ind w:firstLine="709"/>
        <w:jc w:val="both"/>
        <w:rPr>
          <w:b/>
        </w:rPr>
      </w:pPr>
      <w:r>
        <w:rPr>
          <w:b/>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sectPr>
      <w:headerReference w:type="even" r:id="rId6"/>
      <w:headerReference w:type="default" r:id="rId7"/>
      <w:headerReference w:type="first" r:id="rId8"/>
      <w:type w:val="nextPage"/>
      <w:pgSz w:w="11906" w:h="16838"/>
      <w:pgMar w:left="1095" w:right="776" w:gutter="0" w:header="709"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Calibri Light">
    <w:charset w:val="01"/>
    <w:family w:val="roman"/>
    <w:pitch w:val="default"/>
  </w:font>
  <w:font w:name="Times New Roman">
    <w:charset w:val="01"/>
    <w:family w:val="roman"/>
    <w:pitch w:val="default"/>
  </w:font>
  <w:font w:name="Segoe UI">
    <w:charset w:val="01"/>
    <w:family w:val="roman"/>
    <w:pitch w:val="default"/>
  </w:font>
  <w:font w:name="Courier New">
    <w:charset w:val="01"/>
    <w:family w:val="roman"/>
    <w:pitch w:val="default"/>
  </w:font>
  <w:font w:name="PT Astra Serif">
    <w:charset w:val="01"/>
    <w:family w:val="roman"/>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55014570"/>
    </w:sdtPr>
    <w:sdtContent>
      <w:p>
        <w:pPr>
          <w:pStyle w:val="Header"/>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12</w:t>
        </w:r>
        <w:r>
          <w:rPr>
            <w:rFonts w:cs="Times New Roman" w:ascii="Times New Roman" w:hAnsi="Times New Roman"/>
          </w:rPr>
          <w:fldChar w:fldCharType="end"/>
        </w:r>
      </w:p>
    </w:sdtContent>
  </w:sdt>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55014570"/>
    </w:sdtPr>
    <w:sdtContent>
      <w:p>
        <w:pPr>
          <w:pStyle w:val="Header"/>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12</w:t>
        </w:r>
        <w:r>
          <w:rPr>
            <w:rFonts w:cs="Times New Roman" w:ascii="Times New Roman" w:hAnsi="Times New Roman"/>
          </w:rPr>
          <w:fldChar w:fldCharType="end"/>
        </w:r>
      </w:p>
    </w:sdtContent>
  </w:sdt>
  <w:p>
    <w:pPr>
      <w:pStyle w:val="Header"/>
      <w:rPr/>
    </w:pPr>
    <w:r>
      <w:rPr/>
    </w:r>
  </w:p>
</w:hdr>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51093"/>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next w:val="Normal"/>
    <w:link w:val="1"/>
    <w:uiPriority w:val="9"/>
    <w:qFormat/>
    <w:rsid w:val="00551093"/>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E74B5"/>
      <w:sz w:val="32"/>
      <w:szCs w:val="32"/>
    </w:rPr>
  </w:style>
  <w:style w:type="paragraph" w:styleId="Heading2">
    <w:name w:val="Heading 2"/>
    <w:basedOn w:val="Normal"/>
    <w:next w:val="Normal"/>
    <w:link w:val="2"/>
    <w:uiPriority w:val="9"/>
    <w:unhideWhenUsed/>
    <w:qFormat/>
    <w:rsid w:val="00551093"/>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2E74B5"/>
      <w:sz w:val="26"/>
      <w:szCs w:val="26"/>
    </w:rPr>
  </w:style>
  <w:style w:type="paragraph" w:styleId="Heading3">
    <w:name w:val="Heading 3"/>
    <w:basedOn w:val="Normal"/>
    <w:next w:val="Normal"/>
    <w:link w:val="3"/>
    <w:uiPriority w:val="9"/>
    <w:unhideWhenUsed/>
    <w:qFormat/>
    <w:rsid w:val="00551093"/>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paragraph" w:styleId="Heading4">
    <w:name w:val="Heading 4"/>
    <w:basedOn w:val="Normal"/>
    <w:next w:val="Normal"/>
    <w:link w:val="4"/>
    <w:uiPriority w:val="9"/>
    <w:unhideWhenUsed/>
    <w:qFormat/>
    <w:rsid w:val="002d2838"/>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E74B5"/>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uiPriority w:val="9"/>
    <w:qFormat/>
    <w:rsid w:val="00551093"/>
    <w:rPr>
      <w:rFonts w:ascii="Calibri Light" w:hAnsi="Calibri Light" w:eastAsia="" w:cs="" w:asciiTheme="majorHAnsi" w:cstheme="majorBidi" w:eastAsiaTheme="majorEastAsia" w:hAnsiTheme="majorHAnsi"/>
      <w:color w:themeColor="accent1" w:themeShade="bf" w:val="2E74B5"/>
      <w:sz w:val="32"/>
      <w:szCs w:val="32"/>
    </w:rPr>
  </w:style>
  <w:style w:type="character" w:styleId="2" w:customStyle="1">
    <w:name w:val="Заголовок 2 Знак"/>
    <w:basedOn w:val="DefaultParagraphFont"/>
    <w:uiPriority w:val="9"/>
    <w:qFormat/>
    <w:rsid w:val="00551093"/>
    <w:rPr>
      <w:rFonts w:ascii="Calibri Light" w:hAnsi="Calibri Light" w:eastAsia="" w:cs="" w:asciiTheme="majorHAnsi" w:cstheme="majorBidi" w:eastAsiaTheme="majorEastAsia" w:hAnsiTheme="majorHAnsi"/>
      <w:color w:themeColor="accent1" w:themeShade="bf" w:val="2E74B5"/>
      <w:sz w:val="26"/>
      <w:szCs w:val="26"/>
    </w:rPr>
  </w:style>
  <w:style w:type="character" w:styleId="3" w:customStyle="1">
    <w:name w:val="Заголовок 3 Знак"/>
    <w:basedOn w:val="DefaultParagraphFont"/>
    <w:uiPriority w:val="9"/>
    <w:qFormat/>
    <w:rsid w:val="00551093"/>
    <w:rPr>
      <w:rFonts w:ascii="Calibri Light" w:hAnsi="Calibri Light" w:eastAsia="" w:cs="" w:asciiTheme="majorHAnsi" w:cstheme="majorBidi" w:eastAsiaTheme="majorEastAsia" w:hAnsiTheme="majorHAnsi"/>
      <w:color w:themeColor="accent1" w:themeShade="7f" w:val="1F4D78"/>
      <w:sz w:val="24"/>
      <w:szCs w:val="24"/>
    </w:rPr>
  </w:style>
  <w:style w:type="character" w:styleId="ConsPlusNormal" w:customStyle="1">
    <w:name w:val="ConsPlusNormal Знак"/>
    <w:link w:val="ConsPlusNormal1"/>
    <w:uiPriority w:val="99"/>
    <w:qFormat/>
    <w:locked/>
    <w:rsid w:val="00551093"/>
    <w:rPr>
      <w:rFonts w:ascii="Times New Roman" w:hAnsi="Times New Roman" w:eastAsia="" w:cs="Times New Roman" w:eastAsiaTheme="minorEastAsia"/>
      <w:sz w:val="24"/>
      <w:szCs w:val="24"/>
      <w:lang w:eastAsia="ru-RU"/>
    </w:rPr>
  </w:style>
  <w:style w:type="character" w:styleId="Style10" w:customStyle="1">
    <w:name w:val="Подзаголовок Знак"/>
    <w:basedOn w:val="DefaultParagraphFont"/>
    <w:uiPriority w:val="11"/>
    <w:qFormat/>
    <w:rsid w:val="00551093"/>
    <w:rPr>
      <w:rFonts w:eastAsia="" w:eastAsiaTheme="minorEastAsia"/>
      <w:color w:themeColor="text1" w:themeTint="a5" w:val="5A5A5A"/>
      <w:spacing w:val="15"/>
    </w:rPr>
  </w:style>
  <w:style w:type="character" w:styleId="Style11" w:customStyle="1">
    <w:name w:val="Текст сноски Знак"/>
    <w:basedOn w:val="DefaultParagraphFont"/>
    <w:uiPriority w:val="99"/>
    <w:qFormat/>
    <w:rsid w:val="0075388c"/>
    <w:rPr>
      <w:sz w:val="20"/>
      <w:szCs w:val="20"/>
    </w:rPr>
  </w:style>
  <w:style w:type="character" w:styleId="Style12">
    <w:name w:val="Символ сноски"/>
    <w:uiPriority w:val="99"/>
    <w:unhideWhenUsed/>
    <w:qFormat/>
    <w:rsid w:val="0075388c"/>
    <w:rPr>
      <w:vertAlign w:val="superscript"/>
    </w:rPr>
  </w:style>
  <w:style w:type="character" w:styleId="FootnoteReference">
    <w:name w:val="Footnote Reference"/>
    <w:rPr>
      <w:vertAlign w:val="superscript"/>
    </w:rPr>
  </w:style>
  <w:style w:type="character" w:styleId="Style13" w:customStyle="1">
    <w:name w:val="Заголовок Знак"/>
    <w:basedOn w:val="DefaultParagraphFont"/>
    <w:uiPriority w:val="10"/>
    <w:qFormat/>
    <w:rsid w:val="0075388c"/>
    <w:rPr>
      <w:rFonts w:ascii="Calibri Light" w:hAnsi="Calibri Light" w:eastAsia="" w:cs="" w:asciiTheme="majorHAnsi" w:cstheme="majorBidi" w:eastAsiaTheme="majorEastAsia" w:hAnsiTheme="majorHAnsi"/>
      <w:spacing w:val="-10"/>
      <w:kern w:val="2"/>
      <w:sz w:val="56"/>
      <w:szCs w:val="56"/>
    </w:rPr>
  </w:style>
  <w:style w:type="character" w:styleId="4" w:customStyle="1">
    <w:name w:val="Заголовок 4 Знак"/>
    <w:basedOn w:val="DefaultParagraphFont"/>
    <w:uiPriority w:val="9"/>
    <w:qFormat/>
    <w:rsid w:val="002d2838"/>
    <w:rPr>
      <w:rFonts w:ascii="Calibri Light" w:hAnsi="Calibri Light" w:eastAsia="" w:cs="" w:asciiTheme="majorHAnsi" w:cstheme="majorBidi" w:eastAsiaTheme="majorEastAsia" w:hAnsiTheme="majorHAnsi"/>
      <w:i/>
      <w:iCs/>
      <w:color w:themeColor="accent1" w:themeShade="bf" w:val="2E74B5"/>
    </w:rPr>
  </w:style>
  <w:style w:type="character" w:styleId="Hyperlink">
    <w:name w:val="Hyperlink"/>
    <w:basedOn w:val="DefaultParagraphFont"/>
    <w:uiPriority w:val="99"/>
    <w:unhideWhenUsed/>
    <w:rsid w:val="00a52695"/>
    <w:rPr>
      <w:color w:val="0000FF"/>
      <w:u w:val="single"/>
    </w:rPr>
  </w:style>
  <w:style w:type="character" w:styleId="Style14" w:customStyle="1">
    <w:name w:val="Верхний колонтитул Знак"/>
    <w:basedOn w:val="DefaultParagraphFont"/>
    <w:uiPriority w:val="99"/>
    <w:qFormat/>
    <w:rsid w:val="00a52695"/>
    <w:rPr/>
  </w:style>
  <w:style w:type="character" w:styleId="Style15" w:customStyle="1">
    <w:name w:val="Нижний колонтитул Знак"/>
    <w:basedOn w:val="DefaultParagraphFont"/>
    <w:uiPriority w:val="99"/>
    <w:qFormat/>
    <w:rsid w:val="00a52695"/>
    <w:rPr/>
  </w:style>
  <w:style w:type="character" w:styleId="Style16" w:customStyle="1">
    <w:name w:val="Текст выноски Знак"/>
    <w:basedOn w:val="DefaultParagraphFont"/>
    <w:link w:val="BalloonText"/>
    <w:uiPriority w:val="99"/>
    <w:semiHidden/>
    <w:qFormat/>
    <w:rsid w:val="009541f0"/>
    <w:rPr>
      <w:rFonts w:ascii="Segoe UI" w:hAnsi="Segoe UI" w:cs="Segoe UI"/>
      <w:sz w:val="18"/>
      <w:szCs w:val="18"/>
    </w:rPr>
  </w:style>
  <w:style w:type="character" w:styleId="PlaceholderText">
    <w:name w:val="Placeholder Text"/>
    <w:basedOn w:val="DefaultParagraphFont"/>
    <w:uiPriority w:val="99"/>
    <w:semiHidden/>
    <w:qFormat/>
    <w:rsid w:val="00a661e1"/>
    <w:rPr>
      <w:color w:val="808080"/>
    </w:rPr>
  </w:style>
  <w:style w:type="character" w:styleId="Annotationreference">
    <w:name w:val="annotation reference"/>
    <w:basedOn w:val="DefaultParagraphFont"/>
    <w:uiPriority w:val="99"/>
    <w:semiHidden/>
    <w:unhideWhenUsed/>
    <w:qFormat/>
    <w:rsid w:val="00bf2bac"/>
    <w:rPr>
      <w:sz w:val="16"/>
      <w:szCs w:val="16"/>
    </w:rPr>
  </w:style>
  <w:style w:type="character" w:styleId="Style17" w:customStyle="1">
    <w:name w:val="Текст примечания Знак"/>
    <w:basedOn w:val="DefaultParagraphFont"/>
    <w:uiPriority w:val="99"/>
    <w:semiHidden/>
    <w:qFormat/>
    <w:rsid w:val="00bf2bac"/>
    <w:rPr>
      <w:sz w:val="20"/>
      <w:szCs w:val="20"/>
    </w:rPr>
  </w:style>
  <w:style w:type="character" w:styleId="FollowedHyperlink">
    <w:name w:val="FollowedHyperlink"/>
    <w:basedOn w:val="DefaultParagraphFont"/>
    <w:uiPriority w:val="99"/>
    <w:semiHidden/>
    <w:unhideWhenUsed/>
    <w:rsid w:val="001401d2"/>
    <w:rPr>
      <w:color w:val="800080"/>
      <w:u w:val="single"/>
    </w:rPr>
  </w:style>
  <w:style w:type="character" w:styleId="HTML" w:customStyle="1">
    <w:name w:val="Стандартный HTML Знак"/>
    <w:basedOn w:val="DefaultParagraphFont"/>
    <w:link w:val="HTMLPreformatted"/>
    <w:uiPriority w:val="99"/>
    <w:semiHidden/>
    <w:qFormat/>
    <w:rsid w:val="001401d2"/>
    <w:rPr>
      <w:rFonts w:ascii="Courier New" w:hAnsi="Courier New" w:eastAsia="Times New Roman" w:cs="Courier New"/>
      <w:sz w:val="20"/>
      <w:szCs w:val="20"/>
      <w:lang w:eastAsia="ru-RU"/>
    </w:rPr>
  </w:style>
  <w:style w:type="character" w:styleId="Style18" w:customStyle="1">
    <w:name w:val="Тема примечания Знак"/>
    <w:basedOn w:val="Style17"/>
    <w:link w:val="Annotationsubject"/>
    <w:uiPriority w:val="99"/>
    <w:semiHidden/>
    <w:qFormat/>
    <w:rsid w:val="007344f0"/>
    <w:rPr>
      <w:b/>
      <w:bCs/>
      <w:sz w:val="20"/>
      <w:szCs w:val="20"/>
    </w:rPr>
  </w:style>
  <w:style w:type="character" w:styleId="Pagenumber">
    <w:name w:val="page number"/>
    <w:qFormat/>
    <w:rsid w:val="009f3390"/>
    <w:rPr>
      <w:rFonts w:ascii="Times New Roman" w:hAnsi="Times New Roman" w:cs="Times New Roman"/>
    </w:rPr>
  </w:style>
  <w:style w:type="character" w:styleId="Style19">
    <w:name w:val="Символ концевой сноски"/>
    <w:qFormat/>
    <w:rPr>
      <w:vertAlign w:val="superscript"/>
    </w:rPr>
  </w:style>
  <w:style w:type="character" w:styleId="EndnoteReference">
    <w:name w:val="Endnote Reference"/>
    <w:rPr>
      <w:vertAlign w:val="superscript"/>
    </w:rPr>
  </w:style>
  <w:style w:type="paragraph" w:styleId="Style20">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21">
    <w:name w:val="Указатель"/>
    <w:basedOn w:val="Normal"/>
    <w:qFormat/>
    <w:pPr>
      <w:suppressLineNumbers/>
    </w:pPr>
    <w:rPr>
      <w:rFonts w:ascii="PT Astra Serif" w:hAnsi="PT Astra Serif" w:cs="Noto Sans Devanagari"/>
    </w:rPr>
  </w:style>
  <w:style w:type="paragraph" w:styleId="Caption1">
    <w:name w:val="caption1"/>
    <w:basedOn w:val="Normal"/>
    <w:qFormat/>
    <w:pPr>
      <w:suppressLineNumbers/>
      <w:spacing w:before="120" w:after="120"/>
    </w:pPr>
    <w:rPr>
      <w:rFonts w:ascii="PT Astra Serif" w:hAnsi="PT Astra Serif" w:cs="Noto Sans Devanagari"/>
      <w:i/>
      <w:iCs/>
      <w:sz w:val="24"/>
      <w:szCs w:val="24"/>
    </w:rPr>
  </w:style>
  <w:style w:type="paragraph" w:styleId="ConsPlusNormal1" w:customStyle="1">
    <w:name w:val="ConsPlusNormal"/>
    <w:link w:val="ConsPlusNormal"/>
    <w:uiPriority w:val="99"/>
    <w:qFormat/>
    <w:rsid w:val="00551093"/>
    <w:pPr>
      <w:widowControl w:val="false"/>
      <w:suppressAutoHyphens w:val="true"/>
      <w:bidi w:val="0"/>
      <w:spacing w:lineRule="auto" w:line="240"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Subtitle">
    <w:name w:val="Subtitle"/>
    <w:basedOn w:val="Normal"/>
    <w:next w:val="Normal"/>
    <w:link w:val="Style10"/>
    <w:uiPriority w:val="11"/>
    <w:qFormat/>
    <w:rsid w:val="00551093"/>
    <w:pPr/>
    <w:rPr>
      <w:rFonts w:eastAsia="" w:eastAsiaTheme="minorEastAsia"/>
      <w:color w:themeColor="text1" w:themeTint="a5" w:val="5A5A5A"/>
      <w:spacing w:val="15"/>
    </w:rPr>
  </w:style>
  <w:style w:type="paragraph" w:styleId="FootnoteText">
    <w:name w:val="Footnote Text"/>
    <w:basedOn w:val="Normal"/>
    <w:link w:val="Style11"/>
    <w:uiPriority w:val="99"/>
    <w:unhideWhenUsed/>
    <w:qFormat/>
    <w:rsid w:val="0075388c"/>
    <w:pPr>
      <w:spacing w:lineRule="auto" w:line="240" w:before="0" w:after="0"/>
    </w:pPr>
    <w:rPr>
      <w:sz w:val="20"/>
      <w:szCs w:val="20"/>
    </w:rPr>
  </w:style>
  <w:style w:type="paragraph" w:styleId="Title">
    <w:name w:val="Title"/>
    <w:basedOn w:val="Normal"/>
    <w:next w:val="Normal"/>
    <w:link w:val="Style13"/>
    <w:uiPriority w:val="10"/>
    <w:qFormat/>
    <w:rsid w:val="0075388c"/>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ListParagraph">
    <w:name w:val="List Paragraph"/>
    <w:basedOn w:val="Normal"/>
    <w:uiPriority w:val="34"/>
    <w:qFormat/>
    <w:rsid w:val="00360250"/>
    <w:pPr>
      <w:spacing w:before="0" w:after="160"/>
      <w:ind w:left="720"/>
      <w:contextualSpacing/>
    </w:pPr>
    <w:rPr/>
  </w:style>
  <w:style w:type="paragraph" w:styleId="Style22">
    <w:name w:val="Колонтитул"/>
    <w:basedOn w:val="Normal"/>
    <w:qFormat/>
    <w:pPr/>
    <w:rPr/>
  </w:style>
  <w:style w:type="paragraph" w:styleId="Header">
    <w:name w:val="Header"/>
    <w:basedOn w:val="Normal"/>
    <w:link w:val="Style14"/>
    <w:uiPriority w:val="99"/>
    <w:unhideWhenUsed/>
    <w:rsid w:val="00a52695"/>
    <w:pPr>
      <w:tabs>
        <w:tab w:val="clear" w:pos="708"/>
        <w:tab w:val="center" w:pos="4677" w:leader="none"/>
        <w:tab w:val="right" w:pos="9355" w:leader="none"/>
      </w:tabs>
      <w:spacing w:lineRule="auto" w:line="240" w:before="0" w:after="0"/>
    </w:pPr>
    <w:rPr/>
  </w:style>
  <w:style w:type="paragraph" w:styleId="Footer">
    <w:name w:val="Footer"/>
    <w:basedOn w:val="Normal"/>
    <w:link w:val="Style15"/>
    <w:uiPriority w:val="99"/>
    <w:unhideWhenUsed/>
    <w:rsid w:val="00a52695"/>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16"/>
    <w:uiPriority w:val="99"/>
    <w:semiHidden/>
    <w:unhideWhenUsed/>
    <w:qFormat/>
    <w:rsid w:val="009541f0"/>
    <w:pPr>
      <w:spacing w:lineRule="auto" w:line="240" w:before="0" w:after="0"/>
    </w:pPr>
    <w:rPr>
      <w:rFonts w:ascii="Segoe UI" w:hAnsi="Segoe UI" w:cs="Segoe UI"/>
      <w:sz w:val="18"/>
      <w:szCs w:val="18"/>
    </w:rPr>
  </w:style>
  <w:style w:type="paragraph" w:styleId="Annotationtext">
    <w:name w:val="annotation text"/>
    <w:basedOn w:val="Normal"/>
    <w:link w:val="Style17"/>
    <w:uiPriority w:val="99"/>
    <w:semiHidden/>
    <w:unhideWhenUsed/>
    <w:qFormat/>
    <w:rsid w:val="00bf2bac"/>
    <w:pPr>
      <w:spacing w:lineRule="auto" w:line="240"/>
    </w:pPr>
    <w:rPr>
      <w:sz w:val="20"/>
      <w:szCs w:val="20"/>
    </w:rPr>
  </w:style>
  <w:style w:type="paragraph" w:styleId="HTMLPreformatted">
    <w:name w:val="HTML Preformatted"/>
    <w:basedOn w:val="Normal"/>
    <w:link w:val="HTML"/>
    <w:uiPriority w:val="99"/>
    <w:semiHidden/>
    <w:unhideWhenUsed/>
    <w:qFormat/>
    <w:rsid w:val="001401d2"/>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ru-RU"/>
    </w:rPr>
  </w:style>
  <w:style w:type="paragraph" w:styleId="Annotationsubject">
    <w:name w:val="annotation subject"/>
    <w:basedOn w:val="Annotationtext"/>
    <w:next w:val="Annotationtext"/>
    <w:link w:val="Style18"/>
    <w:uiPriority w:val="99"/>
    <w:semiHidden/>
    <w:unhideWhenUsed/>
    <w:qFormat/>
    <w:rsid w:val="007344f0"/>
    <w:pPr/>
    <w:rPr>
      <w:b/>
      <w:bCs/>
    </w:rPr>
  </w:style>
  <w:style w:type="paragraph" w:styleId="NoSpacing">
    <w:name w:val="No Spacing"/>
    <w:qFormat/>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Style23">
    <w:name w:val="Содержимое таблицы"/>
    <w:basedOn w:val="Normal"/>
    <w:qFormat/>
    <w:pPr>
      <w:widowControl w:val="false"/>
      <w:suppressLineNumbers/>
    </w:pPr>
    <w:rPr/>
  </w:style>
  <w:style w:type="paragraph" w:styleId="Style24">
    <w:name w:val="Заголовок таблицы"/>
    <w:basedOn w:val="Style23"/>
    <w:qFormat/>
    <w:pPr>
      <w:suppressLineNumbers/>
      <w:jc w:val="center"/>
    </w:pPr>
    <w:rPr>
      <w:b/>
      <w:bCs/>
    </w:rPr>
  </w:style>
  <w:style w:type="numbering" w:styleId="Style25"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39"/>
    <w:rsid w:val="006036c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yperlink" Target="https://login.consultant.ru/link/?req=doc&amp;base=LAW&amp;n=494990&amp;dst=12383&amp;field=134&amp;date=30.07.2025" TargetMode="External"/><Relationship Id="rId4" Type="http://schemas.openxmlformats.org/officeDocument/2006/relationships/hyperlink" Target="https://login.consultant.ru/link/?req=doc&amp;base=LAW&amp;n=494990&amp;dst=12386&amp;field=134&amp;date=30.07.2025" TargetMode="External"/><Relationship Id="rId5" Type="http://schemas.openxmlformats.org/officeDocument/2006/relationships/hyperlink" Target="https://login.consultant.ru/link/?req=doc&amp;base=LAW&amp;n=494990&amp;dst=12390&amp;field=134&amp;date=30.07.2025" TargetMode="Externa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6A02C-F23F-41D2-8960-28160DD92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Application>LibreOffice/7.6.7.2$Linux_X86_64 LibreOffice_project/60$Build-2</Application>
  <AppVersion>15.0000</AppVersion>
  <Pages>12</Pages>
  <Words>4217</Words>
  <Characters>30399</Characters>
  <CharactersWithSpaces>34401</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dc:description/>
  <dc:language>ru-RU</dc:language>
  <cp:lastModifiedBy/>
  <cp:lastPrinted>2025-10-01T11:05:30Z</cp:lastPrinted>
  <dcterms:modified xsi:type="dcterms:W3CDTF">2026-06-10T10:59:12Z</dcterms:modified>
  <cp:revision>80</cp:revision>
  <dc:subject/>
  <dc:title/>
</cp:coreProperties>
</file>

<file path=docProps/custom.xml><?xml version="1.0" encoding="utf-8"?>
<Properties xmlns="http://schemas.openxmlformats.org/officeDocument/2006/custom-properties" xmlns:vt="http://schemas.openxmlformats.org/officeDocument/2006/docPropsVTypes"/>
</file>