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settings.xml" ContentType="application/vnd.openxmlformats-officedocument.wordprocessingml.settings+xml"/>
  <Override PartName="/word/header3.xml" ContentType="application/vnd.openxmlformats-officedocument.wordprocessingml.header+xml"/>
  <Override PartName="/word/header4.xml" ContentType="application/vnd.openxmlformats-officedocument.wordprocessingml.header+xml"/>
  <Override PartName="/word/theme/theme1.xml" ContentType="application/vnd.openxmlformats-officedocument.theme+xml"/>
  <Override PartName="/word/_rels/document.xml.rels" ContentType="application/vnd.openxmlformats-package.relationships+xml"/>
  <Override PartName="/word/header5.xml" ContentType="application/vnd.openxmlformats-officedocument.wordprocessingml.header+xml"/>
  <Override PartName="/word/numbering.xml" ContentType="application/vnd.openxmlformats-officedocument.wordprocessingml.numbering+xml"/>
  <Override PartName="/word/fontTable.xml" ContentType="application/vnd.openxmlformats-officedocument.wordprocessingml.fontTable+xml"/>
  <Override PartName="/customXml/_rels/item1.xml.rels" ContentType="application/vnd.openxmlformats-package.relationships+xml"/>
  <Override PartName="/customXml/item1.xml" ContentType="application/xml"/>
  <Override PartName="/customXml/itemProps1.xml" ContentType="application/vnd.openxmlformats-officedocument.customXml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jc w:val="center"/>
        <w:rPr>
          <w:b/>
          <w:sz w:val="20"/>
          <w:szCs w:val="20"/>
        </w:rPr>
      </w:pPr>
      <w:r>
        <w:rPr>
          <w:b/>
          <w:sz w:val="20"/>
          <w:szCs w:val="20"/>
        </w:rPr>
        <w:t>ПРОЕКТ КОНТРАКТА</w:t>
      </w:r>
    </w:p>
    <w:p>
      <w:pPr>
        <w:pStyle w:val="Normal"/>
        <w:jc w:val="center"/>
        <w:rPr>
          <w:b/>
          <w:sz w:val="20"/>
          <w:szCs w:val="20"/>
        </w:rPr>
      </w:pPr>
      <w:r>
        <w:rPr>
          <w:b/>
          <w:sz w:val="20"/>
          <w:szCs w:val="20"/>
        </w:rPr>
      </w:r>
    </w:p>
    <w:p>
      <w:pPr>
        <w:pStyle w:val="Normal"/>
        <w:jc w:val="center"/>
        <w:rPr>
          <w:b/>
          <w:sz w:val="20"/>
          <w:szCs w:val="20"/>
        </w:rPr>
      </w:pPr>
      <w:r>
        <w:rPr>
          <w:b/>
          <w:sz w:val="20"/>
          <w:szCs w:val="20"/>
        </w:rPr>
        <w:t>КОНТРАКТ № 2</w:t>
      </w:r>
      <w:r>
        <w:rPr>
          <w:b/>
          <w:sz w:val="20"/>
          <w:szCs w:val="20"/>
        </w:rPr>
        <w:t>13</w:t>
      </w:r>
      <w:r>
        <w:rPr>
          <w:b/>
          <w:sz w:val="20"/>
          <w:szCs w:val="20"/>
        </w:rPr>
        <w:t>/2026</w:t>
      </w:r>
    </w:p>
    <w:p>
      <w:pPr>
        <w:pStyle w:val="Normal"/>
        <w:rPr>
          <w:sz w:val="20"/>
          <w:szCs w:val="20"/>
        </w:rPr>
      </w:pPr>
      <w:r>
        <w:rPr>
          <w:sz w:val="20"/>
          <w:szCs w:val="20"/>
        </w:rPr>
      </w:r>
    </w:p>
    <w:tbl>
      <w:tblPr>
        <w:tblStyle w:val="af9"/>
        <w:tblW w:w="9923" w:type="dxa"/>
        <w:jc w:val="left"/>
        <w:tblInd w:w="0" w:type="dxa"/>
        <w:tblLayout w:type="fixed"/>
        <w:tblCellMar>
          <w:top w:w="0" w:type="dxa"/>
          <w:left w:w="108" w:type="dxa"/>
          <w:bottom w:w="0" w:type="dxa"/>
          <w:right w:w="108" w:type="dxa"/>
        </w:tblCellMar>
        <w:tblLook w:val="04a0" w:noHBand="0" w:noVBand="1" w:firstColumn="1" w:lastRow="0" w:lastColumn="0" w:firstRow="1"/>
      </w:tblPr>
      <w:tblGrid>
        <w:gridCol w:w="3131"/>
        <w:gridCol w:w="2689"/>
        <w:gridCol w:w="4103"/>
      </w:tblGrid>
      <w:tr>
        <w:trPr/>
        <w:tc>
          <w:tcPr>
            <w:tcW w:w="3131" w:type="dxa"/>
            <w:tcBorders>
              <w:top w:val="nil"/>
              <w:left w:val="nil"/>
              <w:bottom w:val="nil"/>
              <w:right w:val="nil"/>
            </w:tcBorders>
          </w:tcPr>
          <w:p>
            <w:pPr>
              <w:pStyle w:val="Normal"/>
              <w:widowControl/>
              <w:tabs>
                <w:tab w:val="clear" w:pos="708"/>
                <w:tab w:val="left" w:pos="3195" w:leader="none"/>
              </w:tabs>
              <w:suppressAutoHyphens w:val="true"/>
              <w:spacing w:before="0" w:after="0"/>
              <w:jc w:val="left"/>
              <w:rPr>
                <w:caps/>
                <w:sz w:val="20"/>
                <w:szCs w:val="20"/>
              </w:rPr>
            </w:pPr>
            <w:r>
              <w:rPr>
                <w:kern w:val="0"/>
                <w:sz w:val="20"/>
                <w:szCs w:val="20"/>
                <w:lang w:val="ru-RU" w:bidi="ar-SA"/>
              </w:rPr>
              <w:t>г. Санкт-Петербург</w:t>
            </w:r>
          </w:p>
        </w:tc>
        <w:tc>
          <w:tcPr>
            <w:tcW w:w="2689" w:type="dxa"/>
            <w:tcBorders>
              <w:top w:val="nil"/>
              <w:left w:val="nil"/>
              <w:bottom w:val="nil"/>
              <w:right w:val="nil"/>
            </w:tcBorders>
          </w:tcPr>
          <w:p>
            <w:pPr>
              <w:pStyle w:val="Normal"/>
              <w:widowControl/>
              <w:tabs>
                <w:tab w:val="clear" w:pos="708"/>
                <w:tab w:val="left" w:pos="3195" w:leader="none"/>
              </w:tabs>
              <w:suppressAutoHyphens w:val="true"/>
              <w:spacing w:before="0" w:after="0"/>
              <w:jc w:val="left"/>
              <w:rPr>
                <w:caps/>
                <w:sz w:val="20"/>
                <w:szCs w:val="20"/>
              </w:rPr>
            </w:pPr>
            <w:r>
              <w:rPr>
                <w:caps/>
                <w:sz w:val="20"/>
                <w:szCs w:val="20"/>
              </w:rPr>
            </w:r>
          </w:p>
        </w:tc>
        <w:tc>
          <w:tcPr>
            <w:tcW w:w="4103" w:type="dxa"/>
            <w:tcBorders>
              <w:top w:val="nil"/>
              <w:left w:val="nil"/>
              <w:bottom w:val="nil"/>
              <w:right w:val="nil"/>
            </w:tcBorders>
          </w:tcPr>
          <w:p>
            <w:pPr>
              <w:pStyle w:val="Normal"/>
              <w:widowControl/>
              <w:tabs>
                <w:tab w:val="clear" w:pos="708"/>
                <w:tab w:val="left" w:pos="3195" w:leader="none"/>
              </w:tabs>
              <w:suppressAutoHyphens w:val="true"/>
              <w:spacing w:before="0" w:after="0"/>
              <w:jc w:val="right"/>
              <w:rPr>
                <w:caps/>
                <w:sz w:val="20"/>
                <w:szCs w:val="20"/>
              </w:rPr>
            </w:pPr>
            <w:r>
              <w:rPr>
                <w:kern w:val="0"/>
                <w:sz w:val="20"/>
                <w:szCs w:val="20"/>
                <w:lang w:val="ru-RU" w:bidi="ar-SA"/>
              </w:rPr>
              <w:t>«___» _________ 2026 года</w:t>
            </w:r>
          </w:p>
        </w:tc>
      </w:tr>
    </w:tbl>
    <w:p>
      <w:pPr>
        <w:pStyle w:val="Normal"/>
        <w:jc w:val="both"/>
        <w:rPr>
          <w:sz w:val="20"/>
          <w:szCs w:val="20"/>
        </w:rPr>
      </w:pPr>
      <w:r>
        <w:rPr>
          <w:sz w:val="20"/>
          <w:szCs w:val="20"/>
        </w:rPr>
      </w:r>
    </w:p>
    <w:p>
      <w:pPr>
        <w:pStyle w:val="Normal"/>
        <w:ind w:firstLine="709"/>
        <w:jc w:val="both"/>
        <w:rPr>
          <w:sz w:val="20"/>
          <w:szCs w:val="20"/>
        </w:rPr>
      </w:pPr>
      <w:r>
        <w:rPr>
          <w:b/>
          <w:sz w:val="20"/>
          <w:szCs w:val="20"/>
        </w:rPr>
        <w:t>Санкт-Петербургское государственное бюджетное учреждение здравоохранения «Городская больница Святой преподобномученицы Елизаветы» (СПб ГБУЗ «Елизаветинская больница»)</w:t>
      </w:r>
      <w:r>
        <w:rPr>
          <w:sz w:val="20"/>
          <w:szCs w:val="20"/>
        </w:rPr>
        <w:t xml:space="preserve">, именуемое в дальнейшем «Заказчик», в лице главного врача Петрова Сергея Викторовича, действующего на основании Устава, с одной стороны, и </w:t>
      </w:r>
    </w:p>
    <w:p>
      <w:pPr>
        <w:pStyle w:val="Normal"/>
        <w:ind w:firstLine="709"/>
        <w:jc w:val="both"/>
        <w:rPr>
          <w:sz w:val="20"/>
          <w:szCs w:val="20"/>
        </w:rPr>
      </w:pPr>
      <w:r>
        <w:rPr>
          <w:b/>
          <w:sz w:val="20"/>
          <w:szCs w:val="20"/>
        </w:rPr>
        <w:t>__________________________</w:t>
      </w:r>
      <w:r>
        <w:rPr>
          <w:sz w:val="20"/>
          <w:szCs w:val="20"/>
        </w:rPr>
        <w:t xml:space="preserve"> (полное наименование организации в соответствии с учредительными документами), именуемое в дальнейшем «Поставщик», в лице _____________________________ (должность, ФИО), действующего на основании ________ (</w:t>
      </w:r>
      <w:r>
        <w:rPr>
          <w:color w:val="000000"/>
          <w:spacing w:val="1"/>
          <w:sz w:val="20"/>
          <w:szCs w:val="20"/>
        </w:rPr>
        <w:t>учредительный документ или доверенность)</w:t>
      </w:r>
      <w:r>
        <w:rPr>
          <w:sz w:val="20"/>
          <w:szCs w:val="20"/>
        </w:rPr>
        <w:t xml:space="preserve">, с другой стороны, </w:t>
      </w:r>
    </w:p>
    <w:p>
      <w:pPr>
        <w:pStyle w:val="Normal"/>
        <w:ind w:firstLine="709"/>
        <w:jc w:val="both"/>
        <w:rPr>
          <w:sz w:val="20"/>
          <w:szCs w:val="20"/>
        </w:rPr>
      </w:pPr>
      <w:r>
        <w:rPr>
          <w:sz w:val="20"/>
          <w:szCs w:val="20"/>
        </w:rPr>
        <w:t>вместе именуемые «Стороны»,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настоящий контракт (далее – Контракт) о нижеследующем:</w:t>
      </w:r>
    </w:p>
    <w:p>
      <w:pPr>
        <w:pStyle w:val="Normal"/>
        <w:jc w:val="both"/>
        <w:rPr>
          <w:sz w:val="20"/>
          <w:szCs w:val="20"/>
        </w:rPr>
      </w:pPr>
      <w:r>
        <w:rPr>
          <w:sz w:val="20"/>
          <w:szCs w:val="20"/>
        </w:rPr>
      </w:r>
    </w:p>
    <w:p>
      <w:pPr>
        <w:pStyle w:val="ListParagraph"/>
        <w:numPr>
          <w:ilvl w:val="0"/>
          <w:numId w:val="1"/>
        </w:numPr>
        <w:jc w:val="center"/>
        <w:rPr>
          <w:rFonts w:ascii="Times New Roman" w:hAnsi="Times New Roman" w:cs="Times New Roman"/>
          <w:b/>
          <w:sz w:val="20"/>
          <w:szCs w:val="20"/>
        </w:rPr>
      </w:pPr>
      <w:r>
        <w:rPr>
          <w:rFonts w:cs="Times New Roman" w:ascii="Times New Roman" w:hAnsi="Times New Roman"/>
          <w:b/>
          <w:sz w:val="20"/>
          <w:szCs w:val="20"/>
        </w:rPr>
        <w:t>ПРЕДМЕТ КОНТРАКТА</w:t>
      </w:r>
    </w:p>
    <w:p>
      <w:pPr>
        <w:pStyle w:val="Normal"/>
        <w:tabs>
          <w:tab w:val="clear" w:pos="708"/>
          <w:tab w:val="left" w:pos="1276" w:leader="none"/>
        </w:tabs>
        <w:ind w:firstLine="708"/>
        <w:jc w:val="both"/>
        <w:rPr>
          <w:sz w:val="20"/>
          <w:szCs w:val="20"/>
        </w:rPr>
      </w:pPr>
      <w:r>
        <w:rPr>
          <w:sz w:val="20"/>
          <w:szCs w:val="20"/>
        </w:rPr>
        <w:t>1.1.</w:t>
        <w:tab/>
        <w:t xml:space="preserve">Предметом настоящего Контракта является </w:t>
      </w:r>
      <w:r>
        <w:rPr>
          <w:b/>
          <w:bCs/>
          <w:sz w:val="20"/>
          <w:szCs w:val="20"/>
        </w:rPr>
        <w:t>закупка индивидуальной пластины для закрытия дефекта черепа</w:t>
      </w:r>
      <w:r>
        <w:rPr>
          <w:sz w:val="20"/>
          <w:szCs w:val="20"/>
        </w:rPr>
        <w:t xml:space="preserve"> </w:t>
      </w:r>
      <w:r>
        <w:rPr>
          <w:rFonts w:eastAsia="Times New Roman" w:cs="Times New Roman"/>
          <w:b/>
          <w:bCs/>
          <w:color w:val="auto"/>
          <w:kern w:val="0"/>
          <w:sz w:val="20"/>
          <w:szCs w:val="20"/>
          <w:lang w:val="ru-RU" w:eastAsia="ru-RU" w:bidi="ar-SA"/>
        </w:rPr>
        <w:t xml:space="preserve"> </w:t>
      </w:r>
      <w:r>
        <w:rPr>
          <w:b/>
          <w:bCs/>
          <w:sz w:val="20"/>
          <w:szCs w:val="20"/>
        </w:rPr>
        <w:t>(</w:t>
      </w:r>
      <w:r>
        <w:rPr>
          <w:color w:val="000000"/>
          <w:sz w:val="20"/>
          <w:szCs w:val="20"/>
        </w:rPr>
        <w:t>далее – Товар)</w:t>
      </w:r>
      <w:r>
        <w:rPr>
          <w:sz w:val="20"/>
          <w:szCs w:val="20"/>
        </w:rPr>
        <w:t>, наименование, количество, общая и единичная стоимость которого установлены в Спецификации (Приложение № 1 к Контракту), являющейся неотъемлемой частью Контракта, на условиях, установленных Контрактом.</w:t>
      </w:r>
    </w:p>
    <w:p>
      <w:pPr>
        <w:pStyle w:val="Normal"/>
        <w:tabs>
          <w:tab w:val="clear" w:pos="708"/>
          <w:tab w:val="left" w:pos="1276" w:leader="none"/>
        </w:tabs>
        <w:ind w:firstLine="708"/>
        <w:jc w:val="both"/>
        <w:rPr>
          <w:sz w:val="20"/>
          <w:szCs w:val="20"/>
        </w:rPr>
      </w:pPr>
      <w:r>
        <w:rPr>
          <w:sz w:val="20"/>
          <w:szCs w:val="20"/>
        </w:rPr>
        <w:t>1.2.</w:t>
        <w:tab/>
        <w:t>Идентификационный код закупки: 262780404107078040100100010000000244.</w:t>
      </w:r>
    </w:p>
    <w:p>
      <w:pPr>
        <w:pStyle w:val="Normal"/>
        <w:jc w:val="both"/>
        <w:rPr>
          <w:sz w:val="20"/>
          <w:szCs w:val="20"/>
        </w:rPr>
      </w:pPr>
      <w:r>
        <w:rPr>
          <w:sz w:val="20"/>
          <w:szCs w:val="20"/>
        </w:rPr>
      </w:r>
    </w:p>
    <w:p>
      <w:pPr>
        <w:pStyle w:val="ListParagraph"/>
        <w:numPr>
          <w:ilvl w:val="0"/>
          <w:numId w:val="1"/>
        </w:numPr>
        <w:jc w:val="center"/>
        <w:rPr>
          <w:rFonts w:ascii="Times New Roman" w:hAnsi="Times New Roman" w:cs="Times New Roman"/>
          <w:b/>
          <w:sz w:val="20"/>
          <w:szCs w:val="20"/>
        </w:rPr>
      </w:pPr>
      <w:r>
        <w:rPr>
          <w:rFonts w:cs="Times New Roman" w:ascii="Times New Roman" w:hAnsi="Times New Roman"/>
          <w:b/>
          <w:sz w:val="20"/>
          <w:szCs w:val="20"/>
        </w:rPr>
        <w:t>ЦЕНА КОНТРАКТА И ПОРЯДОК РАСЧЕТОВ</w:t>
      </w:r>
    </w:p>
    <w:p>
      <w:pPr>
        <w:pStyle w:val="Normal"/>
        <w:tabs>
          <w:tab w:val="clear" w:pos="708"/>
          <w:tab w:val="left" w:pos="1276" w:leader="none"/>
        </w:tabs>
        <w:ind w:firstLine="708"/>
        <w:jc w:val="both"/>
        <w:rPr>
          <w:sz w:val="20"/>
          <w:szCs w:val="20"/>
        </w:rPr>
      </w:pPr>
      <w:r>
        <w:rPr>
          <w:sz w:val="20"/>
          <w:szCs w:val="20"/>
        </w:rPr>
        <w:t>2.1.</w:t>
        <w:tab/>
        <w:t>Цена Контракта составляет ________ (_________) рублей ___ копеек, НДС не облагается на основании ст. ___ НК РФ.</w:t>
      </w:r>
    </w:p>
    <w:p>
      <w:pPr>
        <w:pStyle w:val="Normal"/>
        <w:tabs>
          <w:tab w:val="clear" w:pos="708"/>
          <w:tab w:val="left" w:pos="1701" w:leader="none"/>
        </w:tabs>
        <w:ind w:firstLine="708"/>
        <w:jc w:val="both"/>
        <w:rPr>
          <w:sz w:val="20"/>
          <w:szCs w:val="20"/>
        </w:rPr>
      </w:pPr>
      <w:r>
        <w:rPr>
          <w:sz w:val="20"/>
          <w:szCs w:val="20"/>
        </w:rPr>
        <w:t>Источник финансирования: Внебюджетные средства , тип внебюджетных средств, средства бюджетных учреждений.</w:t>
      </w:r>
    </w:p>
    <w:p>
      <w:pPr>
        <w:pStyle w:val="Normal"/>
        <w:tabs>
          <w:tab w:val="clear" w:pos="708"/>
          <w:tab w:val="left" w:pos="1276" w:leader="none"/>
        </w:tabs>
        <w:ind w:firstLine="708"/>
        <w:jc w:val="both"/>
        <w:rPr>
          <w:sz w:val="20"/>
          <w:szCs w:val="20"/>
        </w:rPr>
      </w:pPr>
      <w:r>
        <w:rPr>
          <w:sz w:val="20"/>
          <w:szCs w:val="20"/>
        </w:rPr>
        <w:t>2.2.</w:t>
        <w:tab/>
        <w:t>Цена Контракта является твердой и определяется на весь срок исполнения Контракта.</w:t>
      </w:r>
    </w:p>
    <w:p>
      <w:pPr>
        <w:pStyle w:val="Normal"/>
        <w:tabs>
          <w:tab w:val="clear" w:pos="708"/>
          <w:tab w:val="left" w:pos="1276" w:leader="none"/>
        </w:tabs>
        <w:ind w:firstLine="708"/>
        <w:jc w:val="both"/>
        <w:rPr>
          <w:sz w:val="20"/>
          <w:szCs w:val="20"/>
        </w:rPr>
      </w:pPr>
      <w:r>
        <w:rPr>
          <w:sz w:val="20"/>
          <w:szCs w:val="20"/>
        </w:rPr>
        <w:t>2.3.</w:t>
        <w:tab/>
        <w:t>Цена Контракта включает в себя расходы, связанные с поставкой Товара (стоимость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 и других обязательных платежей).</w:t>
      </w:r>
    </w:p>
    <w:p>
      <w:pPr>
        <w:pStyle w:val="Normal"/>
        <w:tabs>
          <w:tab w:val="clear" w:pos="708"/>
          <w:tab w:val="left" w:pos="1276" w:leader="none"/>
        </w:tabs>
        <w:ind w:firstLine="708"/>
        <w:jc w:val="both"/>
        <w:rPr>
          <w:sz w:val="20"/>
          <w:szCs w:val="20"/>
        </w:rPr>
      </w:pPr>
      <w:r>
        <w:rPr>
          <w:sz w:val="20"/>
          <w:szCs w:val="20"/>
        </w:rPr>
        <w:t>2.4.</w:t>
        <w:tab/>
        <w:t>Оплата производится Заказчиком единовременным платежом на расчетный счет Поставщика, указанный в Контракте, по факту поставки Заказчику Товара в течение 10 (десяти) рабочих дней с даты подписания Заказчиком документа о приемке, при отсутствии у Заказчика претензий по количеству и качеству поставленного Товара. Датой оплаты является дата списания денежных средств со счета Заказчика.</w:t>
      </w:r>
    </w:p>
    <w:p>
      <w:pPr>
        <w:pStyle w:val="Normal"/>
        <w:tabs>
          <w:tab w:val="clear" w:pos="708"/>
          <w:tab w:val="left" w:pos="1276" w:leader="none"/>
        </w:tabs>
        <w:ind w:firstLine="708"/>
        <w:jc w:val="both"/>
        <w:rPr>
          <w:sz w:val="20"/>
          <w:szCs w:val="20"/>
        </w:rPr>
      </w:pPr>
      <w:r>
        <w:rPr>
          <w:sz w:val="20"/>
          <w:szCs w:val="20"/>
        </w:rPr>
        <w:t>2.5.</w:t>
        <w:tab/>
        <w:t>Основанием для оплаты являются подписанные Сторонами и предоставленные в бухгалтерию Заказчика: счёт, товарная накладная со ссылкой на действующий Контракт с последующим подтверждением счётом-фактурой (не предоставляется в случае применения Поставщиком упрощенной системы налогообложения), документ о приемке Товара (Акт приема-передачи Товара).</w:t>
      </w:r>
    </w:p>
    <w:p>
      <w:pPr>
        <w:pStyle w:val="Normal"/>
        <w:tabs>
          <w:tab w:val="clear" w:pos="708"/>
          <w:tab w:val="left" w:pos="1276" w:leader="none"/>
        </w:tabs>
        <w:ind w:firstLine="708"/>
        <w:jc w:val="both"/>
        <w:rPr>
          <w:sz w:val="20"/>
          <w:szCs w:val="20"/>
        </w:rPr>
      </w:pPr>
      <w:r>
        <w:rPr>
          <w:sz w:val="20"/>
          <w:szCs w:val="20"/>
        </w:rPr>
        <w:t>2.6.</w:t>
        <w:tab/>
        <w:t>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pPr>
        <w:pStyle w:val="Normal"/>
        <w:tabs>
          <w:tab w:val="clear" w:pos="708"/>
          <w:tab w:val="left" w:pos="1276" w:leader="none"/>
        </w:tabs>
        <w:ind w:firstLine="708"/>
        <w:jc w:val="both"/>
        <w:rPr>
          <w:sz w:val="20"/>
          <w:szCs w:val="20"/>
        </w:rPr>
      </w:pPr>
      <w:r>
        <w:rPr>
          <w:sz w:val="20"/>
          <w:szCs w:val="20"/>
        </w:rPr>
        <w:t>2.7.</w:t>
        <w:tab/>
        <w:t>В случае неисполнения Поставщиком требований об уплате неустоек (штрафов, пеней) предъявленных Заказчиком в соответствии с Законом о контрактной системе и Контрактом, Заказчик вправе удержать сумму неустоек (штрафов, пеней), рассчитанную в установленном законодательством Российской Федерации порядке, из суммы, подлежащей оплате Поставщику за поставленный по Контракту Товар.</w:t>
      </w:r>
    </w:p>
    <w:p>
      <w:pPr>
        <w:pStyle w:val="Normal"/>
        <w:jc w:val="both"/>
        <w:rPr>
          <w:sz w:val="20"/>
          <w:szCs w:val="20"/>
        </w:rPr>
      </w:pPr>
      <w:r>
        <w:rPr>
          <w:sz w:val="20"/>
          <w:szCs w:val="20"/>
        </w:rPr>
      </w:r>
    </w:p>
    <w:p>
      <w:pPr>
        <w:pStyle w:val="ListParagraph"/>
        <w:numPr>
          <w:ilvl w:val="0"/>
          <w:numId w:val="1"/>
        </w:numPr>
        <w:jc w:val="center"/>
        <w:rPr>
          <w:rFonts w:ascii="Times New Roman" w:hAnsi="Times New Roman" w:cs="Times New Roman"/>
          <w:b/>
          <w:sz w:val="20"/>
          <w:szCs w:val="20"/>
        </w:rPr>
      </w:pPr>
      <w:r>
        <w:rPr>
          <w:rFonts w:cs="Times New Roman" w:ascii="Times New Roman" w:hAnsi="Times New Roman"/>
          <w:b/>
          <w:sz w:val="20"/>
          <w:szCs w:val="20"/>
        </w:rPr>
        <w:t>ПОРЯДОК ПОСТАВКИ ТОВАРА</w:t>
      </w:r>
    </w:p>
    <w:p>
      <w:pPr>
        <w:pStyle w:val="Normal"/>
        <w:tabs>
          <w:tab w:val="clear" w:pos="708"/>
          <w:tab w:val="left" w:pos="1276" w:leader="none"/>
        </w:tabs>
        <w:ind w:firstLine="708"/>
        <w:jc w:val="both"/>
        <w:rPr>
          <w:sz w:val="20"/>
          <w:szCs w:val="20"/>
        </w:rPr>
      </w:pPr>
      <w:r>
        <w:rPr>
          <w:sz w:val="20"/>
          <w:szCs w:val="20"/>
        </w:rPr>
        <w:t>3.1.</w:t>
        <w:tab/>
        <w:t>Требования к качеству Товара, комплектности, таре, упаковке, маркировке, иные требования к функциональным, техническим и эксплуатационным характеристикам Товара содержатся в Техническом задании (Приложение № 2 к Контракту).</w:t>
      </w:r>
    </w:p>
    <w:p>
      <w:pPr>
        <w:pStyle w:val="Normal"/>
        <w:tabs>
          <w:tab w:val="clear" w:pos="708"/>
          <w:tab w:val="left" w:pos="1276" w:leader="none"/>
        </w:tabs>
        <w:ind w:firstLine="708"/>
        <w:jc w:val="both"/>
        <w:rPr>
          <w:sz w:val="20"/>
          <w:szCs w:val="20"/>
        </w:rPr>
      </w:pPr>
      <w:r>
        <w:rPr>
          <w:sz w:val="20"/>
          <w:szCs w:val="20"/>
        </w:rPr>
        <w:t>3.2.</w:t>
        <w:tab/>
        <w:t>Поставка Товара осуществляется по адресу, указанному в Техническом задании (Приложение №2 к Контракту).</w:t>
      </w:r>
    </w:p>
    <w:p>
      <w:pPr>
        <w:pStyle w:val="Normal"/>
        <w:tabs>
          <w:tab w:val="clear" w:pos="708"/>
          <w:tab w:val="left" w:pos="1276" w:leader="none"/>
        </w:tabs>
        <w:ind w:firstLine="708"/>
        <w:jc w:val="both"/>
        <w:rPr>
          <w:sz w:val="20"/>
          <w:szCs w:val="20"/>
        </w:rPr>
      </w:pPr>
      <w:r>
        <w:rPr>
          <w:sz w:val="20"/>
          <w:szCs w:val="20"/>
        </w:rPr>
        <w:t>3.3.</w:t>
        <w:tab/>
        <w:t>Товар должен иметь упаковку, предотвращающую его порчу при транспортировке. Маркировка и упаковка должны соответствовать требованиям, установленным в Техническом задании (Приложение № 2 к Контракту).</w:t>
      </w:r>
    </w:p>
    <w:p>
      <w:pPr>
        <w:pStyle w:val="Normal"/>
        <w:tabs>
          <w:tab w:val="clear" w:pos="708"/>
          <w:tab w:val="left" w:pos="1276" w:leader="none"/>
        </w:tabs>
        <w:ind w:firstLine="708"/>
        <w:jc w:val="both"/>
        <w:rPr>
          <w:sz w:val="20"/>
          <w:szCs w:val="20"/>
        </w:rPr>
      </w:pPr>
      <w:r>
        <w:rPr>
          <w:sz w:val="20"/>
          <w:szCs w:val="20"/>
        </w:rPr>
        <w:t>3.4.</w:t>
        <w:tab/>
        <w:t>В день поставки Поставщик одновременно с Товаром должен передать Заказчику сопроводительные документы, относящиеся к Товару, указанные в Техническом задании (Приложение № 2 к Контракту). В случае отсутствия вышеназванных документов Заказчик вправе отказаться от приемки Товара. Товар будет считаться не поставленным.</w:t>
      </w:r>
    </w:p>
    <w:p>
      <w:pPr>
        <w:pStyle w:val="Normal"/>
        <w:tabs>
          <w:tab w:val="clear" w:pos="708"/>
          <w:tab w:val="left" w:pos="1276" w:leader="none"/>
        </w:tabs>
        <w:ind w:firstLine="708"/>
        <w:jc w:val="both"/>
        <w:rPr>
          <w:sz w:val="20"/>
          <w:szCs w:val="20"/>
        </w:rPr>
      </w:pPr>
      <w:r>
        <w:rPr>
          <w:sz w:val="20"/>
          <w:szCs w:val="20"/>
        </w:rPr>
        <w:t>3.5.</w:t>
        <w:tab/>
        <w:t>Срок поставки Товара указывается в Техническом задании (Приложение № 2 к Контракту).</w:t>
      </w:r>
    </w:p>
    <w:p>
      <w:pPr>
        <w:pStyle w:val="Normal"/>
        <w:jc w:val="both"/>
        <w:rPr>
          <w:sz w:val="20"/>
          <w:szCs w:val="20"/>
        </w:rPr>
      </w:pPr>
      <w:r>
        <w:rPr>
          <w:sz w:val="20"/>
          <w:szCs w:val="20"/>
        </w:rPr>
      </w:r>
    </w:p>
    <w:p>
      <w:pPr>
        <w:pStyle w:val="ListParagraph"/>
        <w:numPr>
          <w:ilvl w:val="0"/>
          <w:numId w:val="1"/>
        </w:numPr>
        <w:jc w:val="center"/>
        <w:rPr>
          <w:rFonts w:ascii="Times New Roman" w:hAnsi="Times New Roman" w:cs="Times New Roman"/>
          <w:b/>
          <w:sz w:val="20"/>
          <w:szCs w:val="20"/>
        </w:rPr>
      </w:pPr>
      <w:r>
        <w:rPr>
          <w:rFonts w:cs="Times New Roman" w:ascii="Times New Roman" w:hAnsi="Times New Roman"/>
          <w:b/>
          <w:sz w:val="20"/>
          <w:szCs w:val="20"/>
        </w:rPr>
        <w:t>ПОРЯДОК ПРИЕМКИ ТОВАРА</w:t>
      </w:r>
    </w:p>
    <w:p>
      <w:pPr>
        <w:pStyle w:val="Normal"/>
        <w:tabs>
          <w:tab w:val="clear" w:pos="708"/>
          <w:tab w:val="left" w:pos="1276" w:leader="none"/>
        </w:tabs>
        <w:ind w:firstLine="708"/>
        <w:jc w:val="both"/>
        <w:rPr>
          <w:sz w:val="20"/>
          <w:szCs w:val="20"/>
        </w:rPr>
      </w:pPr>
      <w:r>
        <w:rPr>
          <w:sz w:val="20"/>
          <w:szCs w:val="20"/>
        </w:rPr>
        <w:t>4.1.</w:t>
        <w:tab/>
        <w:t>Приемка Товара осуществляется Заказчиком и заключается в проверке предоставленного исполнения на соответствие требованиям Контракта в порядке, указанном в Техническом задании (Приложение № 2 к Контракту). В случае соответствия поставленного Товара требованиям Контракта, составляется Акт приема-передачи Товара, указанный в Техническом задании (Приложение № 2 к Контракту).</w:t>
      </w:r>
    </w:p>
    <w:p>
      <w:pPr>
        <w:pStyle w:val="Normal"/>
        <w:tabs>
          <w:tab w:val="clear" w:pos="708"/>
          <w:tab w:val="left" w:pos="1276" w:leader="none"/>
        </w:tabs>
        <w:ind w:firstLine="708"/>
        <w:jc w:val="both"/>
        <w:rPr>
          <w:sz w:val="20"/>
          <w:szCs w:val="20"/>
        </w:rPr>
      </w:pPr>
      <w:r>
        <w:rPr>
          <w:sz w:val="20"/>
          <w:szCs w:val="20"/>
        </w:rPr>
        <w:t>4.2.</w:t>
        <w:tab/>
        <w:t>Срок приемки указан в Техническом задании (Приложение № 2 к Контракту).</w:t>
      </w:r>
    </w:p>
    <w:p>
      <w:pPr>
        <w:pStyle w:val="Normal"/>
        <w:tabs>
          <w:tab w:val="clear" w:pos="708"/>
          <w:tab w:val="left" w:pos="1276" w:leader="none"/>
        </w:tabs>
        <w:ind w:firstLine="708"/>
        <w:jc w:val="both"/>
        <w:rPr>
          <w:sz w:val="20"/>
          <w:szCs w:val="20"/>
        </w:rPr>
      </w:pPr>
      <w:r>
        <w:rPr>
          <w:sz w:val="20"/>
          <w:szCs w:val="20"/>
        </w:rPr>
        <w:t>4.3.</w:t>
        <w:tab/>
        <w:t>В случае несоответствия Товара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акт, подписанный только Заказчиком будет считаться действительным.</w:t>
      </w:r>
    </w:p>
    <w:p>
      <w:pPr>
        <w:pStyle w:val="Normal"/>
        <w:tabs>
          <w:tab w:val="clear" w:pos="708"/>
          <w:tab w:val="left" w:pos="1276" w:leader="none"/>
        </w:tabs>
        <w:ind w:firstLine="708"/>
        <w:jc w:val="both"/>
        <w:rPr>
          <w:sz w:val="20"/>
          <w:szCs w:val="20"/>
        </w:rPr>
      </w:pPr>
      <w:r>
        <w:rPr>
          <w:sz w:val="20"/>
          <w:szCs w:val="20"/>
        </w:rPr>
        <w:t>4.4.</w:t>
        <w:tab/>
        <w:t>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не устранения недостатков в срок, указанный Заказчиком в уведомлении, последний отказывается от приемки и оплаты. Мотивированный отказ направляется Поставщику в письменной форме.</w:t>
      </w:r>
    </w:p>
    <w:p>
      <w:pPr>
        <w:pStyle w:val="Normal"/>
        <w:tabs>
          <w:tab w:val="clear" w:pos="708"/>
          <w:tab w:val="left" w:pos="1276" w:leader="none"/>
        </w:tabs>
        <w:ind w:firstLine="708"/>
        <w:jc w:val="both"/>
        <w:rPr>
          <w:sz w:val="20"/>
          <w:szCs w:val="20"/>
        </w:rPr>
      </w:pPr>
      <w:r>
        <w:rPr>
          <w:sz w:val="20"/>
          <w:szCs w:val="20"/>
        </w:rPr>
        <w:t>4.5.</w:t>
        <w:tab/>
        <w:t>Претензии по скрытым недостаткам могут быть заявлены Заказчиком в течение гарантийного срока/ срока годности Товара.</w:t>
      </w:r>
    </w:p>
    <w:p>
      <w:pPr>
        <w:pStyle w:val="Normal"/>
        <w:tabs>
          <w:tab w:val="clear" w:pos="708"/>
          <w:tab w:val="left" w:pos="1276" w:leader="none"/>
        </w:tabs>
        <w:ind w:firstLine="708"/>
        <w:jc w:val="both"/>
        <w:rPr>
          <w:sz w:val="20"/>
          <w:szCs w:val="20"/>
        </w:rPr>
      </w:pPr>
      <w:r>
        <w:rPr>
          <w:sz w:val="20"/>
          <w:szCs w:val="20"/>
        </w:rPr>
        <w:t>4.6.</w:t>
        <w:tab/>
        <w:t>Для проверки соответствия качества поставленного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pPr>
        <w:pStyle w:val="Normal"/>
        <w:tabs>
          <w:tab w:val="clear" w:pos="708"/>
          <w:tab w:val="left" w:pos="1276" w:leader="none"/>
        </w:tabs>
        <w:ind w:firstLine="708"/>
        <w:jc w:val="both"/>
        <w:rPr>
          <w:sz w:val="20"/>
          <w:szCs w:val="20"/>
        </w:rPr>
      </w:pPr>
      <w:r>
        <w:rPr>
          <w:sz w:val="20"/>
          <w:szCs w:val="20"/>
        </w:rPr>
        <w:t>4.7.</w:t>
        <w:tab/>
        <w:t>Все расходы, связанные с устранением недостатков, несет Поставщик.</w:t>
      </w:r>
    </w:p>
    <w:p>
      <w:pPr>
        <w:pStyle w:val="Normal"/>
        <w:jc w:val="both"/>
        <w:rPr>
          <w:sz w:val="20"/>
          <w:szCs w:val="20"/>
        </w:rPr>
      </w:pPr>
      <w:r>
        <w:rPr>
          <w:sz w:val="20"/>
          <w:szCs w:val="20"/>
        </w:rPr>
      </w:r>
    </w:p>
    <w:p>
      <w:pPr>
        <w:pStyle w:val="ListParagraph"/>
        <w:numPr>
          <w:ilvl w:val="0"/>
          <w:numId w:val="1"/>
        </w:numPr>
        <w:jc w:val="center"/>
        <w:rPr>
          <w:rFonts w:ascii="Times New Roman" w:hAnsi="Times New Roman" w:cs="Times New Roman"/>
          <w:b/>
          <w:sz w:val="20"/>
          <w:szCs w:val="20"/>
        </w:rPr>
      </w:pPr>
      <w:r>
        <w:rPr>
          <w:rFonts w:cs="Times New Roman" w:ascii="Times New Roman" w:hAnsi="Times New Roman"/>
          <w:b/>
          <w:sz w:val="20"/>
          <w:szCs w:val="20"/>
        </w:rPr>
        <w:t>ПРАВА И ОБЯЗАННОСТИ СТОРОН</w:t>
      </w:r>
    </w:p>
    <w:p>
      <w:pPr>
        <w:pStyle w:val="Normal"/>
        <w:tabs>
          <w:tab w:val="clear" w:pos="708"/>
          <w:tab w:val="left" w:pos="1276" w:leader="none"/>
        </w:tabs>
        <w:ind w:firstLine="708"/>
        <w:jc w:val="both"/>
        <w:rPr>
          <w:sz w:val="20"/>
          <w:szCs w:val="20"/>
        </w:rPr>
      </w:pPr>
      <w:r>
        <w:rPr>
          <w:sz w:val="20"/>
          <w:szCs w:val="20"/>
        </w:rPr>
        <w:t>5.1.</w:t>
        <w:tab/>
        <w:t>Заказчик вправе:</w:t>
      </w:r>
    </w:p>
    <w:p>
      <w:pPr>
        <w:pStyle w:val="Normal"/>
        <w:tabs>
          <w:tab w:val="clear" w:pos="708"/>
          <w:tab w:val="left" w:pos="1276" w:leader="none"/>
        </w:tabs>
        <w:ind w:firstLine="708"/>
        <w:jc w:val="both"/>
        <w:rPr>
          <w:sz w:val="20"/>
          <w:szCs w:val="20"/>
        </w:rPr>
      </w:pPr>
      <w:r>
        <w:rPr>
          <w:sz w:val="20"/>
          <w:szCs w:val="20"/>
        </w:rPr>
        <w:t>5.1.1.</w:t>
        <w:tab/>
        <w:t>Требовать от Поставщика надлежащего исполнения обязательств в соответствии с Контрактом, а также требовать своевременного устранения выявленных недостатков.</w:t>
      </w:r>
    </w:p>
    <w:p>
      <w:pPr>
        <w:pStyle w:val="Normal"/>
        <w:tabs>
          <w:tab w:val="clear" w:pos="708"/>
          <w:tab w:val="left" w:pos="1276" w:leader="none"/>
        </w:tabs>
        <w:ind w:firstLine="708"/>
        <w:jc w:val="both"/>
        <w:rPr>
          <w:sz w:val="20"/>
          <w:szCs w:val="20"/>
        </w:rPr>
      </w:pPr>
      <w:r>
        <w:rPr>
          <w:sz w:val="20"/>
          <w:szCs w:val="20"/>
        </w:rPr>
        <w:t>5.1.2.</w:t>
        <w:tab/>
        <w:t>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pPr>
        <w:pStyle w:val="Normal"/>
        <w:tabs>
          <w:tab w:val="clear" w:pos="708"/>
          <w:tab w:val="left" w:pos="1276" w:leader="none"/>
        </w:tabs>
        <w:ind w:firstLine="708"/>
        <w:jc w:val="both"/>
        <w:rPr>
          <w:sz w:val="20"/>
          <w:szCs w:val="20"/>
        </w:rPr>
      </w:pPr>
      <w:r>
        <w:rPr>
          <w:sz w:val="20"/>
          <w:szCs w:val="20"/>
        </w:rPr>
        <w:t>5.1.3.</w:t>
        <w:tab/>
        <w:t>Запрашивать у Поставщика информацию о ходе исполнения обязательств по Контракту.</w:t>
      </w:r>
    </w:p>
    <w:p>
      <w:pPr>
        <w:pStyle w:val="Normal"/>
        <w:tabs>
          <w:tab w:val="clear" w:pos="708"/>
          <w:tab w:val="left" w:pos="1276" w:leader="none"/>
        </w:tabs>
        <w:ind w:firstLine="708"/>
        <w:jc w:val="both"/>
        <w:rPr>
          <w:sz w:val="20"/>
          <w:szCs w:val="20"/>
        </w:rPr>
      </w:pPr>
      <w:r>
        <w:rPr>
          <w:sz w:val="20"/>
          <w:szCs w:val="20"/>
        </w:rPr>
        <w:t>5.1.4.</w:t>
        <w:tab/>
        <w:t>Осуществлять контроль и надзор за качеством, порядком и сроками поставки Товара, не вмешиваясь при этом в хозяйственную деятельность Поставщика.</w:t>
      </w:r>
    </w:p>
    <w:p>
      <w:pPr>
        <w:pStyle w:val="Normal"/>
        <w:tabs>
          <w:tab w:val="clear" w:pos="708"/>
          <w:tab w:val="left" w:pos="1276" w:leader="none"/>
        </w:tabs>
        <w:ind w:firstLine="708"/>
        <w:jc w:val="both"/>
        <w:rPr>
          <w:sz w:val="20"/>
          <w:szCs w:val="20"/>
        </w:rPr>
      </w:pPr>
      <w:r>
        <w:rPr>
          <w:sz w:val="20"/>
          <w:szCs w:val="20"/>
        </w:rPr>
        <w:t>5.1.5.</w:t>
        <w:tab/>
        <w:t>Отказаться от приемки Товара в случаях, предусмотренных Контрактом.</w:t>
      </w:r>
    </w:p>
    <w:p>
      <w:pPr>
        <w:pStyle w:val="Normal"/>
        <w:tabs>
          <w:tab w:val="clear" w:pos="708"/>
          <w:tab w:val="left" w:pos="1276" w:leader="none"/>
        </w:tabs>
        <w:ind w:firstLine="708"/>
        <w:jc w:val="both"/>
        <w:rPr>
          <w:sz w:val="20"/>
          <w:szCs w:val="20"/>
        </w:rPr>
      </w:pPr>
      <w:r>
        <w:rPr>
          <w:sz w:val="20"/>
          <w:szCs w:val="20"/>
        </w:rPr>
        <w:t>5.1.6.</w:t>
        <w:tab/>
        <w:t>В одностороннем порядке отказаться от исполнения Контракта в соответствии с Законом о контрактной системе.</w:t>
      </w:r>
    </w:p>
    <w:p>
      <w:pPr>
        <w:pStyle w:val="Normal"/>
        <w:tabs>
          <w:tab w:val="clear" w:pos="708"/>
          <w:tab w:val="left" w:pos="1276" w:leader="none"/>
        </w:tabs>
        <w:ind w:firstLine="708"/>
        <w:jc w:val="both"/>
        <w:rPr>
          <w:sz w:val="20"/>
          <w:szCs w:val="20"/>
        </w:rPr>
      </w:pPr>
      <w:r>
        <w:rPr>
          <w:sz w:val="20"/>
          <w:szCs w:val="20"/>
        </w:rPr>
        <w:t>5.2.</w:t>
        <w:tab/>
        <w:t>Заказчик обязан:</w:t>
      </w:r>
    </w:p>
    <w:p>
      <w:pPr>
        <w:pStyle w:val="Normal"/>
        <w:tabs>
          <w:tab w:val="clear" w:pos="708"/>
          <w:tab w:val="left" w:pos="1276" w:leader="none"/>
        </w:tabs>
        <w:ind w:firstLine="708"/>
        <w:jc w:val="both"/>
        <w:rPr>
          <w:sz w:val="20"/>
          <w:szCs w:val="20"/>
        </w:rPr>
      </w:pPr>
      <w:r>
        <w:rPr>
          <w:sz w:val="20"/>
          <w:szCs w:val="20"/>
        </w:rPr>
        <w:t>5.2.1.</w:t>
        <w:tab/>
        <w:t>Своевременно принять поставленный Товар в соответствии с Контрактом, включая проведение экспертизы поставленного Товара.</w:t>
      </w:r>
    </w:p>
    <w:p>
      <w:pPr>
        <w:pStyle w:val="Normal"/>
        <w:tabs>
          <w:tab w:val="clear" w:pos="708"/>
          <w:tab w:val="left" w:pos="1276" w:leader="none"/>
        </w:tabs>
        <w:ind w:firstLine="708"/>
        <w:jc w:val="both"/>
        <w:rPr>
          <w:sz w:val="20"/>
          <w:szCs w:val="20"/>
        </w:rPr>
      </w:pPr>
      <w:r>
        <w:rPr>
          <w:sz w:val="20"/>
          <w:szCs w:val="20"/>
        </w:rPr>
        <w:t>5.2.2.</w:t>
        <w:tab/>
        <w:t>Своевременно оплатить поставленный Товар надлежащего качества в соответствии с Контрактом.</w:t>
      </w:r>
    </w:p>
    <w:p>
      <w:pPr>
        <w:pStyle w:val="Normal"/>
        <w:tabs>
          <w:tab w:val="clear" w:pos="708"/>
          <w:tab w:val="left" w:pos="1276" w:leader="none"/>
        </w:tabs>
        <w:ind w:firstLine="708"/>
        <w:jc w:val="both"/>
        <w:rPr>
          <w:sz w:val="20"/>
          <w:szCs w:val="20"/>
        </w:rPr>
      </w:pPr>
      <w:r>
        <w:rPr>
          <w:sz w:val="20"/>
          <w:szCs w:val="20"/>
        </w:rPr>
        <w:t>5.3.</w:t>
        <w:tab/>
        <w:t>Поставщик вправе:</w:t>
      </w:r>
    </w:p>
    <w:p>
      <w:pPr>
        <w:pStyle w:val="Normal"/>
        <w:tabs>
          <w:tab w:val="clear" w:pos="708"/>
          <w:tab w:val="left" w:pos="1276" w:leader="none"/>
        </w:tabs>
        <w:ind w:firstLine="708"/>
        <w:jc w:val="both"/>
        <w:rPr>
          <w:sz w:val="20"/>
          <w:szCs w:val="20"/>
        </w:rPr>
      </w:pPr>
      <w:r>
        <w:rPr>
          <w:sz w:val="20"/>
          <w:szCs w:val="20"/>
        </w:rPr>
        <w:t>5.3.1.</w:t>
        <w:tab/>
        <w:t>Требовать своевременной приемки и оплаты за поставленный Товар в соответствии с условиями Контракта.</w:t>
      </w:r>
    </w:p>
    <w:p>
      <w:pPr>
        <w:pStyle w:val="Normal"/>
        <w:tabs>
          <w:tab w:val="clear" w:pos="708"/>
          <w:tab w:val="left" w:pos="1276" w:leader="none"/>
        </w:tabs>
        <w:ind w:firstLine="708"/>
        <w:jc w:val="both"/>
        <w:rPr>
          <w:sz w:val="20"/>
          <w:szCs w:val="20"/>
        </w:rPr>
      </w:pPr>
      <w:r>
        <w:rPr>
          <w:sz w:val="20"/>
          <w:szCs w:val="20"/>
        </w:rPr>
        <w:t>5.3.2.</w:t>
        <w:tab/>
        <w:t>Запрашивать у Заказчика разъяснения и уточнения относительно Товара в рамках Контракта.</w:t>
      </w:r>
    </w:p>
    <w:p>
      <w:pPr>
        <w:pStyle w:val="Normal"/>
        <w:tabs>
          <w:tab w:val="clear" w:pos="708"/>
          <w:tab w:val="left" w:pos="1276" w:leader="none"/>
        </w:tabs>
        <w:ind w:firstLine="708"/>
        <w:jc w:val="both"/>
        <w:rPr>
          <w:sz w:val="20"/>
          <w:szCs w:val="20"/>
        </w:rPr>
      </w:pPr>
      <w:r>
        <w:rPr>
          <w:sz w:val="20"/>
          <w:szCs w:val="20"/>
        </w:rPr>
        <w:t>5.3.3.</w:t>
        <w:tab/>
        <w:t>Получать от Заказчика содействие при поставке Товара в соответствии с условиями Контракта.</w:t>
      </w:r>
    </w:p>
    <w:p>
      <w:pPr>
        <w:pStyle w:val="Normal"/>
        <w:tabs>
          <w:tab w:val="clear" w:pos="708"/>
          <w:tab w:val="left" w:pos="1276" w:leader="none"/>
        </w:tabs>
        <w:ind w:firstLine="708"/>
        <w:jc w:val="both"/>
        <w:rPr>
          <w:sz w:val="20"/>
          <w:szCs w:val="20"/>
        </w:rPr>
      </w:pPr>
      <w:r>
        <w:rPr>
          <w:sz w:val="20"/>
          <w:szCs w:val="20"/>
        </w:rPr>
        <w:t>5.3.4.</w:t>
        <w:tab/>
        <w:t>Досрочно исполнить обязательства по Контракту с согласия Заказчика.</w:t>
      </w:r>
    </w:p>
    <w:p>
      <w:pPr>
        <w:pStyle w:val="Normal"/>
        <w:tabs>
          <w:tab w:val="clear" w:pos="708"/>
          <w:tab w:val="left" w:pos="1276" w:leader="none"/>
        </w:tabs>
        <w:ind w:firstLine="708"/>
        <w:jc w:val="both"/>
        <w:rPr>
          <w:sz w:val="20"/>
          <w:szCs w:val="20"/>
        </w:rPr>
      </w:pPr>
      <w:r>
        <w:rPr>
          <w:sz w:val="20"/>
          <w:szCs w:val="20"/>
        </w:rPr>
        <w:t>5.4.</w:t>
        <w:tab/>
        <w:t>Поставщик обязан:</w:t>
      </w:r>
    </w:p>
    <w:p>
      <w:pPr>
        <w:pStyle w:val="Normal"/>
        <w:tabs>
          <w:tab w:val="clear" w:pos="708"/>
          <w:tab w:val="left" w:pos="1276" w:leader="none"/>
        </w:tabs>
        <w:ind w:firstLine="708"/>
        <w:jc w:val="both"/>
        <w:rPr>
          <w:sz w:val="20"/>
          <w:szCs w:val="20"/>
        </w:rPr>
      </w:pPr>
      <w:r>
        <w:rPr>
          <w:sz w:val="20"/>
          <w:szCs w:val="20"/>
        </w:rPr>
        <w:t>5.4.1.</w:t>
        <w:tab/>
        <w:t>Своевременно и надлежащим образом исполнять обязательства по поставке Товара в соответствии с условиями Контракта.</w:t>
      </w:r>
    </w:p>
    <w:p>
      <w:pPr>
        <w:pStyle w:val="Normal"/>
        <w:tabs>
          <w:tab w:val="clear" w:pos="708"/>
          <w:tab w:val="left" w:pos="1276" w:leader="none"/>
        </w:tabs>
        <w:ind w:firstLine="708"/>
        <w:jc w:val="both"/>
        <w:rPr>
          <w:sz w:val="20"/>
          <w:szCs w:val="20"/>
        </w:rPr>
      </w:pPr>
      <w:r>
        <w:rPr>
          <w:sz w:val="20"/>
          <w:szCs w:val="20"/>
        </w:rPr>
        <w:t>5.4.2.</w:t>
        <w:tab/>
        <w:t>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pPr>
        <w:pStyle w:val="Normal"/>
        <w:tabs>
          <w:tab w:val="clear" w:pos="708"/>
          <w:tab w:val="left" w:pos="1276" w:leader="none"/>
        </w:tabs>
        <w:ind w:firstLine="708"/>
        <w:jc w:val="both"/>
        <w:rPr>
          <w:sz w:val="20"/>
          <w:szCs w:val="20"/>
        </w:rPr>
      </w:pPr>
      <w:r>
        <w:rPr>
          <w:sz w:val="20"/>
          <w:szCs w:val="20"/>
        </w:rPr>
        <w:t>5.4.3.</w:t>
        <w:tab/>
        <w:t>Обеспечить устранение недостатков, выявленных при приемке Заказчиком Товара и в течение гарантийного срока, за свой счет.</w:t>
      </w:r>
    </w:p>
    <w:p>
      <w:pPr>
        <w:pStyle w:val="Normal"/>
        <w:tabs>
          <w:tab w:val="clear" w:pos="708"/>
          <w:tab w:val="left" w:pos="1276" w:leader="none"/>
        </w:tabs>
        <w:ind w:firstLine="708"/>
        <w:jc w:val="both"/>
        <w:rPr>
          <w:sz w:val="20"/>
          <w:szCs w:val="20"/>
        </w:rPr>
      </w:pPr>
      <w:r>
        <w:rPr>
          <w:sz w:val="20"/>
          <w:szCs w:val="20"/>
        </w:rPr>
        <w:t>5.4.4.</w:t>
        <w:tab/>
        <w:t>Приостановить поставку Товара в случае обнаружения не зависящих 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и сообщить об этом Заказчику в течение одного рабочего дня после приостановления поставки.</w:t>
      </w:r>
    </w:p>
    <w:p>
      <w:pPr>
        <w:pStyle w:val="Normal"/>
        <w:tabs>
          <w:tab w:val="clear" w:pos="708"/>
          <w:tab w:val="left" w:pos="1276" w:leader="none"/>
        </w:tabs>
        <w:ind w:firstLine="708"/>
        <w:jc w:val="both"/>
        <w:rPr>
          <w:sz w:val="20"/>
          <w:szCs w:val="20"/>
        </w:rPr>
      </w:pPr>
      <w:r>
        <w:rPr>
          <w:sz w:val="20"/>
          <w:szCs w:val="20"/>
        </w:rPr>
        <w:t>5.4.5.</w:t>
        <w:tab/>
        <w:t>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pPr>
        <w:pStyle w:val="Normal"/>
        <w:tabs>
          <w:tab w:val="clear" w:pos="708"/>
          <w:tab w:val="left" w:pos="1276" w:leader="none"/>
        </w:tabs>
        <w:ind w:firstLine="708"/>
        <w:jc w:val="both"/>
        <w:rPr>
          <w:sz w:val="20"/>
          <w:szCs w:val="20"/>
        </w:rPr>
      </w:pPr>
      <w:r>
        <w:rPr>
          <w:sz w:val="20"/>
          <w:szCs w:val="20"/>
        </w:rPr>
        <w:t>5.5.</w:t>
        <w:tab/>
        <w:t>Поставщик гарантирует, что на момент заключения Контракта:</w:t>
      </w:r>
    </w:p>
    <w:p>
      <w:pPr>
        <w:pStyle w:val="Normal"/>
        <w:tabs>
          <w:tab w:val="clear" w:pos="708"/>
          <w:tab w:val="left" w:pos="1276" w:leader="none"/>
        </w:tabs>
        <w:ind w:firstLine="708"/>
        <w:jc w:val="both"/>
        <w:rPr>
          <w:sz w:val="20"/>
          <w:szCs w:val="20"/>
        </w:rPr>
      </w:pPr>
      <w:r>
        <w:rPr>
          <w:sz w:val="20"/>
          <w:szCs w:val="20"/>
        </w:rPr>
        <w:t>5.5.1.</w:t>
        <w:tab/>
        <w:t>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в бюджеты бюджетной системы Российской Федерации за прошедший финансовый год не превышает 25% балансовой стоимости активов по данным бухгалтерской (бюджетной) отчетности за последний отчетный период.</w:t>
      </w:r>
    </w:p>
    <w:p>
      <w:pPr>
        <w:pStyle w:val="Normal"/>
        <w:tabs>
          <w:tab w:val="clear" w:pos="708"/>
          <w:tab w:val="left" w:pos="1276" w:leader="none"/>
        </w:tabs>
        <w:ind w:firstLine="708"/>
        <w:jc w:val="both"/>
        <w:rPr>
          <w:sz w:val="20"/>
          <w:szCs w:val="20"/>
        </w:rPr>
      </w:pPr>
      <w:r>
        <w:rPr>
          <w:sz w:val="20"/>
          <w:szCs w:val="20"/>
        </w:rPr>
        <w:t>5.5.2.</w:t>
        <w:tab/>
        <w:t>Не обременен обязательствами имущественного характера, способными помешать исполнению обязательств по Контракту.</w:t>
      </w:r>
    </w:p>
    <w:p>
      <w:pPr>
        <w:pStyle w:val="Normal"/>
        <w:tabs>
          <w:tab w:val="clear" w:pos="708"/>
          <w:tab w:val="left" w:pos="1276" w:leader="none"/>
        </w:tabs>
        <w:ind w:firstLine="708"/>
        <w:jc w:val="both"/>
        <w:rPr>
          <w:sz w:val="20"/>
          <w:szCs w:val="20"/>
        </w:rPr>
      </w:pPr>
      <w:r>
        <w:rPr>
          <w:sz w:val="20"/>
          <w:szCs w:val="20"/>
        </w:rPr>
        <w:t>5.5.3.</w:t>
        <w:tab/>
        <w:t>За последние два года не нарушал контрактных (договорных) обязательств и не причинял ущерба (либо погасил причиненный ущерб) по аналогичным контрактам (договорам).</w:t>
      </w:r>
    </w:p>
    <w:p>
      <w:pPr>
        <w:pStyle w:val="Normal"/>
        <w:tabs>
          <w:tab w:val="clear" w:pos="708"/>
          <w:tab w:val="left" w:pos="1276" w:leader="none"/>
        </w:tabs>
        <w:ind w:firstLine="708"/>
        <w:jc w:val="both"/>
        <w:rPr>
          <w:sz w:val="20"/>
          <w:szCs w:val="20"/>
        </w:rPr>
      </w:pPr>
      <w:r>
        <w:rPr>
          <w:sz w:val="20"/>
          <w:szCs w:val="20"/>
        </w:rPr>
        <w:t>5.5.4.</w:t>
        <w:tab/>
        <w:t>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pPr>
        <w:pStyle w:val="Normal"/>
        <w:jc w:val="both"/>
        <w:rPr>
          <w:sz w:val="20"/>
          <w:szCs w:val="20"/>
        </w:rPr>
      </w:pPr>
      <w:r>
        <w:rPr>
          <w:sz w:val="20"/>
          <w:szCs w:val="20"/>
        </w:rPr>
      </w:r>
    </w:p>
    <w:p>
      <w:pPr>
        <w:pStyle w:val="ListParagraph"/>
        <w:numPr>
          <w:ilvl w:val="0"/>
          <w:numId w:val="1"/>
        </w:numPr>
        <w:jc w:val="center"/>
        <w:rPr>
          <w:b/>
          <w:sz w:val="20"/>
          <w:szCs w:val="20"/>
        </w:rPr>
      </w:pPr>
      <w:r>
        <w:rPr>
          <w:rFonts w:cs="Times New Roman" w:ascii="Times New Roman" w:hAnsi="Times New Roman"/>
          <w:b/>
          <w:sz w:val="20"/>
          <w:szCs w:val="20"/>
        </w:rPr>
        <w:t>ГАРАНТИИ</w:t>
      </w:r>
    </w:p>
    <w:p>
      <w:pPr>
        <w:pStyle w:val="Normal"/>
        <w:tabs>
          <w:tab w:val="clear" w:pos="708"/>
          <w:tab w:val="left" w:pos="1276" w:leader="none"/>
        </w:tabs>
        <w:ind w:firstLine="708"/>
        <w:jc w:val="both"/>
        <w:rPr>
          <w:sz w:val="20"/>
          <w:szCs w:val="20"/>
        </w:rPr>
      </w:pPr>
      <w:r>
        <w:rPr>
          <w:sz w:val="20"/>
          <w:szCs w:val="20"/>
        </w:rPr>
        <w:t>6.1.</w:t>
        <w:tab/>
        <w:t>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 / срока годности. Гарантийный срок / срок годности установлен в Техническом задании (Приложение № 2 к Контракту). Гарантийный срок / срок годности исчисляется с момента подписания Заказчиком документа о приемке Товара.</w:t>
      </w:r>
    </w:p>
    <w:p>
      <w:pPr>
        <w:pStyle w:val="Normal"/>
        <w:tabs>
          <w:tab w:val="clear" w:pos="708"/>
          <w:tab w:val="left" w:pos="1276" w:leader="none"/>
        </w:tabs>
        <w:ind w:firstLine="708"/>
        <w:jc w:val="both"/>
        <w:rPr>
          <w:sz w:val="20"/>
          <w:szCs w:val="20"/>
        </w:rPr>
      </w:pPr>
      <w:r>
        <w:rPr>
          <w:sz w:val="20"/>
          <w:szCs w:val="20"/>
        </w:rPr>
        <w:t>6.2.</w:t>
        <w:tab/>
        <w:t>В период действия гарантийного срока / срока годности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Техническом задании (Приложение № 2 к Контракту).</w:t>
      </w:r>
    </w:p>
    <w:p>
      <w:pPr>
        <w:pStyle w:val="Normal"/>
        <w:tabs>
          <w:tab w:val="clear" w:pos="708"/>
          <w:tab w:val="left" w:pos="1276" w:leader="none"/>
        </w:tabs>
        <w:ind w:firstLine="708"/>
        <w:jc w:val="both"/>
        <w:rPr>
          <w:sz w:val="20"/>
          <w:szCs w:val="20"/>
        </w:rPr>
      </w:pPr>
      <w:r>
        <w:rPr>
          <w:sz w:val="20"/>
          <w:szCs w:val="20"/>
        </w:rPr>
        <w:t>6.3.</w:t>
        <w:tab/>
        <w:t>Если в период действия гарантийного срока / срока годности Поставщик осуществляет замену Товара, то на замененный Товар предоставляется гарантия, установленная в Техническом задании (Приложение № 2 к Контракту).</w:t>
      </w:r>
    </w:p>
    <w:p>
      <w:pPr>
        <w:pStyle w:val="Normal"/>
        <w:tabs>
          <w:tab w:val="clear" w:pos="708"/>
          <w:tab w:val="left" w:pos="1276" w:leader="none"/>
        </w:tabs>
        <w:ind w:firstLine="708"/>
        <w:jc w:val="both"/>
        <w:rPr>
          <w:sz w:val="20"/>
          <w:szCs w:val="20"/>
        </w:rPr>
      </w:pPr>
      <w:r>
        <w:rPr>
          <w:sz w:val="20"/>
          <w:szCs w:val="20"/>
        </w:rPr>
        <w:t>6.4.</w:t>
        <w:tab/>
        <w:t>Все расходы, связанные с заменой Товара, ненадлежащего качества, осуществляются за счет Поставщика.</w:t>
      </w:r>
    </w:p>
    <w:p>
      <w:pPr>
        <w:pStyle w:val="Normal"/>
        <w:rPr>
          <w:sz w:val="20"/>
          <w:szCs w:val="20"/>
        </w:rPr>
      </w:pPr>
      <w:r>
        <w:rPr>
          <w:sz w:val="20"/>
          <w:szCs w:val="20"/>
        </w:rPr>
      </w:r>
    </w:p>
    <w:p>
      <w:pPr>
        <w:pStyle w:val="ListParagraph"/>
        <w:numPr>
          <w:ilvl w:val="0"/>
          <w:numId w:val="1"/>
        </w:numPr>
        <w:jc w:val="center"/>
        <w:rPr>
          <w:rFonts w:ascii="Times New Roman" w:hAnsi="Times New Roman" w:cs="Times New Roman"/>
          <w:b/>
          <w:sz w:val="20"/>
          <w:szCs w:val="20"/>
        </w:rPr>
      </w:pPr>
      <w:r>
        <w:rPr>
          <w:rFonts w:cs="Times New Roman" w:ascii="Times New Roman" w:hAnsi="Times New Roman"/>
          <w:b/>
          <w:sz w:val="20"/>
          <w:szCs w:val="20"/>
        </w:rPr>
        <w:t>ОТВЕТСТВЕННОСТЬ СТОРОН</w:t>
      </w:r>
    </w:p>
    <w:p>
      <w:pPr>
        <w:pStyle w:val="Normal"/>
        <w:tabs>
          <w:tab w:val="clear" w:pos="708"/>
          <w:tab w:val="left" w:pos="1276" w:leader="none"/>
        </w:tabs>
        <w:ind w:firstLine="708"/>
        <w:jc w:val="both"/>
        <w:rPr>
          <w:sz w:val="20"/>
          <w:szCs w:val="20"/>
        </w:rPr>
      </w:pPr>
      <w:r>
        <w:rPr>
          <w:sz w:val="20"/>
          <w:szCs w:val="20"/>
        </w:rPr>
        <w:t>7.1.</w:t>
        <w:tab/>
        <w:t>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w:t>
      </w:r>
    </w:p>
    <w:p>
      <w:pPr>
        <w:pStyle w:val="Normal"/>
        <w:tabs>
          <w:tab w:val="clear" w:pos="708"/>
          <w:tab w:val="left" w:pos="1276" w:leader="none"/>
        </w:tabs>
        <w:ind w:firstLine="708"/>
        <w:jc w:val="both"/>
        <w:rPr>
          <w:sz w:val="20"/>
          <w:szCs w:val="20"/>
        </w:rPr>
      </w:pPr>
      <w:r>
        <w:rPr>
          <w:sz w:val="20"/>
          <w:szCs w:val="20"/>
        </w:rPr>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p>
    <w:p>
      <w:pPr>
        <w:pStyle w:val="Normal"/>
        <w:tabs>
          <w:tab w:val="clear" w:pos="708"/>
          <w:tab w:val="left" w:pos="1276" w:leader="none"/>
        </w:tabs>
        <w:ind w:firstLine="708"/>
        <w:jc w:val="both"/>
        <w:rPr>
          <w:sz w:val="20"/>
          <w:szCs w:val="20"/>
        </w:rPr>
      </w:pPr>
      <w:r>
        <w:rPr>
          <w:sz w:val="20"/>
          <w:szCs w:val="20"/>
        </w:rPr>
        <w:t>7.2.</w:t>
        <w:tab/>
        <w:t>Пени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pPr>
        <w:pStyle w:val="Normal"/>
        <w:tabs>
          <w:tab w:val="clear" w:pos="708"/>
          <w:tab w:val="left" w:pos="1276" w:leader="none"/>
        </w:tabs>
        <w:ind w:firstLine="708"/>
        <w:jc w:val="both"/>
        <w:rPr>
          <w:sz w:val="20"/>
          <w:szCs w:val="20"/>
        </w:rPr>
      </w:pPr>
      <w:r>
        <w:rPr>
          <w:sz w:val="20"/>
          <w:szCs w:val="20"/>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pPr>
        <w:pStyle w:val="Normal"/>
        <w:tabs>
          <w:tab w:val="clear" w:pos="708"/>
          <w:tab w:val="left" w:pos="1276" w:leader="none"/>
        </w:tabs>
        <w:ind w:firstLine="708"/>
        <w:jc w:val="both"/>
        <w:rPr>
          <w:sz w:val="20"/>
          <w:szCs w:val="20"/>
        </w:rPr>
      </w:pPr>
      <w:r>
        <w:rPr>
          <w:sz w:val="20"/>
          <w:szCs w:val="20"/>
        </w:rPr>
        <w:t>7.3.</w:t>
        <w:tab/>
        <w:t>Пени начисляются за каждый день просрочки исполнения Поставщиком обязательства, предусмотренного Контрактом, в размере 1/300 (одной трехсотой) действующей на дату уплаты пеней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Поставщиком.</w:t>
      </w:r>
    </w:p>
    <w:p>
      <w:pPr>
        <w:pStyle w:val="Normal"/>
        <w:tabs>
          <w:tab w:val="clear" w:pos="708"/>
          <w:tab w:val="left" w:pos="1276" w:leader="none"/>
        </w:tabs>
        <w:ind w:firstLine="708"/>
        <w:jc w:val="both"/>
        <w:rPr>
          <w:sz w:val="20"/>
          <w:szCs w:val="20"/>
        </w:rPr>
      </w:pPr>
      <w:r>
        <w:rPr>
          <w:sz w:val="20"/>
          <w:szCs w:val="20"/>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10 % цены Контракта.</w:t>
      </w:r>
    </w:p>
    <w:p>
      <w:pPr>
        <w:pStyle w:val="Normal"/>
        <w:tabs>
          <w:tab w:val="clear" w:pos="708"/>
          <w:tab w:val="left" w:pos="1276" w:leader="none"/>
        </w:tabs>
        <w:ind w:firstLine="708"/>
        <w:jc w:val="both"/>
        <w:rPr>
          <w:sz w:val="20"/>
          <w:szCs w:val="20"/>
        </w:rPr>
      </w:pPr>
      <w:r>
        <w:rPr>
          <w:sz w:val="20"/>
          <w:szCs w:val="20"/>
        </w:rP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pPr>
        <w:pStyle w:val="Normal"/>
        <w:tabs>
          <w:tab w:val="clear" w:pos="708"/>
          <w:tab w:val="left" w:pos="1276" w:leader="none"/>
        </w:tabs>
        <w:ind w:firstLine="708"/>
        <w:jc w:val="both"/>
        <w:rPr>
          <w:sz w:val="20"/>
          <w:szCs w:val="20"/>
        </w:rPr>
      </w:pPr>
      <w:r>
        <w:rPr>
          <w:sz w:val="20"/>
          <w:szCs w:val="20"/>
        </w:rPr>
        <w:t>7.4.</w:t>
        <w:tab/>
        <w:t>Общая сумма начисленной неустойки (штрафов, пеней) за неисполнение или ненадлежащее исполнение Поставщиком обязательств, предусмотренных Контрактом, не может превышать цену Контракта.</w:t>
      </w:r>
    </w:p>
    <w:p>
      <w:pPr>
        <w:pStyle w:val="Normal"/>
        <w:tabs>
          <w:tab w:val="clear" w:pos="708"/>
          <w:tab w:val="left" w:pos="1276" w:leader="none"/>
        </w:tabs>
        <w:ind w:firstLine="708"/>
        <w:jc w:val="both"/>
        <w:rPr>
          <w:sz w:val="20"/>
          <w:szCs w:val="20"/>
        </w:rPr>
      </w:pPr>
      <w:r>
        <w:rPr>
          <w:sz w:val="20"/>
          <w:szCs w:val="20"/>
        </w:rPr>
        <w:t>Общая сумма начисленной неустойки (штрафов, пеней) за ненадлежащее исполнение Заказчиком обязательств, предусмотренных Контрактом, не может превышать цену Контракта.</w:t>
      </w:r>
    </w:p>
    <w:p>
      <w:pPr>
        <w:pStyle w:val="Normal"/>
        <w:tabs>
          <w:tab w:val="clear" w:pos="708"/>
          <w:tab w:val="left" w:pos="1276" w:leader="none"/>
        </w:tabs>
        <w:ind w:firstLine="708"/>
        <w:jc w:val="both"/>
        <w:rPr>
          <w:sz w:val="20"/>
          <w:szCs w:val="20"/>
        </w:rPr>
      </w:pPr>
      <w:r>
        <w:rPr>
          <w:sz w:val="20"/>
          <w:szCs w:val="20"/>
        </w:rPr>
        <w:t>7.5.</w:t>
        <w:tab/>
        <w:t>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pPr>
        <w:pStyle w:val="Normal"/>
        <w:tabs>
          <w:tab w:val="clear" w:pos="708"/>
          <w:tab w:val="left" w:pos="1276" w:leader="none"/>
        </w:tabs>
        <w:ind w:firstLine="708"/>
        <w:jc w:val="both"/>
        <w:rPr>
          <w:sz w:val="20"/>
          <w:szCs w:val="20"/>
        </w:rPr>
      </w:pPr>
      <w:r>
        <w:rPr>
          <w:sz w:val="20"/>
          <w:szCs w:val="20"/>
        </w:rPr>
        <w:t>7.6.</w:t>
        <w:tab/>
        <w:t xml:space="preserve">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 </w:t>
      </w:r>
    </w:p>
    <w:p>
      <w:pPr>
        <w:pStyle w:val="Normal"/>
        <w:jc w:val="both"/>
        <w:rPr>
          <w:sz w:val="20"/>
          <w:szCs w:val="20"/>
        </w:rPr>
      </w:pPr>
      <w:r>
        <w:rPr>
          <w:sz w:val="20"/>
          <w:szCs w:val="20"/>
        </w:rPr>
      </w:r>
    </w:p>
    <w:p>
      <w:pPr>
        <w:pStyle w:val="ListParagraph"/>
        <w:numPr>
          <w:ilvl w:val="0"/>
          <w:numId w:val="1"/>
        </w:numPr>
        <w:jc w:val="center"/>
        <w:rPr>
          <w:rFonts w:ascii="Times New Roman" w:hAnsi="Times New Roman" w:cs="Times New Roman"/>
          <w:b/>
          <w:sz w:val="20"/>
          <w:szCs w:val="20"/>
        </w:rPr>
      </w:pPr>
      <w:r>
        <w:rPr>
          <w:rFonts w:cs="Times New Roman" w:ascii="Times New Roman" w:hAnsi="Times New Roman"/>
          <w:b/>
          <w:sz w:val="20"/>
          <w:szCs w:val="20"/>
        </w:rPr>
        <w:t>СРОК ДЕЙСТВИЯ, ПОРЯДОК ИЗМЕНЕНИЯ И РАСТОРЖЕНИЯ КОНТРАКТА</w:t>
      </w:r>
    </w:p>
    <w:p>
      <w:pPr>
        <w:pStyle w:val="Normal"/>
        <w:tabs>
          <w:tab w:val="clear" w:pos="708"/>
          <w:tab w:val="left" w:pos="1276" w:leader="none"/>
        </w:tabs>
        <w:ind w:firstLine="708"/>
        <w:jc w:val="both"/>
        <w:rPr>
          <w:sz w:val="20"/>
          <w:szCs w:val="20"/>
        </w:rPr>
      </w:pPr>
      <w:r>
        <w:rPr>
          <w:sz w:val="20"/>
          <w:szCs w:val="20"/>
        </w:rPr>
        <w:t>8.1.</w:t>
        <w:tab/>
        <w:t>Контракт вступает в силу со дня его подписания Сторонами.</w:t>
      </w:r>
    </w:p>
    <w:p>
      <w:pPr>
        <w:pStyle w:val="Normal"/>
        <w:tabs>
          <w:tab w:val="clear" w:pos="708"/>
          <w:tab w:val="left" w:pos="1276" w:leader="none"/>
        </w:tabs>
        <w:ind w:firstLine="708"/>
        <w:jc w:val="both"/>
        <w:rPr>
          <w:sz w:val="20"/>
          <w:szCs w:val="20"/>
        </w:rPr>
      </w:pPr>
      <w:r>
        <w:rPr>
          <w:sz w:val="20"/>
          <w:szCs w:val="20"/>
        </w:rPr>
        <w:t>8.2.</w:t>
        <w:tab/>
        <w:t xml:space="preserve">Контракт действует </w:t>
      </w:r>
      <w:r>
        <w:rPr>
          <w:b/>
          <w:sz w:val="20"/>
          <w:szCs w:val="20"/>
        </w:rPr>
        <w:t>по 31.12.2026 года,</w:t>
      </w:r>
      <w:r>
        <w:rPr>
          <w:sz w:val="20"/>
          <w:szCs w:val="20"/>
        </w:rPr>
        <w:t xml:space="preserve"> до полного исполнения Сторонами обязательств по Контракту в полном объеме, в том числе и гарантийных обязательств.</w:t>
      </w:r>
    </w:p>
    <w:p>
      <w:pPr>
        <w:pStyle w:val="Normal"/>
        <w:tabs>
          <w:tab w:val="clear" w:pos="708"/>
          <w:tab w:val="left" w:pos="1276" w:leader="none"/>
        </w:tabs>
        <w:ind w:firstLine="708"/>
        <w:jc w:val="both"/>
        <w:rPr>
          <w:sz w:val="20"/>
          <w:szCs w:val="20"/>
        </w:rPr>
      </w:pPr>
      <w:r>
        <w:rPr>
          <w:sz w:val="20"/>
          <w:szCs w:val="20"/>
        </w:rPr>
        <w:t>8.3.</w:t>
        <w:tab/>
        <w:t>Контракт может быть расторгнут:</w:t>
      </w:r>
    </w:p>
    <w:p>
      <w:pPr>
        <w:pStyle w:val="Normal"/>
        <w:tabs>
          <w:tab w:val="clear" w:pos="708"/>
          <w:tab w:val="left" w:pos="1276" w:leader="none"/>
        </w:tabs>
        <w:ind w:firstLine="708"/>
        <w:jc w:val="both"/>
        <w:rPr>
          <w:sz w:val="20"/>
          <w:szCs w:val="20"/>
        </w:rPr>
      </w:pPr>
      <w:r>
        <w:rPr>
          <w:sz w:val="20"/>
          <w:szCs w:val="20"/>
        </w:rPr>
        <w:t>а)</w:t>
        <w:tab/>
        <w:t>по соглашению Сторон;</w:t>
      </w:r>
    </w:p>
    <w:p>
      <w:pPr>
        <w:pStyle w:val="Normal"/>
        <w:tabs>
          <w:tab w:val="clear" w:pos="708"/>
          <w:tab w:val="left" w:pos="1276" w:leader="none"/>
        </w:tabs>
        <w:ind w:firstLine="708"/>
        <w:jc w:val="both"/>
        <w:rPr>
          <w:sz w:val="20"/>
          <w:szCs w:val="20"/>
        </w:rPr>
      </w:pPr>
      <w:r>
        <w:rPr>
          <w:sz w:val="20"/>
          <w:szCs w:val="20"/>
        </w:rPr>
        <w:t>б)</w:t>
        <w:tab/>
        <w:t>по решению суда;</w:t>
      </w:r>
    </w:p>
    <w:p>
      <w:pPr>
        <w:pStyle w:val="Normal"/>
        <w:tabs>
          <w:tab w:val="clear" w:pos="708"/>
          <w:tab w:val="left" w:pos="1276" w:leader="none"/>
        </w:tabs>
        <w:ind w:firstLine="708"/>
        <w:jc w:val="both"/>
        <w:rPr>
          <w:sz w:val="20"/>
          <w:szCs w:val="20"/>
        </w:rPr>
      </w:pPr>
      <w:r>
        <w:rPr>
          <w:sz w:val="20"/>
          <w:szCs w:val="20"/>
        </w:rPr>
        <w:t>в)</w:t>
        <w:tab/>
        <w:t>в случае одностороннего отказа Стороны Контракта от исполнения Контракта в соответствии с гражданским законодательством.</w:t>
      </w:r>
    </w:p>
    <w:p>
      <w:pPr>
        <w:pStyle w:val="Normal"/>
        <w:tabs>
          <w:tab w:val="clear" w:pos="708"/>
          <w:tab w:val="left" w:pos="1276" w:leader="none"/>
        </w:tabs>
        <w:ind w:firstLine="708"/>
        <w:jc w:val="both"/>
        <w:rPr>
          <w:sz w:val="20"/>
          <w:szCs w:val="20"/>
        </w:rPr>
      </w:pPr>
      <w:r>
        <w:rPr>
          <w:sz w:val="20"/>
          <w:szCs w:val="20"/>
        </w:rPr>
        <w:t>8.4.</w:t>
        <w:tab/>
        <w:t>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договора купли-продажи и отдельных видов договоров купли-продажи.</w:t>
      </w:r>
    </w:p>
    <w:p>
      <w:pPr>
        <w:pStyle w:val="Normal"/>
        <w:tabs>
          <w:tab w:val="clear" w:pos="708"/>
          <w:tab w:val="left" w:pos="1276" w:leader="none"/>
        </w:tabs>
        <w:ind w:firstLine="708"/>
        <w:jc w:val="both"/>
        <w:rPr>
          <w:sz w:val="20"/>
          <w:szCs w:val="20"/>
        </w:rPr>
      </w:pPr>
      <w:r>
        <w:rPr>
          <w:sz w:val="20"/>
          <w:szCs w:val="20"/>
        </w:rPr>
        <w:t>8.5.</w:t>
        <w:tab/>
        <w:t>Односторонний отказ от исполнения Контракта должен происходить в порядке, предусмотренном Законом о контрактной системе.</w:t>
      </w:r>
    </w:p>
    <w:p>
      <w:pPr>
        <w:pStyle w:val="Normal"/>
        <w:tabs>
          <w:tab w:val="clear" w:pos="708"/>
          <w:tab w:val="left" w:pos="1276" w:leader="none"/>
        </w:tabs>
        <w:ind w:firstLine="708"/>
        <w:jc w:val="both"/>
        <w:rPr>
          <w:sz w:val="20"/>
          <w:szCs w:val="20"/>
        </w:rPr>
      </w:pPr>
      <w:r>
        <w:rPr>
          <w:sz w:val="20"/>
          <w:szCs w:val="20"/>
        </w:rPr>
        <w:t>8.6.</w:t>
        <w:tab/>
        <w:t>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pPr>
        <w:pStyle w:val="Normal"/>
        <w:tabs>
          <w:tab w:val="clear" w:pos="708"/>
          <w:tab w:val="left" w:pos="1276" w:leader="none"/>
        </w:tabs>
        <w:ind w:firstLine="708"/>
        <w:jc w:val="both"/>
        <w:rPr>
          <w:sz w:val="20"/>
          <w:szCs w:val="20"/>
        </w:rPr>
      </w:pPr>
      <w:r>
        <w:rPr>
          <w:sz w:val="20"/>
          <w:szCs w:val="20"/>
        </w:rPr>
        <w:t>8.7.</w:t>
        <w:tab/>
        <w:t>При исполнении Контракта по соглашению Сторон могут быть внесены изменения в Контракт только в случаях, предусмотренных статьями 34, 95 Закона о контрактной системе.</w:t>
      </w:r>
    </w:p>
    <w:p>
      <w:pPr>
        <w:pStyle w:val="Normal"/>
        <w:tabs>
          <w:tab w:val="clear" w:pos="708"/>
          <w:tab w:val="left" w:pos="1276" w:leader="none"/>
        </w:tabs>
        <w:ind w:firstLine="708"/>
        <w:jc w:val="both"/>
        <w:rPr>
          <w:sz w:val="20"/>
          <w:szCs w:val="20"/>
        </w:rPr>
      </w:pPr>
      <w:r>
        <w:rPr>
          <w:sz w:val="20"/>
          <w:szCs w:val="20"/>
        </w:rPr>
        <w:t>8.8.</w:t>
        <w:tab/>
        <w:t>Внесение изменений и дополнений, не противоречащих нормам действующего законодательства Российской Федерации, в условия Контракта осуществляется путем заключения Сторонами дополнительных соглашений к Контракту в письменной форме либо в форме электронного документа, подписанного усиленными электронными подписями Сторон, которые являются его неотъемлемой частью.</w:t>
      </w:r>
    </w:p>
    <w:p>
      <w:pPr>
        <w:pStyle w:val="Normal"/>
        <w:rPr>
          <w:sz w:val="20"/>
          <w:szCs w:val="20"/>
        </w:rPr>
      </w:pPr>
      <w:r>
        <w:rPr>
          <w:sz w:val="20"/>
          <w:szCs w:val="20"/>
        </w:rPr>
      </w:r>
    </w:p>
    <w:p>
      <w:pPr>
        <w:pStyle w:val="ListParagraph"/>
        <w:numPr>
          <w:ilvl w:val="0"/>
          <w:numId w:val="1"/>
        </w:numPr>
        <w:jc w:val="center"/>
        <w:rPr>
          <w:rFonts w:ascii="Times New Roman" w:hAnsi="Times New Roman" w:cs="Times New Roman"/>
          <w:b/>
          <w:sz w:val="20"/>
          <w:szCs w:val="20"/>
        </w:rPr>
      </w:pPr>
      <w:r>
        <w:rPr>
          <w:rFonts w:cs="Times New Roman" w:ascii="Times New Roman" w:hAnsi="Times New Roman"/>
          <w:b/>
          <w:sz w:val="20"/>
          <w:szCs w:val="20"/>
        </w:rPr>
        <w:t>ПОРЯДОК УРЕГУЛИРОВАНИЯ СПОРОВ</w:t>
      </w:r>
    </w:p>
    <w:p>
      <w:pPr>
        <w:pStyle w:val="Normal"/>
        <w:tabs>
          <w:tab w:val="clear" w:pos="708"/>
          <w:tab w:val="left" w:pos="1276" w:leader="none"/>
        </w:tabs>
        <w:ind w:firstLine="708"/>
        <w:jc w:val="both"/>
        <w:rPr>
          <w:sz w:val="20"/>
          <w:szCs w:val="20"/>
        </w:rPr>
      </w:pPr>
      <w:r>
        <w:rPr>
          <w:sz w:val="20"/>
          <w:szCs w:val="20"/>
        </w:rPr>
        <w:t>9.1.</w:t>
        <w:tab/>
        <w:t>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pPr>
        <w:pStyle w:val="Normal"/>
        <w:tabs>
          <w:tab w:val="clear" w:pos="708"/>
          <w:tab w:val="left" w:pos="1276" w:leader="none"/>
        </w:tabs>
        <w:ind w:firstLine="708"/>
        <w:jc w:val="both"/>
        <w:rPr>
          <w:sz w:val="20"/>
          <w:szCs w:val="20"/>
        </w:rPr>
      </w:pPr>
      <w:r>
        <w:rPr>
          <w:sz w:val="20"/>
          <w:szCs w:val="20"/>
        </w:rPr>
        <w:t>9.2.</w:t>
        <w:tab/>
        <w:t>В случае не достижения взаимного согласия все споры по Контракту разрешаются в Арбитражном суде города Санкт-Петербурга и Ленинградской области.</w:t>
      </w:r>
    </w:p>
    <w:p>
      <w:pPr>
        <w:pStyle w:val="Normal"/>
        <w:tabs>
          <w:tab w:val="clear" w:pos="708"/>
          <w:tab w:val="left" w:pos="1276" w:leader="none"/>
        </w:tabs>
        <w:ind w:firstLine="708"/>
        <w:jc w:val="both"/>
        <w:rPr>
          <w:sz w:val="20"/>
          <w:szCs w:val="20"/>
        </w:rPr>
      </w:pPr>
      <w:r>
        <w:rPr>
          <w:sz w:val="20"/>
          <w:szCs w:val="20"/>
        </w:rPr>
        <w:t>9.3.</w:t>
        <w:tab/>
        <w:t>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с даты ее получения.</w:t>
      </w:r>
    </w:p>
    <w:p>
      <w:pPr>
        <w:pStyle w:val="Normal"/>
        <w:rPr>
          <w:sz w:val="20"/>
          <w:szCs w:val="20"/>
        </w:rPr>
      </w:pPr>
      <w:r>
        <w:rPr>
          <w:sz w:val="20"/>
          <w:szCs w:val="20"/>
        </w:rPr>
      </w:r>
    </w:p>
    <w:p>
      <w:pPr>
        <w:pStyle w:val="ListParagraph"/>
        <w:numPr>
          <w:ilvl w:val="0"/>
          <w:numId w:val="1"/>
        </w:numPr>
        <w:jc w:val="center"/>
        <w:rPr>
          <w:rFonts w:ascii="Times New Roman" w:hAnsi="Times New Roman" w:cs="Times New Roman"/>
          <w:b/>
          <w:sz w:val="20"/>
          <w:szCs w:val="20"/>
        </w:rPr>
      </w:pPr>
      <w:r>
        <w:rPr>
          <w:rFonts w:cs="Times New Roman" w:ascii="Times New Roman" w:hAnsi="Times New Roman"/>
          <w:b/>
          <w:sz w:val="20"/>
          <w:szCs w:val="20"/>
        </w:rPr>
        <w:t>ПРОЧИЕ УСЛОВИЯ</w:t>
      </w:r>
    </w:p>
    <w:p>
      <w:pPr>
        <w:pStyle w:val="Normal"/>
        <w:tabs>
          <w:tab w:val="clear" w:pos="708"/>
          <w:tab w:val="left" w:pos="1276" w:leader="none"/>
        </w:tabs>
        <w:ind w:firstLine="708"/>
        <w:jc w:val="both"/>
        <w:rPr>
          <w:sz w:val="20"/>
          <w:szCs w:val="20"/>
        </w:rPr>
      </w:pPr>
      <w:r>
        <w:rPr>
          <w:sz w:val="20"/>
          <w:szCs w:val="20"/>
        </w:rPr>
        <w:t>10.1.</w:t>
        <w:tab/>
        <w:t>Все уведомления (сообщения) Сторон, связанные с исполнением Контракта, передаются нарочным под расписку о вручении, направляются в письменной форме в виде почтового отправления заказным письмом с уведомлением о вручении по адресу Стороны, указанному в Контракте, или с использованием электронной почты с последующим представлением оригинала по почте или нарочным.</w:t>
      </w:r>
    </w:p>
    <w:p>
      <w:pPr>
        <w:pStyle w:val="Normal"/>
        <w:tabs>
          <w:tab w:val="clear" w:pos="708"/>
          <w:tab w:val="left" w:pos="1276" w:leader="none"/>
        </w:tabs>
        <w:ind w:firstLine="708"/>
        <w:jc w:val="both"/>
        <w:rPr>
          <w:sz w:val="20"/>
          <w:szCs w:val="20"/>
        </w:rPr>
      </w:pPr>
      <w:r>
        <w:rPr>
          <w:sz w:val="20"/>
          <w:szCs w:val="20"/>
        </w:rPr>
        <w:t>В случае передачи уведомлений (сообщений) нарочным под расписку, датой получения уведомления признается дата фактического вручения уведомления (сообщения) уполномоченному представителю принимающей Стороны под подпись.</w:t>
      </w:r>
    </w:p>
    <w:p>
      <w:pPr>
        <w:pStyle w:val="Normal"/>
        <w:tabs>
          <w:tab w:val="clear" w:pos="708"/>
          <w:tab w:val="left" w:pos="1276" w:leader="none"/>
        </w:tabs>
        <w:ind w:firstLine="708"/>
        <w:jc w:val="both"/>
        <w:rPr>
          <w:sz w:val="20"/>
          <w:szCs w:val="20"/>
        </w:rPr>
      </w:pPr>
      <w:r>
        <w:rPr>
          <w:sz w:val="20"/>
          <w:szCs w:val="20"/>
        </w:rPr>
        <w:t>В случае направления уведомлений (сообщений) с использованием почты, датой получения уведомления (сообщения)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14 (четырнадцати) календарных дней с даты направления уведомления по почте заказным письмом с уведомлением о вручении.</w:t>
      </w:r>
    </w:p>
    <w:p>
      <w:pPr>
        <w:pStyle w:val="Normal"/>
        <w:tabs>
          <w:tab w:val="clear" w:pos="708"/>
          <w:tab w:val="left" w:pos="1276" w:leader="none"/>
        </w:tabs>
        <w:ind w:firstLine="708"/>
        <w:jc w:val="both"/>
        <w:rPr>
          <w:sz w:val="20"/>
          <w:szCs w:val="20"/>
        </w:rPr>
      </w:pPr>
      <w:r>
        <w:rPr>
          <w:sz w:val="20"/>
          <w:szCs w:val="20"/>
        </w:rPr>
        <w:t>В случае отправления уведомлений (сообщений) посредством электронной почты уведомления (сообщения) считаются полученными Стороной в день их отправки. Документы, направленные по электронной почте, имеют юридическую силу оригиналов до момента предоставления оригиналов.</w:t>
      </w:r>
    </w:p>
    <w:p>
      <w:pPr>
        <w:pStyle w:val="Normal"/>
        <w:tabs>
          <w:tab w:val="clear" w:pos="708"/>
          <w:tab w:val="left" w:pos="1276" w:leader="none"/>
        </w:tabs>
        <w:ind w:firstLine="708"/>
        <w:jc w:val="both"/>
        <w:rPr>
          <w:sz w:val="20"/>
          <w:szCs w:val="20"/>
        </w:rPr>
      </w:pPr>
      <w:r>
        <w:rPr>
          <w:sz w:val="20"/>
          <w:szCs w:val="20"/>
        </w:rPr>
        <w:t>10.2.</w:t>
        <w:tab/>
        <w:t>В случае изменения у одной из Сторон наименования, адреса места нахождения, почтового адреса, номеров телефонов, факсов, адресов электронной почты или банковских реквизитов, а также в случае реорганизации такая Сторона обязана письменно известить об этом другую Сторону за 15 (пятнадцать) рабочих дней до момента внесения вышеуказанных изменений.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разделе 12 Контракта счет, несет Поставщик.</w:t>
      </w:r>
    </w:p>
    <w:p>
      <w:pPr>
        <w:pStyle w:val="Normal"/>
        <w:tabs>
          <w:tab w:val="clear" w:pos="708"/>
          <w:tab w:val="left" w:pos="1276" w:leader="none"/>
        </w:tabs>
        <w:ind w:firstLine="708"/>
        <w:jc w:val="both"/>
        <w:rPr>
          <w:sz w:val="20"/>
          <w:szCs w:val="20"/>
        </w:rPr>
      </w:pPr>
      <w:r>
        <w:rPr>
          <w:sz w:val="20"/>
          <w:szCs w:val="20"/>
        </w:rPr>
        <w:t>10.3.</w:t>
        <w:tab/>
        <w:t>Во всем, что не предусмотрено Контрактом, Стороны руководствуются законодательством Российской Федерации.</w:t>
      </w:r>
    </w:p>
    <w:p>
      <w:pPr>
        <w:pStyle w:val="Normal"/>
        <w:jc w:val="both"/>
        <w:rPr>
          <w:sz w:val="20"/>
          <w:szCs w:val="20"/>
        </w:rPr>
      </w:pPr>
      <w:r>
        <w:rPr>
          <w:sz w:val="20"/>
          <w:szCs w:val="20"/>
        </w:rPr>
      </w:r>
    </w:p>
    <w:p>
      <w:pPr>
        <w:pStyle w:val="ListParagraph"/>
        <w:numPr>
          <w:ilvl w:val="0"/>
          <w:numId w:val="1"/>
        </w:numPr>
        <w:jc w:val="center"/>
        <w:rPr>
          <w:b/>
          <w:sz w:val="20"/>
          <w:szCs w:val="20"/>
        </w:rPr>
      </w:pPr>
      <w:r>
        <w:rPr>
          <w:rFonts w:cs="Times New Roman" w:ascii="Times New Roman" w:hAnsi="Times New Roman"/>
          <w:b/>
          <w:sz w:val="20"/>
          <w:szCs w:val="20"/>
        </w:rPr>
        <w:t>ПРИЛОЖЕНИЯ</w:t>
      </w:r>
    </w:p>
    <w:p>
      <w:pPr>
        <w:pStyle w:val="Normal"/>
        <w:tabs>
          <w:tab w:val="clear" w:pos="708"/>
          <w:tab w:val="left" w:pos="1276" w:leader="none"/>
        </w:tabs>
        <w:ind w:firstLine="708"/>
        <w:jc w:val="both"/>
        <w:rPr>
          <w:sz w:val="20"/>
          <w:szCs w:val="20"/>
        </w:rPr>
      </w:pPr>
      <w:r>
        <w:rPr>
          <w:sz w:val="20"/>
          <w:szCs w:val="20"/>
        </w:rPr>
        <w:t>11.1</w:t>
        <w:tab/>
        <w:t>Неотъемлемой частью Контракта являются:</w:t>
      </w:r>
    </w:p>
    <w:p>
      <w:pPr>
        <w:pStyle w:val="Normal"/>
        <w:tabs>
          <w:tab w:val="clear" w:pos="708"/>
          <w:tab w:val="left" w:pos="1701" w:leader="none"/>
        </w:tabs>
        <w:ind w:firstLine="708"/>
        <w:jc w:val="both"/>
        <w:rPr>
          <w:sz w:val="20"/>
          <w:szCs w:val="20"/>
        </w:rPr>
      </w:pPr>
      <w:r>
        <w:rPr>
          <w:sz w:val="20"/>
          <w:szCs w:val="20"/>
        </w:rPr>
        <w:t>Приложение № 1 «Спецификация»;</w:t>
      </w:r>
    </w:p>
    <w:p>
      <w:pPr>
        <w:pStyle w:val="Normal"/>
        <w:tabs>
          <w:tab w:val="clear" w:pos="708"/>
          <w:tab w:val="left" w:pos="1701" w:leader="none"/>
        </w:tabs>
        <w:ind w:firstLine="708"/>
        <w:jc w:val="both"/>
        <w:rPr>
          <w:sz w:val="20"/>
          <w:szCs w:val="20"/>
        </w:rPr>
      </w:pPr>
      <w:r>
        <w:rPr>
          <w:sz w:val="20"/>
          <w:szCs w:val="20"/>
        </w:rPr>
        <w:t>Приложение № 2 «Техническое задание»;</w:t>
      </w:r>
    </w:p>
    <w:p>
      <w:pPr>
        <w:pStyle w:val="Normal"/>
        <w:jc w:val="both"/>
        <w:rPr>
          <w:sz w:val="20"/>
          <w:szCs w:val="20"/>
        </w:rPr>
      </w:pPr>
      <w:r>
        <w:rPr>
          <w:sz w:val="20"/>
          <w:szCs w:val="20"/>
        </w:rPr>
      </w:r>
    </w:p>
    <w:p>
      <w:pPr>
        <w:pStyle w:val="ListParagraph"/>
        <w:numPr>
          <w:ilvl w:val="0"/>
          <w:numId w:val="1"/>
        </w:numPr>
        <w:jc w:val="center"/>
        <w:rPr>
          <w:rFonts w:ascii="Times New Roman" w:hAnsi="Times New Roman" w:cs="Times New Roman"/>
          <w:b/>
          <w:sz w:val="20"/>
          <w:szCs w:val="20"/>
        </w:rPr>
      </w:pPr>
      <w:r>
        <w:rPr>
          <w:rFonts w:cs="Times New Roman" w:ascii="Times New Roman" w:hAnsi="Times New Roman"/>
          <w:b/>
          <w:sz w:val="20"/>
          <w:szCs w:val="20"/>
        </w:rPr>
        <w:t>РЕКВИЗИТЫ И ПОДПИСИ СТОРОН</w:t>
      </w:r>
    </w:p>
    <w:tbl>
      <w:tblPr>
        <w:tblW w:w="9781" w:type="dxa"/>
        <w:jc w:val="center"/>
        <w:tblInd w:w="0" w:type="dxa"/>
        <w:tblLayout w:type="fixed"/>
        <w:tblCellMar>
          <w:top w:w="0" w:type="dxa"/>
          <w:left w:w="108" w:type="dxa"/>
          <w:bottom w:w="0" w:type="dxa"/>
          <w:right w:w="108" w:type="dxa"/>
        </w:tblCellMar>
        <w:tblLook w:val="0000" w:noHBand="0" w:noVBand="0" w:firstColumn="0" w:lastRow="0" w:lastColumn="0" w:firstRow="0"/>
      </w:tblPr>
      <w:tblGrid>
        <w:gridCol w:w="5107"/>
        <w:gridCol w:w="4673"/>
      </w:tblGrid>
      <w:tr>
        <w:trPr>
          <w:trHeight w:val="1" w:hRule="atLeast"/>
        </w:trPr>
        <w:tc>
          <w:tcPr>
            <w:tcW w:w="5107" w:type="dxa"/>
            <w:tcBorders>
              <w:top w:val="single" w:sz="4" w:space="0" w:color="000000"/>
              <w:left w:val="single" w:sz="4" w:space="0" w:color="000000"/>
              <w:bottom w:val="single" w:sz="4" w:space="0" w:color="000000"/>
              <w:right w:val="single" w:sz="4" w:space="0" w:color="000000"/>
            </w:tcBorders>
            <w:shd w:color="000000" w:fill="FFFFFF" w:val="clear"/>
            <w:vAlign w:val="center"/>
          </w:tcPr>
          <w:p>
            <w:pPr>
              <w:pStyle w:val="Normal"/>
              <w:jc w:val="center"/>
              <w:rPr>
                <w:sz w:val="20"/>
                <w:szCs w:val="20"/>
              </w:rPr>
            </w:pPr>
            <w:r>
              <w:rPr>
                <w:b/>
                <w:sz w:val="20"/>
                <w:szCs w:val="20"/>
              </w:rPr>
              <w:t>Заказчик:</w:t>
            </w:r>
          </w:p>
        </w:tc>
        <w:tc>
          <w:tcPr>
            <w:tcW w:w="4673" w:type="dxa"/>
            <w:tcBorders>
              <w:top w:val="single" w:sz="4" w:space="0" w:color="000000"/>
              <w:left w:val="single" w:sz="4" w:space="0" w:color="000000"/>
              <w:bottom w:val="single" w:sz="4" w:space="0" w:color="000000"/>
              <w:right w:val="single" w:sz="4" w:space="0" w:color="000000"/>
            </w:tcBorders>
            <w:shd w:color="000000" w:fill="FFFFFF" w:val="clear"/>
            <w:vAlign w:val="center"/>
          </w:tcPr>
          <w:p>
            <w:pPr>
              <w:pStyle w:val="Normal"/>
              <w:jc w:val="center"/>
              <w:rPr>
                <w:sz w:val="20"/>
                <w:szCs w:val="20"/>
              </w:rPr>
            </w:pPr>
            <w:r>
              <w:rPr>
                <w:b/>
                <w:sz w:val="20"/>
                <w:szCs w:val="20"/>
              </w:rPr>
              <w:t>Поставщик:</w:t>
            </w:r>
          </w:p>
        </w:tc>
      </w:tr>
      <w:tr>
        <w:trPr>
          <w:trHeight w:val="1" w:hRule="atLeast"/>
        </w:trPr>
        <w:tc>
          <w:tcPr>
            <w:tcW w:w="5107" w:type="dxa"/>
            <w:tcBorders>
              <w:top w:val="single" w:sz="4" w:space="0" w:color="000000"/>
              <w:left w:val="single" w:sz="4" w:space="0" w:color="000000"/>
              <w:bottom w:val="single" w:sz="4" w:space="0" w:color="000000"/>
              <w:right w:val="single" w:sz="4" w:space="0" w:color="000000"/>
            </w:tcBorders>
            <w:shd w:color="000000" w:fill="FFFFFF" w:val="clear"/>
          </w:tcPr>
          <w:p>
            <w:pPr>
              <w:pStyle w:val="Normal"/>
              <w:rPr>
                <w:b/>
                <w:sz w:val="20"/>
                <w:szCs w:val="20"/>
              </w:rPr>
            </w:pPr>
            <w:r>
              <w:rPr>
                <w:b/>
                <w:sz w:val="20"/>
                <w:szCs w:val="20"/>
              </w:rPr>
              <w:t>СПб ГБУЗ «Елизаветинская больница»</w:t>
            </w:r>
          </w:p>
          <w:p>
            <w:pPr>
              <w:pStyle w:val="Normal"/>
              <w:rPr>
                <w:sz w:val="20"/>
                <w:szCs w:val="20"/>
              </w:rPr>
            </w:pPr>
            <w:r>
              <w:rPr>
                <w:sz w:val="20"/>
                <w:szCs w:val="20"/>
              </w:rPr>
              <w:t>Адрес местонахождения и почтовый адрес: 195257, Санкт-Петербург, ул. Вавиловых, дом 14, литера А</w:t>
            </w:r>
          </w:p>
          <w:p>
            <w:pPr>
              <w:pStyle w:val="msonormalmrcssattr"/>
              <w:shd w:val="clear" w:color="auto" w:fill="FFFFFF"/>
              <w:spacing w:beforeAutospacing="0" w:before="0" w:afterAutospacing="0" w:after="0"/>
              <w:rPr/>
            </w:pPr>
            <w:r>
              <w:rPr>
                <w:color w:val="000000"/>
                <w:sz w:val="20"/>
                <w:szCs w:val="20"/>
                <w:u w:val="single"/>
              </w:rPr>
              <w:t>Банковские реквизиты:</w:t>
            </w:r>
          </w:p>
          <w:p>
            <w:pPr>
              <w:pStyle w:val="msonormalmrcssattr"/>
              <w:shd w:val="clear" w:color="auto" w:fill="FFFFFF"/>
              <w:spacing w:beforeAutospacing="0" w:before="0" w:afterAutospacing="0" w:after="0"/>
              <w:rPr/>
            </w:pPr>
            <w:r>
              <w:rPr>
                <w:color w:val="000000"/>
                <w:sz w:val="20"/>
                <w:szCs w:val="20"/>
              </w:rPr>
              <w:t>Получатель: Комитет финансов Санкт-Петербурга (СПБ ГБУЗ «Елизаветинская больница» л/сч 0151118)</w:t>
            </w:r>
          </w:p>
          <w:p>
            <w:pPr>
              <w:pStyle w:val="msonormalmrcssattr"/>
              <w:shd w:val="clear" w:color="auto" w:fill="FFFFFF"/>
              <w:spacing w:beforeAutospacing="0" w:before="0" w:afterAutospacing="0" w:after="0"/>
              <w:rPr/>
            </w:pPr>
            <w:r>
              <w:rPr>
                <w:color w:val="000000"/>
                <w:sz w:val="20"/>
                <w:szCs w:val="20"/>
              </w:rPr>
              <w:t>ИНН 7804041070, КПП 780401001</w:t>
            </w:r>
          </w:p>
          <w:p>
            <w:pPr>
              <w:pStyle w:val="msonormalmrcssattr"/>
              <w:shd w:val="clear" w:color="auto" w:fill="FFFFFF"/>
              <w:spacing w:beforeAutospacing="0" w:before="0" w:afterAutospacing="0" w:after="0"/>
              <w:rPr/>
            </w:pPr>
            <w:r>
              <w:rPr>
                <w:color w:val="000000"/>
                <w:sz w:val="20"/>
                <w:szCs w:val="20"/>
              </w:rPr>
              <w:t>Банк получателя: ОКЦ  № 1 Северо-Западное ГУ Банка России // УФК по г. Санкт-Петербургу, г. Санкт-Петербург</w:t>
            </w:r>
          </w:p>
          <w:p>
            <w:pPr>
              <w:pStyle w:val="msonormalmrcssattr"/>
              <w:shd w:val="clear" w:color="auto" w:fill="FFFFFF"/>
              <w:spacing w:beforeAutospacing="0" w:before="0" w:afterAutospacing="0" w:after="0"/>
              <w:rPr/>
            </w:pPr>
            <w:r>
              <w:rPr>
                <w:color w:val="000000"/>
                <w:sz w:val="20"/>
                <w:szCs w:val="20"/>
              </w:rPr>
              <w:t>БИК: 014030106</w:t>
            </w:r>
          </w:p>
          <w:p>
            <w:pPr>
              <w:pStyle w:val="msonormalmrcssattr"/>
              <w:shd w:val="clear" w:color="auto" w:fill="FFFFFF"/>
              <w:spacing w:beforeAutospacing="0" w:before="0" w:afterAutospacing="0" w:after="0"/>
              <w:rPr/>
            </w:pPr>
            <w:r>
              <w:rPr>
                <w:color w:val="000000"/>
                <w:sz w:val="20"/>
                <w:szCs w:val="20"/>
              </w:rPr>
              <w:t>Номер счета банка получателя: 40102810945370000005</w:t>
            </w:r>
          </w:p>
          <w:p>
            <w:pPr>
              <w:pStyle w:val="msonormalmrcssattr"/>
              <w:shd w:val="clear" w:color="auto" w:fill="FFFFFF"/>
              <w:spacing w:beforeAutospacing="0" w:before="0" w:afterAutospacing="0" w:after="0"/>
              <w:rPr/>
            </w:pPr>
            <w:r>
              <w:rPr>
                <w:color w:val="000000"/>
                <w:sz w:val="20"/>
                <w:szCs w:val="20"/>
              </w:rPr>
              <w:t>Номер счета получателя: 03224643400000007200</w:t>
            </w:r>
          </w:p>
          <w:p>
            <w:pPr>
              <w:pStyle w:val="Normal"/>
              <w:rPr>
                <w:sz w:val="20"/>
                <w:szCs w:val="20"/>
              </w:rPr>
            </w:pPr>
            <w:r>
              <w:rPr>
                <w:sz w:val="20"/>
                <w:szCs w:val="20"/>
              </w:rPr>
              <w:t>Тел./факс: (812) 555-15-05; (812) 555-57-73</w:t>
            </w:r>
          </w:p>
          <w:p>
            <w:pPr>
              <w:pStyle w:val="Normal"/>
              <w:rPr>
                <w:sz w:val="20"/>
                <w:szCs w:val="20"/>
                <w:lang w:val="en-US"/>
              </w:rPr>
            </w:pPr>
            <w:r>
              <w:rPr>
                <w:sz w:val="20"/>
                <w:szCs w:val="20"/>
                <w:lang w:val="en-US"/>
              </w:rPr>
              <w:t>E-mail: b3@zdrav.spb.ru</w:t>
            </w:r>
          </w:p>
        </w:tc>
        <w:tc>
          <w:tcPr>
            <w:tcW w:w="4673" w:type="dxa"/>
            <w:tcBorders>
              <w:top w:val="single" w:sz="4" w:space="0" w:color="000000"/>
              <w:left w:val="single" w:sz="4" w:space="0" w:color="000000"/>
              <w:bottom w:val="single" w:sz="4" w:space="0" w:color="000000"/>
              <w:right w:val="single" w:sz="4" w:space="0" w:color="000000"/>
            </w:tcBorders>
            <w:shd w:color="000000" w:fill="FFFFFF" w:val="clear"/>
          </w:tcPr>
          <w:p>
            <w:pPr>
              <w:pStyle w:val="Normal"/>
              <w:rPr>
                <w:rFonts w:eastAsia="Calibri"/>
                <w:sz w:val="20"/>
                <w:szCs w:val="20"/>
                <w:lang w:val="en-US"/>
              </w:rPr>
            </w:pPr>
            <w:r>
              <w:rPr>
                <w:rFonts w:eastAsia="Calibri"/>
                <w:sz w:val="20"/>
                <w:szCs w:val="20"/>
                <w:lang w:val="en-US"/>
              </w:rPr>
            </w:r>
          </w:p>
        </w:tc>
      </w:tr>
      <w:tr>
        <w:trPr>
          <w:trHeight w:val="965" w:hRule="atLeast"/>
        </w:trPr>
        <w:tc>
          <w:tcPr>
            <w:tcW w:w="5107" w:type="dxa"/>
            <w:tcBorders>
              <w:top w:val="single" w:sz="4" w:space="0" w:color="000000"/>
              <w:left w:val="single" w:sz="4" w:space="0" w:color="000000"/>
              <w:bottom w:val="single" w:sz="4" w:space="0" w:color="000000"/>
              <w:right w:val="single" w:sz="4" w:space="0" w:color="000000"/>
            </w:tcBorders>
            <w:shd w:color="000000" w:fill="FFFFFF" w:val="clear"/>
          </w:tcPr>
          <w:p>
            <w:pPr>
              <w:pStyle w:val="Normal"/>
              <w:rPr>
                <w:sz w:val="20"/>
                <w:szCs w:val="20"/>
              </w:rPr>
            </w:pPr>
            <w:r>
              <w:rPr>
                <w:sz w:val="20"/>
                <w:szCs w:val="20"/>
              </w:rPr>
              <w:t>Заказчик:</w:t>
            </w:r>
          </w:p>
          <w:p>
            <w:pPr>
              <w:pStyle w:val="Normal"/>
              <w:rPr>
                <w:b/>
                <w:sz w:val="20"/>
                <w:szCs w:val="20"/>
              </w:rPr>
            </w:pPr>
            <w:r>
              <w:rPr>
                <w:b/>
                <w:sz w:val="20"/>
                <w:szCs w:val="20"/>
              </w:rPr>
              <w:t>СПб ГБУЗ «Елизаветинская больница»</w:t>
            </w:r>
          </w:p>
          <w:p>
            <w:pPr>
              <w:pStyle w:val="Normal"/>
              <w:rPr>
                <w:sz w:val="20"/>
                <w:szCs w:val="20"/>
              </w:rPr>
            </w:pPr>
            <w:r>
              <w:rPr>
                <w:sz w:val="20"/>
                <w:szCs w:val="20"/>
              </w:rPr>
              <w:t>Главный врач</w:t>
            </w:r>
          </w:p>
          <w:p>
            <w:pPr>
              <w:pStyle w:val="Normal"/>
              <w:rPr>
                <w:sz w:val="20"/>
                <w:szCs w:val="20"/>
              </w:rPr>
            </w:pPr>
            <w:r>
              <w:rPr>
                <w:sz w:val="20"/>
                <w:szCs w:val="20"/>
              </w:rPr>
              <w:t>________________________ С.В. Петров</w:t>
            </w:r>
          </w:p>
          <w:p>
            <w:pPr>
              <w:pStyle w:val="Normal"/>
              <w:rPr>
                <w:sz w:val="20"/>
                <w:szCs w:val="20"/>
              </w:rPr>
            </w:pPr>
            <w:r>
              <w:rPr>
                <w:sz w:val="20"/>
                <w:szCs w:val="20"/>
              </w:rPr>
            </w:r>
          </w:p>
        </w:tc>
        <w:tc>
          <w:tcPr>
            <w:tcW w:w="4673" w:type="dxa"/>
            <w:tcBorders>
              <w:top w:val="single" w:sz="4" w:space="0" w:color="000000"/>
              <w:left w:val="single" w:sz="4" w:space="0" w:color="000000"/>
              <w:bottom w:val="single" w:sz="4" w:space="0" w:color="000000"/>
              <w:right w:val="single" w:sz="4" w:space="0" w:color="000000"/>
            </w:tcBorders>
            <w:shd w:color="000000" w:fill="FFFFFF" w:val="clear"/>
          </w:tcPr>
          <w:p>
            <w:pPr>
              <w:pStyle w:val="Normal"/>
              <w:rPr>
                <w:sz w:val="20"/>
                <w:szCs w:val="20"/>
              </w:rPr>
            </w:pPr>
            <w:r>
              <w:rPr>
                <w:sz w:val="20"/>
                <w:szCs w:val="20"/>
              </w:rPr>
              <w:t>Поставщик:</w:t>
            </w:r>
          </w:p>
          <w:p>
            <w:pPr>
              <w:pStyle w:val="Normal"/>
              <w:widowControl w:val="false"/>
              <w:rPr>
                <w:b/>
                <w:sz w:val="20"/>
                <w:szCs w:val="20"/>
              </w:rPr>
            </w:pPr>
            <w:r>
              <w:rPr>
                <w:b/>
                <w:sz w:val="20"/>
                <w:szCs w:val="20"/>
              </w:rPr>
              <w:t>Наименование Поставщика</w:t>
            </w:r>
          </w:p>
          <w:p>
            <w:pPr>
              <w:pStyle w:val="Normal"/>
              <w:widowControl w:val="false"/>
              <w:rPr>
                <w:sz w:val="20"/>
                <w:szCs w:val="20"/>
              </w:rPr>
            </w:pPr>
            <w:r>
              <w:rPr>
                <w:sz w:val="20"/>
                <w:szCs w:val="20"/>
              </w:rPr>
              <w:t>Должность</w:t>
            </w:r>
          </w:p>
          <w:p>
            <w:pPr>
              <w:pStyle w:val="Normal"/>
              <w:widowControl w:val="false"/>
              <w:rPr>
                <w:sz w:val="20"/>
                <w:szCs w:val="20"/>
              </w:rPr>
            </w:pPr>
            <w:r>
              <w:rPr>
                <w:sz w:val="20"/>
                <w:szCs w:val="20"/>
              </w:rPr>
              <w:t>________________________ И.О. Фамилия</w:t>
            </w:r>
          </w:p>
          <w:p>
            <w:pPr>
              <w:pStyle w:val="Normal"/>
              <w:rPr>
                <w:sz w:val="20"/>
                <w:szCs w:val="20"/>
              </w:rPr>
            </w:pPr>
            <w:r>
              <w:rPr>
                <w:sz w:val="20"/>
                <w:szCs w:val="20"/>
              </w:rPr>
            </w:r>
          </w:p>
        </w:tc>
      </w:tr>
    </w:tbl>
    <w:p>
      <w:pPr>
        <w:pStyle w:val="Normal"/>
        <w:jc w:val="center"/>
        <w:rPr>
          <w:b/>
          <w:sz w:val="16"/>
          <w:szCs w:val="20"/>
        </w:rPr>
      </w:pPr>
      <w:r>
        <w:rPr>
          <w:b/>
          <w:sz w:val="16"/>
          <w:szCs w:val="20"/>
        </w:rPr>
        <w:t>Контракт подписан усиленными электронными подписями лиц, имеющих право действовать</w:t>
      </w:r>
    </w:p>
    <w:p>
      <w:pPr>
        <w:pStyle w:val="Normal"/>
        <w:jc w:val="center"/>
        <w:rPr>
          <w:sz w:val="20"/>
          <w:szCs w:val="20"/>
        </w:rPr>
      </w:pPr>
      <w:r>
        <w:rPr>
          <w:b/>
          <w:sz w:val="16"/>
          <w:szCs w:val="20"/>
        </w:rPr>
        <w:t>от имени Сторон, и заключен в соответствии со ст. 93 Закона о контрактной системе.</w:t>
      </w:r>
      <w:r>
        <w:rPr>
          <w:sz w:val="20"/>
          <w:szCs w:val="20"/>
        </w:rPr>
        <w:t xml:space="preserve"> </w:t>
      </w:r>
      <w:r>
        <w:br w:type="page"/>
      </w:r>
    </w:p>
    <w:p>
      <w:pPr>
        <w:pStyle w:val="Normal"/>
        <w:spacing w:before="0" w:after="0"/>
        <w:jc w:val="right"/>
        <w:rPr>
          <w:b/>
          <w:sz w:val="20"/>
          <w:szCs w:val="20"/>
        </w:rPr>
      </w:pPr>
      <w:r>
        <w:rPr>
          <w:b/>
          <w:sz w:val="20"/>
          <w:szCs w:val="20"/>
        </w:rPr>
        <w:t>Приложение № 1 к Контракту</w:t>
      </w:r>
    </w:p>
    <w:p>
      <w:pPr>
        <w:pStyle w:val="ListParagraph"/>
        <w:spacing w:lineRule="auto" w:line="240" w:before="0" w:after="0"/>
        <w:ind w:firstLine="142" w:left="-426"/>
        <w:contextualSpacing/>
        <w:jc w:val="right"/>
        <w:rPr>
          <w:rFonts w:ascii="Times New Roman" w:hAnsi="Times New Roman" w:cs="Times New Roman"/>
          <w:b/>
          <w:sz w:val="20"/>
          <w:szCs w:val="20"/>
        </w:rPr>
      </w:pPr>
      <w:r>
        <w:rPr>
          <w:rFonts w:cs="Times New Roman" w:ascii="Times New Roman" w:hAnsi="Times New Roman"/>
          <w:b/>
          <w:sz w:val="20"/>
          <w:szCs w:val="20"/>
        </w:rPr>
        <w:t>от «__» _________ 2026 г. № 21</w:t>
      </w:r>
      <w:r>
        <w:rPr>
          <w:rFonts w:cs="Times New Roman" w:ascii="Times New Roman" w:hAnsi="Times New Roman"/>
          <w:b/>
          <w:sz w:val="20"/>
          <w:szCs w:val="20"/>
        </w:rPr>
        <w:t>3</w:t>
      </w:r>
      <w:r>
        <w:rPr>
          <w:rFonts w:cs="Times New Roman" w:ascii="Times New Roman" w:hAnsi="Times New Roman"/>
          <w:b/>
          <w:sz w:val="20"/>
          <w:szCs w:val="20"/>
        </w:rPr>
        <w:t>/2026</w:t>
      </w:r>
    </w:p>
    <w:p>
      <w:pPr>
        <w:pStyle w:val="Normal"/>
        <w:jc w:val="right"/>
        <w:rPr>
          <w:sz w:val="20"/>
          <w:szCs w:val="20"/>
        </w:rPr>
      </w:pPr>
      <w:r>
        <w:rPr>
          <w:sz w:val="20"/>
          <w:szCs w:val="20"/>
        </w:rPr>
      </w:r>
    </w:p>
    <w:p>
      <w:pPr>
        <w:pStyle w:val="Normal"/>
        <w:jc w:val="both"/>
        <w:rPr>
          <w:sz w:val="20"/>
          <w:szCs w:val="20"/>
        </w:rPr>
      </w:pPr>
      <w:r>
        <w:rPr>
          <w:sz w:val="20"/>
          <w:szCs w:val="20"/>
        </w:rPr>
      </w:r>
    </w:p>
    <w:p>
      <w:pPr>
        <w:pStyle w:val="Normal"/>
        <w:jc w:val="center"/>
        <w:rPr>
          <w:b/>
          <w:sz w:val="20"/>
          <w:szCs w:val="20"/>
        </w:rPr>
      </w:pPr>
      <w:r>
        <w:rPr>
          <w:b/>
          <w:sz w:val="20"/>
          <w:szCs w:val="20"/>
        </w:rPr>
        <w:t>СПЕЦИФИКАЦИЯ</w:t>
      </w:r>
    </w:p>
    <w:p>
      <w:pPr>
        <w:pStyle w:val="Normal"/>
        <w:rPr>
          <w:sz w:val="20"/>
          <w:szCs w:val="20"/>
        </w:rPr>
      </w:pPr>
      <w:r>
        <w:rPr>
          <w:sz w:val="20"/>
          <w:szCs w:val="20"/>
        </w:rPr>
      </w:r>
    </w:p>
    <w:tbl>
      <w:tblPr>
        <w:tblStyle w:val="af9"/>
        <w:tblW w:w="10619" w:type="dxa"/>
        <w:jc w:val="center"/>
        <w:tblInd w:w="0" w:type="dxa"/>
        <w:tblLayout w:type="fixed"/>
        <w:tblCellMar>
          <w:top w:w="0" w:type="dxa"/>
          <w:left w:w="108" w:type="dxa"/>
          <w:bottom w:w="0" w:type="dxa"/>
          <w:right w:w="108" w:type="dxa"/>
        </w:tblCellMar>
        <w:tblLook w:val="04a0" w:noHBand="0" w:noVBand="1" w:firstColumn="1" w:lastRow="0" w:lastColumn="0" w:firstRow="1"/>
      </w:tblPr>
      <w:tblGrid>
        <w:gridCol w:w="417"/>
        <w:gridCol w:w="2920"/>
        <w:gridCol w:w="627"/>
        <w:gridCol w:w="1026"/>
        <w:gridCol w:w="734"/>
        <w:gridCol w:w="1531"/>
        <w:gridCol w:w="1179"/>
        <w:gridCol w:w="912"/>
        <w:gridCol w:w="1272"/>
      </w:tblGrid>
      <w:tr>
        <w:trPr>
          <w:trHeight w:val="20" w:hRule="atLeast"/>
        </w:trPr>
        <w:tc>
          <w:tcPr>
            <w:tcW w:w="417" w:type="dxa"/>
            <w:tcBorders/>
            <w:vAlign w:val="center"/>
          </w:tcPr>
          <w:p>
            <w:pPr>
              <w:pStyle w:val="Normal"/>
              <w:widowControl/>
              <w:suppressAutoHyphens w:val="true"/>
              <w:spacing w:before="0" w:after="0"/>
              <w:ind w:left="-113"/>
              <w:jc w:val="center"/>
              <w:rPr>
                <w:b/>
                <w:sz w:val="20"/>
                <w:szCs w:val="20"/>
              </w:rPr>
            </w:pPr>
            <w:r>
              <w:rPr>
                <w:b/>
                <w:kern w:val="0"/>
                <w:sz w:val="20"/>
                <w:szCs w:val="20"/>
                <w:lang w:val="ru-RU" w:bidi="ar-SA"/>
              </w:rPr>
              <w:t>№</w:t>
            </w:r>
          </w:p>
          <w:p>
            <w:pPr>
              <w:pStyle w:val="Normal"/>
              <w:widowControl/>
              <w:suppressAutoHyphens w:val="true"/>
              <w:spacing w:before="0" w:after="0"/>
              <w:ind w:left="-113"/>
              <w:jc w:val="center"/>
              <w:rPr>
                <w:b/>
                <w:sz w:val="20"/>
                <w:szCs w:val="20"/>
              </w:rPr>
            </w:pPr>
            <w:r>
              <w:rPr>
                <w:b/>
                <w:kern w:val="0"/>
                <w:sz w:val="20"/>
                <w:szCs w:val="20"/>
                <w:lang w:val="ru-RU" w:bidi="ar-SA"/>
              </w:rPr>
              <w:t>п/п</w:t>
            </w:r>
          </w:p>
        </w:tc>
        <w:tc>
          <w:tcPr>
            <w:tcW w:w="2920" w:type="dxa"/>
            <w:tcBorders/>
            <w:vAlign w:val="center"/>
          </w:tcPr>
          <w:p>
            <w:pPr>
              <w:pStyle w:val="Normal"/>
              <w:widowControl/>
              <w:suppressAutoHyphens w:val="true"/>
              <w:spacing w:before="0" w:after="0"/>
              <w:jc w:val="center"/>
              <w:rPr>
                <w:b/>
                <w:sz w:val="18"/>
                <w:szCs w:val="20"/>
                <w:lang w:eastAsia="en-US"/>
              </w:rPr>
            </w:pPr>
            <w:r>
              <w:rPr>
                <w:b/>
                <w:bCs/>
                <w:kern w:val="0"/>
                <w:sz w:val="18"/>
                <w:szCs w:val="18"/>
                <w:lang w:val="ru-RU" w:bidi="ar-SA"/>
              </w:rPr>
              <w:t xml:space="preserve">Наименование Товара </w:t>
            </w:r>
            <w:r>
              <w:rPr>
                <w:b/>
                <w:kern w:val="0"/>
                <w:sz w:val="18"/>
                <w:szCs w:val="18"/>
                <w:lang w:val="ru-RU" w:bidi="ar-SA"/>
              </w:rPr>
              <w:t>в соответствии с регистрационным удостоверением</w:t>
            </w:r>
          </w:p>
        </w:tc>
        <w:tc>
          <w:tcPr>
            <w:tcW w:w="627" w:type="dxa"/>
            <w:tcBorders/>
            <w:vAlign w:val="center"/>
          </w:tcPr>
          <w:p>
            <w:pPr>
              <w:pStyle w:val="Normal"/>
              <w:widowControl/>
              <w:suppressAutoHyphens w:val="true"/>
              <w:spacing w:before="0" w:after="0"/>
              <w:jc w:val="center"/>
              <w:rPr>
                <w:b/>
                <w:sz w:val="18"/>
                <w:szCs w:val="20"/>
                <w:lang w:eastAsia="en-US"/>
              </w:rPr>
            </w:pPr>
            <w:r>
              <w:rPr>
                <w:b/>
                <w:kern w:val="0"/>
                <w:sz w:val="18"/>
                <w:szCs w:val="20"/>
                <w:lang w:val="ru-RU" w:eastAsia="en-US" w:bidi="ar-SA"/>
              </w:rPr>
              <w:t>Ед. изм.</w:t>
            </w:r>
          </w:p>
        </w:tc>
        <w:tc>
          <w:tcPr>
            <w:tcW w:w="1026" w:type="dxa"/>
            <w:tcBorders/>
            <w:vAlign w:val="center"/>
          </w:tcPr>
          <w:p>
            <w:pPr>
              <w:pStyle w:val="Normal"/>
              <w:widowControl/>
              <w:suppressAutoHyphens w:val="true"/>
              <w:spacing w:before="0" w:after="0"/>
              <w:jc w:val="center"/>
              <w:rPr>
                <w:b/>
                <w:sz w:val="18"/>
                <w:szCs w:val="20"/>
                <w:lang w:eastAsia="en-US"/>
              </w:rPr>
            </w:pPr>
            <w:r>
              <w:rPr>
                <w:b/>
                <w:kern w:val="0"/>
                <w:sz w:val="18"/>
                <w:szCs w:val="20"/>
                <w:lang w:val="ru-RU" w:eastAsia="en-US" w:bidi="ar-SA"/>
              </w:rPr>
              <w:t>Артикул товара</w:t>
            </w:r>
          </w:p>
        </w:tc>
        <w:tc>
          <w:tcPr>
            <w:tcW w:w="734" w:type="dxa"/>
            <w:tcBorders/>
            <w:vAlign w:val="center"/>
          </w:tcPr>
          <w:p>
            <w:pPr>
              <w:pStyle w:val="Normal"/>
              <w:widowControl/>
              <w:suppressAutoHyphens w:val="true"/>
              <w:spacing w:before="0" w:after="0"/>
              <w:jc w:val="center"/>
              <w:rPr>
                <w:b/>
                <w:sz w:val="18"/>
                <w:szCs w:val="20"/>
                <w:lang w:eastAsia="en-US"/>
              </w:rPr>
            </w:pPr>
            <w:r>
              <w:rPr>
                <w:b/>
                <w:kern w:val="0"/>
                <w:sz w:val="18"/>
                <w:szCs w:val="20"/>
                <w:lang w:val="ru-RU" w:eastAsia="en-US" w:bidi="ar-SA"/>
              </w:rPr>
              <w:t>Кол-во</w:t>
            </w:r>
          </w:p>
        </w:tc>
        <w:tc>
          <w:tcPr>
            <w:tcW w:w="1531" w:type="dxa"/>
            <w:tcBorders/>
            <w:vAlign w:val="center"/>
          </w:tcPr>
          <w:p>
            <w:pPr>
              <w:pStyle w:val="Normal"/>
              <w:widowControl/>
              <w:suppressAutoHyphens w:val="true"/>
              <w:spacing w:before="0" w:after="0"/>
              <w:jc w:val="center"/>
              <w:rPr>
                <w:b/>
                <w:sz w:val="18"/>
                <w:szCs w:val="20"/>
                <w:lang w:eastAsia="en-US"/>
              </w:rPr>
            </w:pPr>
            <w:r>
              <w:rPr>
                <w:b/>
                <w:kern w:val="0"/>
                <w:sz w:val="18"/>
                <w:szCs w:val="20"/>
                <w:lang w:val="ru-RU" w:eastAsia="en-US" w:bidi="ar-SA"/>
              </w:rPr>
              <w:t>Страна происхождения товара</w:t>
            </w:r>
          </w:p>
        </w:tc>
        <w:tc>
          <w:tcPr>
            <w:tcW w:w="1179" w:type="dxa"/>
            <w:tcBorders/>
            <w:vAlign w:val="center"/>
          </w:tcPr>
          <w:p>
            <w:pPr>
              <w:pStyle w:val="Normal"/>
              <w:widowControl/>
              <w:suppressAutoHyphens w:val="true"/>
              <w:spacing w:before="0" w:after="0"/>
              <w:jc w:val="center"/>
              <w:rPr>
                <w:b/>
                <w:sz w:val="18"/>
                <w:szCs w:val="20"/>
                <w:lang w:eastAsia="en-US"/>
              </w:rPr>
            </w:pPr>
            <w:r>
              <w:rPr>
                <w:b/>
                <w:kern w:val="0"/>
                <w:sz w:val="18"/>
                <w:szCs w:val="20"/>
                <w:lang w:val="ru-RU" w:eastAsia="en-US" w:bidi="ar-SA"/>
              </w:rPr>
              <w:t>Цена за ед. руб.</w:t>
            </w:r>
          </w:p>
        </w:tc>
        <w:tc>
          <w:tcPr>
            <w:tcW w:w="912" w:type="dxa"/>
            <w:tcBorders/>
            <w:vAlign w:val="center"/>
          </w:tcPr>
          <w:p>
            <w:pPr>
              <w:pStyle w:val="Normal"/>
              <w:widowControl/>
              <w:suppressAutoHyphens w:val="true"/>
              <w:spacing w:before="0" w:after="0"/>
              <w:jc w:val="center"/>
              <w:rPr>
                <w:b/>
                <w:sz w:val="18"/>
                <w:szCs w:val="20"/>
                <w:lang w:eastAsia="en-US"/>
              </w:rPr>
            </w:pPr>
            <w:r>
              <w:rPr>
                <w:b/>
                <w:kern w:val="0"/>
                <w:sz w:val="18"/>
                <w:szCs w:val="20"/>
                <w:lang w:val="ru-RU" w:eastAsia="en-US" w:bidi="ar-SA"/>
              </w:rPr>
              <w:t>Размер НДС, %</w:t>
            </w:r>
          </w:p>
        </w:tc>
        <w:tc>
          <w:tcPr>
            <w:tcW w:w="1272" w:type="dxa"/>
            <w:tcBorders/>
            <w:vAlign w:val="center"/>
          </w:tcPr>
          <w:p>
            <w:pPr>
              <w:pStyle w:val="Normal"/>
              <w:widowControl/>
              <w:suppressAutoHyphens w:val="true"/>
              <w:spacing w:before="0" w:after="0"/>
              <w:jc w:val="center"/>
              <w:rPr>
                <w:b/>
                <w:sz w:val="18"/>
                <w:szCs w:val="20"/>
                <w:lang w:eastAsia="en-US"/>
              </w:rPr>
            </w:pPr>
            <w:r>
              <w:rPr>
                <w:b/>
                <w:kern w:val="0"/>
                <w:sz w:val="18"/>
                <w:szCs w:val="20"/>
                <w:lang w:val="ru-RU" w:eastAsia="en-US" w:bidi="ar-SA"/>
              </w:rPr>
              <w:t>Сумма с НДС руб.</w:t>
            </w:r>
          </w:p>
        </w:tc>
      </w:tr>
      <w:tr>
        <w:trPr>
          <w:trHeight w:val="233" w:hRule="atLeast"/>
        </w:trPr>
        <w:tc>
          <w:tcPr>
            <w:tcW w:w="417" w:type="dxa"/>
            <w:tcBorders/>
            <w:vAlign w:val="center"/>
          </w:tcPr>
          <w:p>
            <w:pPr>
              <w:pStyle w:val="Normal"/>
              <w:widowControl/>
              <w:suppressAutoHyphens w:val="true"/>
              <w:spacing w:before="0" w:after="0"/>
              <w:ind w:left="-113"/>
              <w:jc w:val="center"/>
              <w:rPr>
                <w:sz w:val="20"/>
                <w:szCs w:val="20"/>
              </w:rPr>
            </w:pPr>
            <w:r>
              <w:rPr>
                <w:kern w:val="0"/>
                <w:sz w:val="20"/>
                <w:szCs w:val="20"/>
                <w:lang w:val="ru-RU" w:bidi="ar-SA"/>
              </w:rPr>
              <w:t>1</w:t>
            </w:r>
          </w:p>
        </w:tc>
        <w:tc>
          <w:tcPr>
            <w:tcW w:w="2920" w:type="dxa"/>
            <w:tcBorders/>
            <w:vAlign w:val="center"/>
          </w:tcPr>
          <w:p>
            <w:pPr>
              <w:pStyle w:val="Style21"/>
              <w:ind w:hanging="0" w:left="0" w:right="0"/>
              <w:jc w:val="left"/>
              <w:rPr>
                <w:rFonts w:ascii="Times New Roman" w:hAnsi="Times New Roman"/>
                <w:sz w:val="18"/>
                <w:szCs w:val="18"/>
              </w:rPr>
            </w:pPr>
            <w:r>
              <w:rPr>
                <w:rFonts w:ascii="Times New Roman" w:hAnsi="Times New Roman"/>
                <w:sz w:val="18"/>
                <w:szCs w:val="18"/>
              </w:rPr>
              <w:t>Индивидуальная сетчатая пластина с моделью</w:t>
            </w:r>
          </w:p>
        </w:tc>
        <w:tc>
          <w:tcPr>
            <w:tcW w:w="627" w:type="dxa"/>
            <w:tcBorders/>
            <w:vAlign w:val="center"/>
          </w:tcPr>
          <w:p>
            <w:pPr>
              <w:pStyle w:val="Normal"/>
              <w:widowControl/>
              <w:suppressAutoHyphens w:val="true"/>
              <w:spacing w:before="0" w:after="0"/>
              <w:jc w:val="center"/>
              <w:rPr>
                <w:sz w:val="20"/>
                <w:szCs w:val="20"/>
                <w:lang w:eastAsia="en-US"/>
              </w:rPr>
            </w:pPr>
            <w:r>
              <w:rPr>
                <w:kern w:val="0"/>
                <w:sz w:val="20"/>
                <w:szCs w:val="20"/>
                <w:lang w:val="ru-RU" w:eastAsia="en-US" w:bidi="ar-SA"/>
              </w:rPr>
              <w:t>шт.</w:t>
            </w:r>
          </w:p>
        </w:tc>
        <w:tc>
          <w:tcPr>
            <w:tcW w:w="1026" w:type="dxa"/>
            <w:tcBorders/>
          </w:tcPr>
          <w:p>
            <w:pPr>
              <w:pStyle w:val="Normal"/>
              <w:widowControl/>
              <w:suppressAutoHyphens w:val="true"/>
              <w:spacing w:before="0" w:after="0"/>
              <w:jc w:val="center"/>
              <w:rPr>
                <w:sz w:val="20"/>
                <w:szCs w:val="20"/>
                <w:lang w:eastAsia="en-US"/>
              </w:rPr>
            </w:pPr>
            <w:r>
              <w:rPr>
                <w:sz w:val="20"/>
                <w:szCs w:val="20"/>
                <w:lang w:eastAsia="en-US"/>
              </w:rPr>
            </w:r>
          </w:p>
        </w:tc>
        <w:tc>
          <w:tcPr>
            <w:tcW w:w="734" w:type="dxa"/>
            <w:tcBorders/>
            <w:vAlign w:val="center"/>
          </w:tcPr>
          <w:p>
            <w:pPr>
              <w:pStyle w:val="Normal"/>
              <w:widowControl/>
              <w:suppressAutoHyphens w:val="true"/>
              <w:spacing w:before="0" w:after="0"/>
              <w:jc w:val="center"/>
              <w:rPr>
                <w:sz w:val="20"/>
                <w:szCs w:val="20"/>
                <w:lang w:eastAsia="en-US"/>
              </w:rPr>
            </w:pPr>
            <w:r>
              <w:rPr>
                <w:kern w:val="0"/>
                <w:sz w:val="20"/>
                <w:szCs w:val="20"/>
                <w:lang w:val="ru-RU" w:eastAsia="en-US" w:bidi="ar-SA"/>
              </w:rPr>
              <w:t>1</w:t>
            </w:r>
          </w:p>
        </w:tc>
        <w:tc>
          <w:tcPr>
            <w:tcW w:w="1531" w:type="dxa"/>
            <w:tcBorders/>
          </w:tcPr>
          <w:p>
            <w:pPr>
              <w:pStyle w:val="Normal"/>
              <w:widowControl/>
              <w:suppressAutoHyphens w:val="true"/>
              <w:spacing w:before="0" w:after="0"/>
              <w:jc w:val="center"/>
              <w:rPr>
                <w:sz w:val="20"/>
                <w:szCs w:val="20"/>
                <w:lang w:eastAsia="en-US"/>
              </w:rPr>
            </w:pPr>
            <w:r>
              <w:rPr>
                <w:sz w:val="20"/>
                <w:szCs w:val="20"/>
                <w:lang w:eastAsia="en-US"/>
              </w:rPr>
            </w:r>
          </w:p>
        </w:tc>
        <w:tc>
          <w:tcPr>
            <w:tcW w:w="1179" w:type="dxa"/>
            <w:tcBorders/>
          </w:tcPr>
          <w:p>
            <w:pPr>
              <w:pStyle w:val="Normal"/>
              <w:widowControl/>
              <w:suppressAutoHyphens w:val="true"/>
              <w:spacing w:before="0" w:after="0"/>
              <w:jc w:val="center"/>
              <w:rPr>
                <w:sz w:val="20"/>
                <w:szCs w:val="20"/>
                <w:lang w:eastAsia="en-US"/>
              </w:rPr>
            </w:pPr>
            <w:r>
              <w:rPr>
                <w:sz w:val="20"/>
                <w:szCs w:val="20"/>
                <w:lang w:eastAsia="en-US"/>
              </w:rPr>
            </w:r>
          </w:p>
        </w:tc>
        <w:tc>
          <w:tcPr>
            <w:tcW w:w="912" w:type="dxa"/>
            <w:tcBorders/>
            <w:vAlign w:val="center"/>
          </w:tcPr>
          <w:p>
            <w:pPr>
              <w:pStyle w:val="Normal"/>
              <w:widowControl/>
              <w:suppressAutoHyphens w:val="true"/>
              <w:spacing w:before="0" w:after="0"/>
              <w:jc w:val="center"/>
              <w:rPr>
                <w:sz w:val="20"/>
                <w:szCs w:val="20"/>
                <w:lang w:eastAsia="en-US"/>
              </w:rPr>
            </w:pPr>
            <w:r>
              <w:rPr>
                <w:sz w:val="20"/>
                <w:szCs w:val="20"/>
                <w:lang w:eastAsia="en-US"/>
              </w:rPr>
            </w:r>
          </w:p>
        </w:tc>
        <w:tc>
          <w:tcPr>
            <w:tcW w:w="1272" w:type="dxa"/>
            <w:tcBorders/>
            <w:vAlign w:val="center"/>
          </w:tcPr>
          <w:p>
            <w:pPr>
              <w:pStyle w:val="Normal"/>
              <w:widowControl/>
              <w:suppressAutoHyphens w:val="true"/>
              <w:spacing w:before="0" w:after="0"/>
              <w:jc w:val="center"/>
              <w:rPr>
                <w:sz w:val="20"/>
                <w:szCs w:val="20"/>
                <w:lang w:eastAsia="en-US"/>
              </w:rPr>
            </w:pPr>
            <w:r>
              <w:rPr>
                <w:sz w:val="20"/>
                <w:szCs w:val="20"/>
                <w:lang w:eastAsia="en-US"/>
              </w:rPr>
            </w:r>
          </w:p>
        </w:tc>
      </w:tr>
      <w:tr>
        <w:trPr>
          <w:trHeight w:val="20" w:hRule="atLeast"/>
        </w:trPr>
        <w:tc>
          <w:tcPr>
            <w:tcW w:w="417" w:type="dxa"/>
            <w:tcBorders>
              <w:top w:val="nil"/>
            </w:tcBorders>
            <w:vAlign w:val="center"/>
          </w:tcPr>
          <w:p>
            <w:pPr>
              <w:pStyle w:val="Normal"/>
              <w:widowControl/>
              <w:suppressAutoHyphens w:val="true"/>
              <w:spacing w:before="0" w:after="0"/>
              <w:ind w:left="-113"/>
              <w:jc w:val="center"/>
              <w:rPr>
                <w:sz w:val="20"/>
                <w:szCs w:val="20"/>
              </w:rPr>
            </w:pPr>
            <w:r>
              <w:rPr>
                <w:sz w:val="20"/>
                <w:szCs w:val="20"/>
              </w:rPr>
              <w:t>2</w:t>
            </w:r>
          </w:p>
        </w:tc>
        <w:tc>
          <w:tcPr>
            <w:tcW w:w="2920" w:type="dxa"/>
            <w:tcBorders>
              <w:top w:val="nil"/>
            </w:tcBorders>
            <w:vAlign w:val="center"/>
          </w:tcPr>
          <w:p>
            <w:pPr>
              <w:pStyle w:val="Style21"/>
              <w:ind w:hanging="0" w:left="0" w:right="0"/>
              <w:jc w:val="left"/>
              <w:rPr>
                <w:rFonts w:ascii="Times New Roman" w:hAnsi="Times New Roman"/>
                <w:sz w:val="18"/>
                <w:szCs w:val="18"/>
              </w:rPr>
            </w:pPr>
            <w:r>
              <w:rPr>
                <w:rFonts w:ascii="Times New Roman" w:hAnsi="Times New Roman"/>
                <w:sz w:val="18"/>
                <w:szCs w:val="18"/>
              </w:rPr>
              <w:t>Имплантаты для черепно-челюстно-лицевой хирургии и инструменты для их установки, ЧЧЛХ-в наборе: Набор мини-, низкопрофильных, микропластин, винтов (шлиц-квадрат) и инструментов: Винт самонарезающий Ø 1.5 мм x 5 мм (шлиц-квадрат)</w:t>
            </w:r>
          </w:p>
        </w:tc>
        <w:tc>
          <w:tcPr>
            <w:tcW w:w="627" w:type="dxa"/>
            <w:tcBorders>
              <w:top w:val="nil"/>
            </w:tcBorders>
            <w:vAlign w:val="center"/>
          </w:tcPr>
          <w:p>
            <w:pPr>
              <w:pStyle w:val="Normal"/>
              <w:widowControl/>
              <w:suppressAutoHyphens w:val="true"/>
              <w:spacing w:before="0" w:after="0"/>
              <w:jc w:val="center"/>
              <w:rPr>
                <w:sz w:val="20"/>
                <w:szCs w:val="20"/>
                <w:lang w:eastAsia="en-US"/>
              </w:rPr>
            </w:pPr>
            <w:r>
              <w:rPr>
                <w:kern w:val="0"/>
                <w:sz w:val="20"/>
                <w:szCs w:val="20"/>
                <w:lang w:val="ru-RU" w:eastAsia="en-US" w:bidi="ar-SA"/>
              </w:rPr>
              <w:t>шт.</w:t>
            </w:r>
          </w:p>
        </w:tc>
        <w:tc>
          <w:tcPr>
            <w:tcW w:w="1026" w:type="dxa"/>
            <w:tcBorders>
              <w:top w:val="nil"/>
            </w:tcBorders>
          </w:tcPr>
          <w:p>
            <w:pPr>
              <w:pStyle w:val="Normal"/>
              <w:widowControl/>
              <w:suppressAutoHyphens w:val="true"/>
              <w:spacing w:before="0" w:after="0"/>
              <w:jc w:val="center"/>
              <w:rPr>
                <w:sz w:val="20"/>
                <w:szCs w:val="20"/>
                <w:lang w:eastAsia="en-US"/>
              </w:rPr>
            </w:pPr>
            <w:r>
              <w:rPr>
                <w:sz w:val="20"/>
                <w:szCs w:val="20"/>
                <w:lang w:eastAsia="en-US"/>
              </w:rPr>
            </w:r>
          </w:p>
        </w:tc>
        <w:tc>
          <w:tcPr>
            <w:tcW w:w="734" w:type="dxa"/>
            <w:tcBorders>
              <w:top w:val="nil"/>
            </w:tcBorders>
            <w:vAlign w:val="center"/>
          </w:tcPr>
          <w:p>
            <w:pPr>
              <w:pStyle w:val="Normal"/>
              <w:widowControl/>
              <w:suppressAutoHyphens w:val="true"/>
              <w:spacing w:before="0" w:after="0"/>
              <w:jc w:val="center"/>
              <w:rPr>
                <w:sz w:val="20"/>
                <w:szCs w:val="20"/>
                <w:lang w:eastAsia="en-US"/>
              </w:rPr>
            </w:pPr>
            <w:r>
              <w:rPr>
                <w:kern w:val="0"/>
                <w:sz w:val="20"/>
                <w:szCs w:val="20"/>
                <w:lang w:val="ru-RU" w:eastAsia="en-US" w:bidi="ar-SA"/>
              </w:rPr>
              <w:t>15</w:t>
            </w:r>
          </w:p>
        </w:tc>
        <w:tc>
          <w:tcPr>
            <w:tcW w:w="1531" w:type="dxa"/>
            <w:tcBorders>
              <w:top w:val="nil"/>
            </w:tcBorders>
          </w:tcPr>
          <w:p>
            <w:pPr>
              <w:pStyle w:val="Normal"/>
              <w:widowControl/>
              <w:suppressAutoHyphens w:val="true"/>
              <w:spacing w:before="0" w:after="0"/>
              <w:jc w:val="center"/>
              <w:rPr>
                <w:sz w:val="20"/>
                <w:szCs w:val="20"/>
                <w:lang w:eastAsia="en-US"/>
              </w:rPr>
            </w:pPr>
            <w:r>
              <w:rPr>
                <w:sz w:val="20"/>
                <w:szCs w:val="20"/>
                <w:lang w:eastAsia="en-US"/>
              </w:rPr>
            </w:r>
          </w:p>
        </w:tc>
        <w:tc>
          <w:tcPr>
            <w:tcW w:w="1179" w:type="dxa"/>
            <w:tcBorders>
              <w:top w:val="nil"/>
            </w:tcBorders>
          </w:tcPr>
          <w:p>
            <w:pPr>
              <w:pStyle w:val="Normal"/>
              <w:widowControl/>
              <w:suppressAutoHyphens w:val="true"/>
              <w:spacing w:before="0" w:after="0"/>
              <w:jc w:val="center"/>
              <w:rPr>
                <w:sz w:val="20"/>
                <w:szCs w:val="20"/>
                <w:lang w:eastAsia="en-US"/>
              </w:rPr>
            </w:pPr>
            <w:r>
              <w:rPr>
                <w:sz w:val="20"/>
                <w:szCs w:val="20"/>
                <w:lang w:eastAsia="en-US"/>
              </w:rPr>
            </w:r>
          </w:p>
        </w:tc>
        <w:tc>
          <w:tcPr>
            <w:tcW w:w="912" w:type="dxa"/>
            <w:tcBorders>
              <w:top w:val="nil"/>
            </w:tcBorders>
            <w:vAlign w:val="center"/>
          </w:tcPr>
          <w:p>
            <w:pPr>
              <w:pStyle w:val="Normal"/>
              <w:widowControl/>
              <w:suppressAutoHyphens w:val="true"/>
              <w:spacing w:before="0" w:after="0"/>
              <w:jc w:val="center"/>
              <w:rPr>
                <w:sz w:val="20"/>
                <w:szCs w:val="20"/>
                <w:lang w:eastAsia="en-US"/>
              </w:rPr>
            </w:pPr>
            <w:r>
              <w:rPr>
                <w:sz w:val="20"/>
                <w:szCs w:val="20"/>
                <w:lang w:eastAsia="en-US"/>
              </w:rPr>
            </w:r>
          </w:p>
        </w:tc>
        <w:tc>
          <w:tcPr>
            <w:tcW w:w="1272" w:type="dxa"/>
            <w:tcBorders>
              <w:top w:val="nil"/>
            </w:tcBorders>
            <w:vAlign w:val="center"/>
          </w:tcPr>
          <w:p>
            <w:pPr>
              <w:pStyle w:val="Normal"/>
              <w:widowControl/>
              <w:suppressAutoHyphens w:val="true"/>
              <w:spacing w:before="0" w:after="0"/>
              <w:jc w:val="center"/>
              <w:rPr>
                <w:sz w:val="20"/>
                <w:szCs w:val="20"/>
                <w:lang w:eastAsia="en-US"/>
              </w:rPr>
            </w:pPr>
            <w:r>
              <w:rPr>
                <w:sz w:val="20"/>
                <w:szCs w:val="20"/>
                <w:lang w:eastAsia="en-US"/>
              </w:rPr>
            </w:r>
          </w:p>
        </w:tc>
      </w:tr>
      <w:tr>
        <w:trPr>
          <w:trHeight w:val="20" w:hRule="atLeast"/>
        </w:trPr>
        <w:tc>
          <w:tcPr>
            <w:tcW w:w="417" w:type="dxa"/>
            <w:tcBorders>
              <w:top w:val="nil"/>
            </w:tcBorders>
            <w:vAlign w:val="center"/>
          </w:tcPr>
          <w:p>
            <w:pPr>
              <w:pStyle w:val="Normal"/>
              <w:widowControl/>
              <w:suppressAutoHyphens w:val="true"/>
              <w:spacing w:before="0" w:after="0"/>
              <w:ind w:left="-113"/>
              <w:jc w:val="center"/>
              <w:rPr>
                <w:sz w:val="20"/>
                <w:szCs w:val="20"/>
              </w:rPr>
            </w:pPr>
            <w:r>
              <w:rPr>
                <w:kern w:val="0"/>
                <w:sz w:val="20"/>
                <w:szCs w:val="20"/>
                <w:lang w:val="ru-RU" w:bidi="ar-SA"/>
              </w:rPr>
              <w:t>3</w:t>
            </w:r>
          </w:p>
        </w:tc>
        <w:tc>
          <w:tcPr>
            <w:tcW w:w="2920" w:type="dxa"/>
            <w:tcBorders>
              <w:top w:val="nil"/>
            </w:tcBorders>
            <w:vAlign w:val="center"/>
          </w:tcPr>
          <w:p>
            <w:pPr>
              <w:pStyle w:val="Style21"/>
              <w:jc w:val="left"/>
              <w:rPr>
                <w:rFonts w:ascii="Times New Roman" w:hAnsi="Times New Roman"/>
                <w:sz w:val="18"/>
                <w:szCs w:val="18"/>
              </w:rPr>
            </w:pPr>
            <w:r>
              <w:rPr>
                <w:rFonts w:ascii="Times New Roman" w:hAnsi="Times New Roman"/>
                <w:sz w:val="18"/>
                <w:szCs w:val="18"/>
              </w:rPr>
              <w:t>Имплантаты для черепно-челюстно-лицевой хирургии и инструменты для их установки, ЧЧЛХ в наборе: Набор пластин для средней зоны лица и свода черепа: Сверло перовое Ø 1.2 мм х 33 мм</w:t>
            </w:r>
          </w:p>
        </w:tc>
        <w:tc>
          <w:tcPr>
            <w:tcW w:w="627" w:type="dxa"/>
            <w:tcBorders>
              <w:top w:val="nil"/>
            </w:tcBorders>
            <w:vAlign w:val="center"/>
          </w:tcPr>
          <w:p>
            <w:pPr>
              <w:pStyle w:val="Normal"/>
              <w:widowControl/>
              <w:suppressAutoHyphens w:val="true"/>
              <w:spacing w:before="0" w:after="0"/>
              <w:jc w:val="center"/>
              <w:rPr>
                <w:sz w:val="20"/>
                <w:szCs w:val="20"/>
                <w:lang w:eastAsia="en-US"/>
              </w:rPr>
            </w:pPr>
            <w:r>
              <w:rPr>
                <w:kern w:val="0"/>
                <w:sz w:val="20"/>
                <w:szCs w:val="20"/>
                <w:lang w:val="ru-RU" w:eastAsia="en-US" w:bidi="ar-SA"/>
              </w:rPr>
              <w:t>шт.</w:t>
            </w:r>
          </w:p>
        </w:tc>
        <w:tc>
          <w:tcPr>
            <w:tcW w:w="1026" w:type="dxa"/>
            <w:tcBorders>
              <w:top w:val="nil"/>
            </w:tcBorders>
          </w:tcPr>
          <w:p>
            <w:pPr>
              <w:pStyle w:val="Normal"/>
              <w:widowControl/>
              <w:suppressAutoHyphens w:val="true"/>
              <w:spacing w:before="0" w:after="0"/>
              <w:jc w:val="center"/>
              <w:rPr>
                <w:sz w:val="20"/>
                <w:szCs w:val="20"/>
                <w:lang w:eastAsia="en-US"/>
              </w:rPr>
            </w:pPr>
            <w:r>
              <w:rPr>
                <w:sz w:val="20"/>
                <w:szCs w:val="20"/>
                <w:lang w:eastAsia="en-US"/>
              </w:rPr>
            </w:r>
          </w:p>
        </w:tc>
        <w:tc>
          <w:tcPr>
            <w:tcW w:w="734" w:type="dxa"/>
            <w:tcBorders>
              <w:top w:val="nil"/>
            </w:tcBorders>
            <w:vAlign w:val="center"/>
          </w:tcPr>
          <w:p>
            <w:pPr>
              <w:pStyle w:val="Normal"/>
              <w:widowControl/>
              <w:suppressAutoHyphens w:val="true"/>
              <w:spacing w:before="0" w:after="0"/>
              <w:jc w:val="center"/>
              <w:rPr>
                <w:sz w:val="20"/>
                <w:szCs w:val="20"/>
                <w:lang w:eastAsia="en-US"/>
              </w:rPr>
            </w:pPr>
            <w:r>
              <w:rPr>
                <w:kern w:val="0"/>
                <w:sz w:val="20"/>
                <w:szCs w:val="20"/>
                <w:lang w:val="ru-RU" w:eastAsia="en-US" w:bidi="ar-SA"/>
              </w:rPr>
              <w:t>1</w:t>
            </w:r>
          </w:p>
        </w:tc>
        <w:tc>
          <w:tcPr>
            <w:tcW w:w="1531" w:type="dxa"/>
            <w:tcBorders>
              <w:top w:val="nil"/>
            </w:tcBorders>
          </w:tcPr>
          <w:p>
            <w:pPr>
              <w:pStyle w:val="Normal"/>
              <w:widowControl/>
              <w:suppressAutoHyphens w:val="true"/>
              <w:spacing w:before="0" w:after="0"/>
              <w:jc w:val="center"/>
              <w:rPr>
                <w:sz w:val="20"/>
                <w:szCs w:val="20"/>
                <w:lang w:eastAsia="en-US"/>
              </w:rPr>
            </w:pPr>
            <w:r>
              <w:rPr>
                <w:sz w:val="20"/>
                <w:szCs w:val="20"/>
                <w:lang w:eastAsia="en-US"/>
              </w:rPr>
            </w:r>
          </w:p>
        </w:tc>
        <w:tc>
          <w:tcPr>
            <w:tcW w:w="1179" w:type="dxa"/>
            <w:tcBorders>
              <w:top w:val="nil"/>
            </w:tcBorders>
          </w:tcPr>
          <w:p>
            <w:pPr>
              <w:pStyle w:val="Normal"/>
              <w:widowControl/>
              <w:suppressAutoHyphens w:val="true"/>
              <w:spacing w:before="0" w:after="0"/>
              <w:jc w:val="center"/>
              <w:rPr>
                <w:sz w:val="20"/>
                <w:szCs w:val="20"/>
                <w:lang w:eastAsia="en-US"/>
              </w:rPr>
            </w:pPr>
            <w:r>
              <w:rPr>
                <w:sz w:val="20"/>
                <w:szCs w:val="20"/>
                <w:lang w:eastAsia="en-US"/>
              </w:rPr>
            </w:r>
          </w:p>
        </w:tc>
        <w:tc>
          <w:tcPr>
            <w:tcW w:w="912" w:type="dxa"/>
            <w:tcBorders>
              <w:top w:val="nil"/>
            </w:tcBorders>
            <w:vAlign w:val="center"/>
          </w:tcPr>
          <w:p>
            <w:pPr>
              <w:pStyle w:val="Normal"/>
              <w:widowControl/>
              <w:suppressAutoHyphens w:val="true"/>
              <w:spacing w:before="0" w:after="0"/>
              <w:jc w:val="center"/>
              <w:rPr>
                <w:sz w:val="20"/>
                <w:szCs w:val="20"/>
                <w:lang w:eastAsia="en-US"/>
              </w:rPr>
            </w:pPr>
            <w:r>
              <w:rPr>
                <w:sz w:val="20"/>
                <w:szCs w:val="20"/>
                <w:lang w:eastAsia="en-US"/>
              </w:rPr>
            </w:r>
          </w:p>
        </w:tc>
        <w:tc>
          <w:tcPr>
            <w:tcW w:w="1272" w:type="dxa"/>
            <w:tcBorders>
              <w:top w:val="nil"/>
            </w:tcBorders>
            <w:vAlign w:val="center"/>
          </w:tcPr>
          <w:p>
            <w:pPr>
              <w:pStyle w:val="Normal"/>
              <w:widowControl/>
              <w:suppressAutoHyphens w:val="true"/>
              <w:spacing w:before="0" w:after="0"/>
              <w:jc w:val="center"/>
              <w:rPr>
                <w:sz w:val="20"/>
                <w:szCs w:val="20"/>
                <w:lang w:eastAsia="en-US"/>
              </w:rPr>
            </w:pPr>
            <w:r>
              <w:rPr>
                <w:sz w:val="20"/>
                <w:szCs w:val="20"/>
                <w:lang w:eastAsia="en-US"/>
              </w:rPr>
            </w:r>
          </w:p>
        </w:tc>
      </w:tr>
      <w:tr>
        <w:trPr>
          <w:trHeight w:val="20" w:hRule="atLeast"/>
        </w:trPr>
        <w:tc>
          <w:tcPr>
            <w:tcW w:w="9346" w:type="dxa"/>
            <w:gridSpan w:val="8"/>
            <w:tcBorders/>
          </w:tcPr>
          <w:p>
            <w:pPr>
              <w:pStyle w:val="Normal"/>
              <w:widowControl/>
              <w:suppressAutoHyphens w:val="true"/>
              <w:spacing w:before="0" w:after="0"/>
              <w:jc w:val="right"/>
              <w:rPr>
                <w:b/>
                <w:sz w:val="20"/>
                <w:szCs w:val="20"/>
                <w:lang w:eastAsia="en-US"/>
              </w:rPr>
            </w:pPr>
            <w:r>
              <w:rPr>
                <w:b/>
                <w:kern w:val="0"/>
                <w:sz w:val="20"/>
                <w:szCs w:val="20"/>
                <w:lang w:val="ru-RU" w:eastAsia="en-US" w:bidi="ar-SA"/>
              </w:rPr>
              <w:t>Итого:</w:t>
            </w:r>
          </w:p>
        </w:tc>
        <w:tc>
          <w:tcPr>
            <w:tcW w:w="1272" w:type="dxa"/>
            <w:tcBorders/>
            <w:vAlign w:val="center"/>
          </w:tcPr>
          <w:p>
            <w:pPr>
              <w:pStyle w:val="Normal"/>
              <w:widowControl/>
              <w:suppressAutoHyphens w:val="true"/>
              <w:spacing w:before="0" w:after="0"/>
              <w:jc w:val="center"/>
              <w:rPr>
                <w:b/>
                <w:sz w:val="20"/>
                <w:szCs w:val="20"/>
                <w:lang w:eastAsia="en-US"/>
              </w:rPr>
            </w:pPr>
            <w:r>
              <w:rPr>
                <w:b/>
                <w:sz w:val="20"/>
                <w:szCs w:val="20"/>
                <w:lang w:eastAsia="en-US"/>
              </w:rPr>
            </w:r>
          </w:p>
        </w:tc>
      </w:tr>
    </w:tbl>
    <w:p>
      <w:pPr>
        <w:pStyle w:val="Normal"/>
        <w:tabs>
          <w:tab w:val="clear" w:pos="708"/>
          <w:tab w:val="left" w:pos="1701" w:leader="none"/>
        </w:tabs>
        <w:ind w:firstLine="708"/>
        <w:jc w:val="both"/>
        <w:rPr>
          <w:b/>
          <w:sz w:val="20"/>
          <w:szCs w:val="20"/>
        </w:rPr>
      </w:pPr>
      <w:r>
        <w:rPr>
          <w:b/>
          <w:sz w:val="20"/>
          <w:szCs w:val="20"/>
        </w:rPr>
      </w:r>
    </w:p>
    <w:p>
      <w:pPr>
        <w:pStyle w:val="Normal"/>
        <w:tabs>
          <w:tab w:val="clear" w:pos="708"/>
          <w:tab w:val="left" w:pos="1701" w:leader="none"/>
        </w:tabs>
        <w:ind w:firstLine="708"/>
        <w:jc w:val="both"/>
        <w:rPr>
          <w:sz w:val="20"/>
          <w:szCs w:val="20"/>
        </w:rPr>
      </w:pPr>
      <w:r>
        <w:rPr>
          <w:b/>
          <w:sz w:val="20"/>
          <w:szCs w:val="20"/>
        </w:rPr>
        <w:t>Итого (цена Контракта)</w:t>
      </w:r>
      <w:r>
        <w:rPr>
          <w:sz w:val="20"/>
          <w:szCs w:val="20"/>
        </w:rPr>
        <w:t>: ____________(_______________) рублей ___ копеек. в том числе НДС –_______ (________) рублей ___копеек.</w:t>
      </w:r>
    </w:p>
    <w:p>
      <w:pPr>
        <w:pStyle w:val="Normal"/>
        <w:jc w:val="both"/>
        <w:rPr>
          <w:sz w:val="20"/>
          <w:szCs w:val="20"/>
        </w:rPr>
      </w:pPr>
      <w:r>
        <w:rPr>
          <w:sz w:val="20"/>
          <w:szCs w:val="20"/>
        </w:rPr>
      </w:r>
    </w:p>
    <w:p>
      <w:pPr>
        <w:pStyle w:val="Normal"/>
        <w:jc w:val="both"/>
        <w:rPr>
          <w:sz w:val="20"/>
          <w:szCs w:val="20"/>
        </w:rPr>
      </w:pPr>
      <w:r>
        <w:rPr>
          <w:sz w:val="20"/>
          <w:szCs w:val="20"/>
        </w:rPr>
      </w:r>
    </w:p>
    <w:tbl>
      <w:tblPr>
        <w:tblW w:w="9781" w:type="dxa"/>
        <w:jc w:val="center"/>
        <w:tblInd w:w="0" w:type="dxa"/>
        <w:tblLayout w:type="fixed"/>
        <w:tblCellMar>
          <w:top w:w="0" w:type="dxa"/>
          <w:left w:w="108" w:type="dxa"/>
          <w:bottom w:w="0" w:type="dxa"/>
          <w:right w:w="108" w:type="dxa"/>
        </w:tblCellMar>
        <w:tblLook w:val="0000" w:noHBand="0" w:noVBand="0" w:firstColumn="0" w:lastRow="0" w:lastColumn="0" w:firstRow="0"/>
      </w:tblPr>
      <w:tblGrid>
        <w:gridCol w:w="5107"/>
        <w:gridCol w:w="4673"/>
      </w:tblGrid>
      <w:tr>
        <w:trPr>
          <w:trHeight w:val="1" w:hRule="atLeast"/>
        </w:trPr>
        <w:tc>
          <w:tcPr>
            <w:tcW w:w="5107" w:type="dxa"/>
            <w:tcBorders>
              <w:top w:val="single" w:sz="4" w:space="0" w:color="000000"/>
              <w:left w:val="single" w:sz="4" w:space="0" w:color="000000"/>
              <w:bottom w:val="single" w:sz="4" w:space="0" w:color="000000"/>
              <w:right w:val="single" w:sz="4" w:space="0" w:color="000000"/>
            </w:tcBorders>
            <w:shd w:color="000000" w:fill="FFFFFF" w:val="clear"/>
            <w:vAlign w:val="center"/>
          </w:tcPr>
          <w:p>
            <w:pPr>
              <w:pStyle w:val="Normal"/>
              <w:jc w:val="center"/>
              <w:rPr>
                <w:sz w:val="20"/>
                <w:szCs w:val="20"/>
              </w:rPr>
            </w:pPr>
            <w:r>
              <w:rPr>
                <w:b/>
                <w:sz w:val="20"/>
                <w:szCs w:val="20"/>
              </w:rPr>
              <w:t>Заказчик:</w:t>
            </w:r>
          </w:p>
        </w:tc>
        <w:tc>
          <w:tcPr>
            <w:tcW w:w="4673" w:type="dxa"/>
            <w:tcBorders>
              <w:top w:val="single" w:sz="4" w:space="0" w:color="000000"/>
              <w:left w:val="single" w:sz="4" w:space="0" w:color="000000"/>
              <w:bottom w:val="single" w:sz="4" w:space="0" w:color="000000"/>
              <w:right w:val="single" w:sz="4" w:space="0" w:color="000000"/>
            </w:tcBorders>
            <w:shd w:color="000000" w:fill="FFFFFF" w:val="clear"/>
            <w:vAlign w:val="center"/>
          </w:tcPr>
          <w:p>
            <w:pPr>
              <w:pStyle w:val="Normal"/>
              <w:jc w:val="center"/>
              <w:rPr>
                <w:sz w:val="20"/>
                <w:szCs w:val="20"/>
              </w:rPr>
            </w:pPr>
            <w:r>
              <w:rPr>
                <w:b/>
                <w:sz w:val="20"/>
                <w:szCs w:val="20"/>
              </w:rPr>
              <w:t>Поставщик:</w:t>
            </w:r>
          </w:p>
        </w:tc>
      </w:tr>
      <w:tr>
        <w:trPr>
          <w:trHeight w:val="965" w:hRule="atLeast"/>
        </w:trPr>
        <w:tc>
          <w:tcPr>
            <w:tcW w:w="5107" w:type="dxa"/>
            <w:tcBorders>
              <w:top w:val="single" w:sz="4" w:space="0" w:color="000000"/>
              <w:left w:val="single" w:sz="4" w:space="0" w:color="000000"/>
              <w:bottom w:val="single" w:sz="4" w:space="0" w:color="000000"/>
              <w:right w:val="single" w:sz="4" w:space="0" w:color="000000"/>
            </w:tcBorders>
            <w:shd w:color="000000" w:fill="FFFFFF" w:val="clear"/>
          </w:tcPr>
          <w:p>
            <w:pPr>
              <w:pStyle w:val="Normal"/>
              <w:rPr>
                <w:b/>
                <w:sz w:val="20"/>
                <w:szCs w:val="20"/>
              </w:rPr>
            </w:pPr>
            <w:r>
              <w:rPr>
                <w:b/>
                <w:sz w:val="20"/>
                <w:szCs w:val="20"/>
              </w:rPr>
              <w:t>СПб ГБУЗ «Елизаветинская больница»</w:t>
            </w:r>
          </w:p>
          <w:p>
            <w:pPr>
              <w:pStyle w:val="Normal"/>
              <w:rPr>
                <w:sz w:val="20"/>
                <w:szCs w:val="20"/>
              </w:rPr>
            </w:pPr>
            <w:r>
              <w:rPr>
                <w:sz w:val="20"/>
                <w:szCs w:val="20"/>
              </w:rPr>
              <w:t>Главный врач</w:t>
            </w:r>
          </w:p>
          <w:p>
            <w:pPr>
              <w:pStyle w:val="Normal"/>
              <w:rPr>
                <w:sz w:val="20"/>
                <w:szCs w:val="20"/>
              </w:rPr>
            </w:pPr>
            <w:r>
              <w:rPr>
                <w:sz w:val="20"/>
                <w:szCs w:val="20"/>
              </w:rPr>
            </w:r>
          </w:p>
          <w:p>
            <w:pPr>
              <w:pStyle w:val="Normal"/>
              <w:rPr>
                <w:sz w:val="20"/>
                <w:szCs w:val="20"/>
              </w:rPr>
            </w:pPr>
            <w:r>
              <w:rPr>
                <w:sz w:val="20"/>
                <w:szCs w:val="20"/>
              </w:rPr>
              <w:t>________________________ С.В. Петров</w:t>
            </w:r>
          </w:p>
          <w:p>
            <w:pPr>
              <w:pStyle w:val="Normal"/>
              <w:rPr>
                <w:sz w:val="20"/>
                <w:szCs w:val="20"/>
              </w:rPr>
            </w:pPr>
            <w:r>
              <w:rPr>
                <w:sz w:val="20"/>
                <w:szCs w:val="20"/>
              </w:rPr>
            </w:r>
          </w:p>
        </w:tc>
        <w:tc>
          <w:tcPr>
            <w:tcW w:w="4673" w:type="dxa"/>
            <w:tcBorders>
              <w:top w:val="single" w:sz="4" w:space="0" w:color="000000"/>
              <w:left w:val="single" w:sz="4" w:space="0" w:color="000000"/>
              <w:bottom w:val="single" w:sz="4" w:space="0" w:color="000000"/>
              <w:right w:val="single" w:sz="4" w:space="0" w:color="000000"/>
            </w:tcBorders>
            <w:shd w:color="000000" w:fill="FFFFFF" w:val="clear"/>
          </w:tcPr>
          <w:p>
            <w:pPr>
              <w:pStyle w:val="Normal"/>
              <w:widowControl w:val="false"/>
              <w:rPr>
                <w:b/>
                <w:sz w:val="20"/>
                <w:szCs w:val="20"/>
              </w:rPr>
            </w:pPr>
            <w:r>
              <w:rPr>
                <w:b/>
                <w:sz w:val="20"/>
                <w:szCs w:val="20"/>
              </w:rPr>
              <w:t>Наименование Поставщика</w:t>
            </w:r>
          </w:p>
          <w:p>
            <w:pPr>
              <w:pStyle w:val="Normal"/>
              <w:widowControl w:val="false"/>
              <w:rPr>
                <w:sz w:val="20"/>
                <w:szCs w:val="20"/>
              </w:rPr>
            </w:pPr>
            <w:r>
              <w:rPr>
                <w:sz w:val="20"/>
                <w:szCs w:val="20"/>
              </w:rPr>
              <w:t>Должность</w:t>
            </w:r>
          </w:p>
          <w:p>
            <w:pPr>
              <w:pStyle w:val="Normal"/>
              <w:widowControl w:val="false"/>
              <w:rPr>
                <w:sz w:val="20"/>
                <w:szCs w:val="20"/>
              </w:rPr>
            </w:pPr>
            <w:r>
              <w:rPr>
                <w:sz w:val="20"/>
                <w:szCs w:val="20"/>
              </w:rPr>
            </w:r>
          </w:p>
          <w:p>
            <w:pPr>
              <w:pStyle w:val="Normal"/>
              <w:widowControl w:val="false"/>
              <w:rPr>
                <w:sz w:val="20"/>
                <w:szCs w:val="20"/>
              </w:rPr>
            </w:pPr>
            <w:r>
              <w:rPr>
                <w:sz w:val="20"/>
                <w:szCs w:val="20"/>
              </w:rPr>
              <w:t>________________________ И.О. Фамилия</w:t>
            </w:r>
          </w:p>
          <w:p>
            <w:pPr>
              <w:pStyle w:val="Normal"/>
              <w:rPr>
                <w:sz w:val="20"/>
                <w:szCs w:val="20"/>
              </w:rPr>
            </w:pPr>
            <w:r>
              <w:rPr>
                <w:sz w:val="20"/>
                <w:szCs w:val="20"/>
              </w:rPr>
            </w:r>
          </w:p>
        </w:tc>
      </w:tr>
    </w:tbl>
    <w:p>
      <w:pPr>
        <w:sectPr>
          <w:headerReference w:type="even" r:id="rId2"/>
          <w:headerReference w:type="default" r:id="rId3"/>
          <w:headerReference w:type="first" r:id="rId4"/>
          <w:type w:val="nextPage"/>
          <w:pgSz w:w="11906" w:h="16838"/>
          <w:pgMar w:left="1134" w:right="851" w:gutter="0" w:header="709" w:top="766" w:footer="0" w:bottom="1134"/>
          <w:pgNumType w:fmt="decimal"/>
          <w:formProt w:val="false"/>
          <w:textDirection w:val="lrTb"/>
          <w:docGrid w:type="default" w:linePitch="360" w:charSpace="0"/>
        </w:sectPr>
      </w:pPr>
      <w:r>
        <w:br w:type="page"/>
      </w:r>
    </w:p>
    <w:p>
      <w:pPr>
        <w:pStyle w:val="Normal"/>
        <w:spacing w:before="0" w:after="0"/>
        <w:jc w:val="right"/>
        <w:rPr>
          <w:b/>
          <w:sz w:val="18"/>
          <w:szCs w:val="20"/>
        </w:rPr>
      </w:pPr>
      <w:r>
        <w:rPr>
          <w:b/>
          <w:sz w:val="18"/>
          <w:szCs w:val="20"/>
        </w:rPr>
        <w:t xml:space="preserve">Приложение № 2 </w:t>
      </w:r>
    </w:p>
    <w:p>
      <w:pPr>
        <w:pStyle w:val="Normal"/>
        <w:jc w:val="right"/>
        <w:rPr>
          <w:rFonts w:eastAsia="Calibri" w:eastAsiaTheme="minorHAnsi"/>
          <w:b/>
          <w:sz w:val="18"/>
          <w:szCs w:val="20"/>
          <w:lang w:eastAsia="en-US"/>
        </w:rPr>
      </w:pPr>
      <w:r>
        <w:rPr>
          <w:b/>
          <w:sz w:val="18"/>
          <w:szCs w:val="20"/>
        </w:rPr>
        <w:t xml:space="preserve">к Контракту </w:t>
      </w:r>
      <w:r>
        <w:rPr>
          <w:rFonts w:eastAsia="Calibri" w:eastAsiaTheme="minorHAnsi"/>
          <w:b/>
          <w:sz w:val="18"/>
          <w:szCs w:val="20"/>
          <w:lang w:eastAsia="en-US"/>
        </w:rPr>
        <w:t>№ 2</w:t>
      </w:r>
      <w:r>
        <w:rPr>
          <w:rFonts w:eastAsia="Calibri" w:eastAsiaTheme="minorHAnsi"/>
          <w:b/>
          <w:sz w:val="18"/>
          <w:szCs w:val="20"/>
          <w:lang w:eastAsia="en-US"/>
        </w:rPr>
        <w:t>13</w:t>
      </w:r>
      <w:r>
        <w:rPr>
          <w:rFonts w:eastAsia="Calibri" w:eastAsiaTheme="minorHAnsi"/>
          <w:b/>
          <w:sz w:val="18"/>
          <w:szCs w:val="20"/>
          <w:lang w:eastAsia="en-US"/>
        </w:rPr>
        <w:t xml:space="preserve">/2026 от «___» _________ 2026г. </w:t>
      </w:r>
    </w:p>
    <w:p>
      <w:pPr>
        <w:pStyle w:val="Normal"/>
        <w:widowControl w:val="false"/>
        <w:spacing w:lineRule="auto" w:line="276"/>
        <w:jc w:val="center"/>
        <w:rPr>
          <w:b/>
          <w:color w:val="000000"/>
          <w:sz w:val="20"/>
          <w:szCs w:val="20"/>
        </w:rPr>
      </w:pPr>
      <w:r>
        <w:rPr>
          <w:b/>
          <w:color w:val="000000"/>
          <w:sz w:val="20"/>
          <w:szCs w:val="20"/>
        </w:rPr>
        <w:t>Техническое задание</w:t>
      </w:r>
    </w:p>
    <w:p>
      <w:pPr>
        <w:pStyle w:val="Normal"/>
        <w:widowControl w:val="false"/>
        <w:spacing w:lineRule="auto" w:line="276"/>
        <w:jc w:val="center"/>
        <w:rPr>
          <w:b/>
          <w:color w:val="000000"/>
          <w:sz w:val="20"/>
          <w:szCs w:val="20"/>
        </w:rPr>
      </w:pPr>
      <w:r>
        <w:rPr>
          <w:b/>
          <w:color w:val="000000"/>
          <w:sz w:val="20"/>
          <w:szCs w:val="20"/>
        </w:rPr>
      </w:r>
    </w:p>
    <w:p>
      <w:pPr>
        <w:pStyle w:val="Normal"/>
        <w:widowControl w:val="false"/>
        <w:spacing w:lineRule="auto" w:line="276"/>
        <w:jc w:val="left"/>
        <w:rPr>
          <w:b/>
          <w:color w:val="000000"/>
          <w:sz w:val="20"/>
          <w:szCs w:val="20"/>
        </w:rPr>
      </w:pPr>
      <w:r>
        <w:rPr>
          <w:b/>
          <w:color w:val="000000"/>
          <w:sz w:val="20"/>
          <w:szCs w:val="20"/>
        </w:rPr>
      </w:r>
    </w:p>
    <w:tbl>
      <w:tblPr>
        <w:tblStyle w:val="TableStyle1"/>
        <w:tblW w:w="15366" w:type="dxa"/>
        <w:jc w:val="left"/>
        <w:tblInd w:w="69" w:type="dxa"/>
        <w:tblLayout w:type="fixed"/>
        <w:tblCellMar>
          <w:top w:w="0" w:type="dxa"/>
          <w:left w:w="57" w:type="dxa"/>
          <w:bottom w:w="0" w:type="dxa"/>
          <w:right w:w="57" w:type="dxa"/>
        </w:tblCellMar>
        <w:tblLook w:val="04a0" w:noHBand="0" w:noVBand="1" w:firstColumn="1" w:lastRow="0" w:lastColumn="0" w:firstRow="1"/>
      </w:tblPr>
      <w:tblGrid>
        <w:gridCol w:w="384"/>
        <w:gridCol w:w="2649"/>
        <w:gridCol w:w="5301"/>
        <w:gridCol w:w="5897"/>
        <w:gridCol w:w="567"/>
        <w:gridCol w:w="568"/>
      </w:tblGrid>
      <w:tr>
        <w:trPr>
          <w:cantSplit w:val="true"/>
        </w:trPr>
        <w:tc>
          <w:tcPr>
            <w:tcW w:w="384" w:type="dxa"/>
            <w:tcBorders>
              <w:top w:val="single" w:sz="10" w:space="0" w:color="000000"/>
              <w:left w:val="single" w:sz="10" w:space="0" w:color="000000"/>
            </w:tcBorders>
            <w:shd w:color="auto" w:fill="auto" w:val="clear"/>
            <w:vAlign w:val="center"/>
          </w:tcPr>
          <w:p>
            <w:pPr>
              <w:pStyle w:val="Normal"/>
              <w:widowControl/>
              <w:suppressAutoHyphens w:val="true"/>
              <w:spacing w:lineRule="auto" w:line="240" w:before="0" w:after="0"/>
              <w:jc w:val="center"/>
              <w:rPr>
                <w:rFonts w:ascii="Times New Roman" w:hAnsi="Times New Roman" w:cs="Times New Roman"/>
              </w:rPr>
            </w:pPr>
            <w:r>
              <w:rPr>
                <w:rFonts w:eastAsia="" w:cs="Times New Roman"/>
                <w:b/>
                <w:kern w:val="0"/>
                <w:sz w:val="19"/>
                <w:szCs w:val="19"/>
                <w:lang w:val="ru-RU" w:eastAsia="ru-RU" w:bidi="ar-SA"/>
              </w:rPr>
              <w:t>№</w:t>
            </w:r>
          </w:p>
        </w:tc>
        <w:tc>
          <w:tcPr>
            <w:tcW w:w="2649" w:type="dxa"/>
            <w:tcBorders>
              <w:top w:val="single" w:sz="10" w:space="0" w:color="000000"/>
              <w:left w:val="single" w:sz="4" w:space="0" w:color="000000"/>
            </w:tcBorders>
            <w:shd w:color="auto" w:fill="auto" w:val="clear"/>
            <w:vAlign w:val="center"/>
          </w:tcPr>
          <w:p>
            <w:pPr>
              <w:pStyle w:val="Normal"/>
              <w:widowControl/>
              <w:suppressAutoHyphens w:val="true"/>
              <w:spacing w:lineRule="auto" w:line="240" w:before="0" w:after="0"/>
              <w:jc w:val="center"/>
              <w:rPr>
                <w:rFonts w:ascii="Times New Roman" w:hAnsi="Times New Roman" w:cs="Times New Roman"/>
              </w:rPr>
            </w:pPr>
            <w:r>
              <w:rPr>
                <w:rFonts w:eastAsia="" w:cs="Times New Roman"/>
                <w:b/>
                <w:kern w:val="0"/>
                <w:sz w:val="19"/>
                <w:szCs w:val="19"/>
                <w:lang w:val="ru-RU" w:eastAsia="ru-RU" w:bidi="ar-SA"/>
              </w:rPr>
              <w:t>Наименование</w:t>
            </w:r>
          </w:p>
        </w:tc>
        <w:tc>
          <w:tcPr>
            <w:tcW w:w="5301" w:type="dxa"/>
            <w:tcBorders>
              <w:top w:val="single" w:sz="10" w:space="0" w:color="000000"/>
              <w:left w:val="single" w:sz="4" w:space="0" w:color="000000"/>
              <w:right w:val="single" w:sz="4" w:space="0" w:color="000000"/>
            </w:tcBorders>
            <w:vAlign w:val="center"/>
          </w:tcPr>
          <w:p>
            <w:pPr>
              <w:pStyle w:val="Normal"/>
              <w:widowControl/>
              <w:suppressAutoHyphens w:val="true"/>
              <w:spacing w:lineRule="auto" w:line="240" w:before="0" w:after="0"/>
              <w:jc w:val="center"/>
              <w:rPr>
                <w:rFonts w:ascii="Times New Roman" w:hAnsi="Times New Roman" w:cs="Times New Roman"/>
                <w:b/>
                <w:sz w:val="18"/>
                <w:szCs w:val="18"/>
              </w:rPr>
            </w:pPr>
            <w:r>
              <w:rPr>
                <w:rFonts w:eastAsia="" w:cs="Times New Roman"/>
                <w:b/>
                <w:kern w:val="0"/>
                <w:sz w:val="18"/>
                <w:szCs w:val="18"/>
                <w:lang w:val="ru-RU" w:eastAsia="ru-RU" w:bidi="ar-SA"/>
              </w:rPr>
              <w:t>КТРУ</w:t>
            </w:r>
          </w:p>
        </w:tc>
        <w:tc>
          <w:tcPr>
            <w:tcW w:w="5897" w:type="dxa"/>
            <w:tcBorders>
              <w:top w:val="single" w:sz="10" w:space="0" w:color="000000"/>
              <w:left w:val="single" w:sz="4" w:space="0" w:color="000000"/>
              <w:right w:val="single" w:sz="4" w:space="0" w:color="000000"/>
            </w:tcBorders>
            <w:shd w:color="auto" w:fill="auto" w:val="clear"/>
            <w:vAlign w:val="center"/>
          </w:tcPr>
          <w:p>
            <w:pPr>
              <w:pStyle w:val="Normal"/>
              <w:widowControl/>
              <w:suppressAutoHyphens w:val="true"/>
              <w:spacing w:lineRule="auto" w:line="240" w:before="0" w:after="0"/>
              <w:jc w:val="center"/>
              <w:rPr>
                <w:rFonts w:ascii="Times New Roman" w:hAnsi="Times New Roman" w:cs="Times New Roman"/>
                <w:b/>
                <w:sz w:val="18"/>
                <w:szCs w:val="18"/>
              </w:rPr>
            </w:pPr>
            <w:r>
              <w:rPr>
                <w:rFonts w:eastAsia="" w:cs="Times New Roman"/>
                <w:b/>
                <w:kern w:val="0"/>
                <w:sz w:val="18"/>
                <w:szCs w:val="18"/>
                <w:lang w:val="ru-RU" w:eastAsia="ru-RU" w:bidi="ar-SA"/>
              </w:rPr>
              <w:t>Технические характеристики (также дополнительные характеристики товара в связи с отсутствием в  КТРУ характеристик товара)</w:t>
            </w:r>
          </w:p>
        </w:tc>
        <w:tc>
          <w:tcPr>
            <w:tcW w:w="567" w:type="dxa"/>
            <w:tcBorders>
              <w:top w:val="single" w:sz="10" w:space="0" w:color="000000"/>
              <w:left w:val="single" w:sz="4" w:space="0" w:color="000000"/>
              <w:right w:val="single" w:sz="4" w:space="0" w:color="000000"/>
            </w:tcBorders>
            <w:vAlign w:val="center"/>
          </w:tcPr>
          <w:p>
            <w:pPr>
              <w:pStyle w:val="Normal"/>
              <w:widowControl/>
              <w:suppressAutoHyphens w:val="true"/>
              <w:spacing w:lineRule="auto" w:line="240" w:before="0" w:after="0"/>
              <w:jc w:val="center"/>
              <w:rPr>
                <w:rFonts w:ascii="Times New Roman" w:hAnsi="Times New Roman" w:cs="Times New Roman"/>
                <w:b/>
                <w:sz w:val="18"/>
                <w:szCs w:val="18"/>
              </w:rPr>
            </w:pPr>
            <w:r>
              <w:rPr>
                <w:rFonts w:eastAsia="" w:cs="Times New Roman"/>
                <w:b/>
                <w:kern w:val="0"/>
                <w:sz w:val="18"/>
                <w:szCs w:val="18"/>
                <w:lang w:val="ru-RU" w:eastAsia="ru-RU" w:bidi="ar-SA"/>
              </w:rPr>
              <w:t>Ед. изм.</w:t>
            </w:r>
          </w:p>
        </w:tc>
        <w:tc>
          <w:tcPr>
            <w:tcW w:w="568" w:type="dxa"/>
            <w:tcBorders>
              <w:top w:val="single" w:sz="10" w:space="0" w:color="000000"/>
              <w:left w:val="single" w:sz="4" w:space="0" w:color="000000"/>
              <w:right w:val="single" w:sz="4" w:space="0" w:color="000000"/>
            </w:tcBorders>
            <w:vAlign w:val="center"/>
          </w:tcPr>
          <w:p>
            <w:pPr>
              <w:pStyle w:val="Normal"/>
              <w:widowControl/>
              <w:suppressAutoHyphens w:val="true"/>
              <w:spacing w:lineRule="auto" w:line="240" w:before="0" w:after="0"/>
              <w:jc w:val="center"/>
              <w:rPr>
                <w:rFonts w:ascii="Times New Roman" w:hAnsi="Times New Roman" w:cs="Times New Roman"/>
                <w:b/>
                <w:sz w:val="18"/>
                <w:szCs w:val="18"/>
              </w:rPr>
            </w:pPr>
            <w:r>
              <w:rPr>
                <w:rFonts w:eastAsia="" w:cs="Times New Roman"/>
                <w:b/>
                <w:kern w:val="0"/>
                <w:sz w:val="18"/>
                <w:szCs w:val="18"/>
                <w:lang w:val="ru-RU" w:eastAsia="ru-RU" w:bidi="ar-SA"/>
              </w:rPr>
              <w:t>Кол-во</w:t>
            </w:r>
          </w:p>
        </w:tc>
      </w:tr>
      <w:tr>
        <w:trPr>
          <w:cantSplit w:val="true"/>
        </w:trPr>
        <w:tc>
          <w:tcPr>
            <w:tcW w:w="384" w:type="dxa"/>
            <w:tcBorders>
              <w:top w:val="single" w:sz="4" w:space="0" w:color="000000"/>
              <w:left w:val="single" w:sz="10" w:space="0" w:color="000000"/>
            </w:tcBorders>
            <w:shd w:color="auto" w:fill="auto" w:val="clear"/>
          </w:tcPr>
          <w:p>
            <w:pPr>
              <w:pStyle w:val="Normal"/>
              <w:widowControl/>
              <w:suppressAutoHyphens w:val="true"/>
              <w:spacing w:lineRule="auto" w:line="240" w:before="0" w:after="0"/>
              <w:jc w:val="center"/>
              <w:rPr>
                <w:rFonts w:ascii="Times New Roman" w:hAnsi="Times New Roman" w:cs="Times New Roman"/>
              </w:rPr>
            </w:pPr>
            <w:r>
              <w:rPr>
                <w:rFonts w:eastAsia="" w:cs="Times New Roman"/>
                <w:kern w:val="0"/>
                <w:sz w:val="16"/>
                <w:szCs w:val="16"/>
                <w:lang w:val="ru-RU" w:eastAsia="ru-RU" w:bidi="ar-SA"/>
              </w:rPr>
              <w:t>1</w:t>
            </w:r>
          </w:p>
        </w:tc>
        <w:tc>
          <w:tcPr>
            <w:tcW w:w="264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suppressAutoHyphens w:val="true"/>
              <w:spacing w:lineRule="auto" w:line="240" w:before="0" w:after="0"/>
              <w:jc w:val="left"/>
              <w:rPr>
                <w:rFonts w:ascii="Times New Roman" w:hAnsi="Times New Roman" w:cs="Times New Roman"/>
              </w:rPr>
            </w:pPr>
            <w:r>
              <w:rPr>
                <w:rFonts w:eastAsia="" w:cs="Times New Roman"/>
                <w:kern w:val="0"/>
                <w:sz w:val="16"/>
                <w:szCs w:val="16"/>
                <w:lang w:val="ru-RU" w:eastAsia="ru-RU" w:bidi="ar-SA"/>
              </w:rPr>
              <w:t>Индивидуальная сетчатая пластина с моделью</w:t>
            </w:r>
          </w:p>
        </w:tc>
        <w:tc>
          <w:tcPr>
            <w:tcW w:w="5301" w:type="dxa"/>
            <w:tcBorders>
              <w:top w:val="single" w:sz="4" w:space="0" w:color="000000"/>
              <w:left w:val="single" w:sz="4" w:space="0" w:color="000000"/>
              <w:right w:val="single" w:sz="4" w:space="0" w:color="000000"/>
            </w:tcBorders>
          </w:tcPr>
          <w:p>
            <w:pPr>
              <w:pStyle w:val="Normal"/>
              <w:widowControl/>
              <w:suppressAutoHyphens w:val="true"/>
              <w:spacing w:lineRule="auto" w:line="240" w:before="0" w:after="0"/>
              <w:jc w:val="left"/>
              <w:rPr>
                <w:rFonts w:ascii="Times New Roman" w:hAnsi="Times New Roman" w:cs="Times New Roman"/>
                <w:b/>
                <w:szCs w:val="16"/>
              </w:rPr>
            </w:pPr>
            <w:r>
              <w:rPr>
                <w:rFonts w:eastAsia="" w:cs="Times New Roman"/>
                <w:b/>
                <w:kern w:val="0"/>
                <w:sz w:val="16"/>
                <w:szCs w:val="16"/>
                <w:lang w:val="ru-RU" w:eastAsia="ru-RU" w:bidi="ar-SA"/>
              </w:rPr>
              <w:t>КТРУ: 32.50.22.129-00002426</w:t>
            </w:r>
          </w:p>
          <w:p>
            <w:pPr>
              <w:pStyle w:val="Normal"/>
              <w:widowControl/>
              <w:suppressAutoHyphens w:val="true"/>
              <w:spacing w:lineRule="auto" w:line="240" w:before="0" w:after="0"/>
              <w:jc w:val="left"/>
              <w:rPr>
                <w:rFonts w:ascii="Times New Roman" w:hAnsi="Times New Roman" w:cs="Times New Roman"/>
                <w:szCs w:val="16"/>
              </w:rPr>
            </w:pPr>
            <w:r>
              <w:rPr>
                <w:rFonts w:eastAsia="" w:cs="Times New Roman"/>
                <w:kern w:val="0"/>
                <w:sz w:val="16"/>
                <w:szCs w:val="16"/>
                <w:lang w:val="ru-RU" w:eastAsia="ru-RU" w:bidi="ar-SA"/>
              </w:rPr>
              <w:t>"Имплантируемый защитный экран, предназначенный для исправления значительных дефектов черепа, предварительно подготовленный перед операцией и, как правило, изготавливаемый из листового материала (например, танталовых пластин), форма которого может быть изменена во время операции без изменения физических или химических свойств материала. Изделие обычно предварительно изготавливается с центральным выпуклым изгибом, соотв</w:t>
            </w:r>
            <w:bookmarkStart w:id="0" w:name="_GoBack"/>
            <w:bookmarkEnd w:id="0"/>
            <w:r>
              <w:rPr>
                <w:rFonts w:eastAsia="" w:cs="Times New Roman"/>
                <w:kern w:val="0"/>
                <w:sz w:val="16"/>
                <w:szCs w:val="16"/>
                <w:lang w:val="ru-RU" w:eastAsia="ru-RU" w:bidi="ar-SA"/>
              </w:rPr>
              <w:t>етствующим изгибам лба, боковых или задних участков черепа взрослого человека; оно обычно прикрепляется к целым костям черепа с помощью винтов и/или других крепежных деталей. Изделие используется для исправления дефектов, возникших в результате травмы, хирургического вмешательства, направленного на удаление опухоли, врожденной аномалии или болезни."</w:t>
            </w:r>
          </w:p>
        </w:tc>
        <w:tc>
          <w:tcPr>
            <w:tcW w:w="5897" w:type="dxa"/>
            <w:tcBorders>
              <w:top w:val="single" w:sz="4" w:space="0" w:color="000000"/>
              <w:left w:val="single" w:sz="4" w:space="0" w:color="000000"/>
              <w:right w:val="single" w:sz="4" w:space="0" w:color="000000"/>
            </w:tcBorders>
            <w:shd w:color="auto" w:fill="auto" w:val="clear"/>
          </w:tcPr>
          <w:p>
            <w:pPr>
              <w:pStyle w:val="Normal"/>
              <w:widowControl/>
              <w:suppressAutoHyphens w:val="true"/>
              <w:spacing w:lineRule="auto" w:line="240" w:before="0" w:after="0"/>
              <w:jc w:val="left"/>
              <w:rPr>
                <w:rFonts w:ascii="Times New Roman" w:hAnsi="Times New Roman" w:cs="Times New Roman"/>
                <w:szCs w:val="16"/>
              </w:rPr>
            </w:pPr>
            <w:r>
              <w:rPr>
                <w:rFonts w:eastAsia="" w:cs="Times New Roman"/>
                <w:kern w:val="0"/>
                <w:sz w:val="16"/>
                <w:szCs w:val="16"/>
                <w:lang w:val="ru-RU" w:eastAsia="ru-RU" w:bidi="ar-SA"/>
              </w:rPr>
              <w:t>Индивидуальная титановая сетчатая пластина, смоделированная по стереолитографической модели дефекта костей черепа, размер дефекта 98±10 х 98±10 мм (при измерении по плоскости на МСКТ), изготовлена из титана ВТ1-0 ГОСТ 22178-76 методом пластической  деформации, толщина 0,6 мм, перфорирована отверстиями диаметром 1,8 мм, шаг перфорации 4,0 мм, шероховатость поверхности Ra не менее 0,4мкм,. Стереолитографическая пластиковая модель фрагмента черепа пациента, изготовленная на 3-х мерном принтере из полиамида с точностью  ±0,02 мм по stl-файлу. Stl-файл создаётся в профессиональном программном обеспечении по данным компьютерной томографии.</w:t>
            </w:r>
          </w:p>
        </w:tc>
        <w:tc>
          <w:tcPr>
            <w:tcW w:w="567" w:type="dxa"/>
            <w:tcBorders>
              <w:top w:val="single" w:sz="4" w:space="0" w:color="000000"/>
              <w:left w:val="single" w:sz="4" w:space="0" w:color="000000"/>
              <w:right w:val="single" w:sz="4" w:space="0" w:color="000000"/>
            </w:tcBorders>
          </w:tcPr>
          <w:p>
            <w:pPr>
              <w:pStyle w:val="Normal"/>
              <w:widowControl/>
              <w:suppressAutoHyphens w:val="true"/>
              <w:spacing w:lineRule="auto" w:line="240" w:before="0" w:after="0"/>
              <w:jc w:val="center"/>
              <w:rPr>
                <w:rFonts w:ascii="Times New Roman" w:hAnsi="Times New Roman" w:cs="Times New Roman"/>
              </w:rPr>
            </w:pPr>
            <w:r>
              <w:rPr>
                <w:rFonts w:eastAsia="" w:cs="Times New Roman"/>
                <w:kern w:val="0"/>
                <w:sz w:val="16"/>
                <w:szCs w:val="22"/>
                <w:lang w:val="ru-RU" w:eastAsia="ru-RU" w:bidi="ar-SA"/>
              </w:rPr>
              <w:t>шт.</w:t>
            </w:r>
          </w:p>
        </w:tc>
        <w:tc>
          <w:tcPr>
            <w:tcW w:w="568" w:type="dxa"/>
            <w:tcBorders>
              <w:top w:val="single" w:sz="4" w:space="0" w:color="000000"/>
              <w:left w:val="single" w:sz="4" w:space="0" w:color="000000"/>
              <w:right w:val="single" w:sz="4" w:space="0" w:color="000000"/>
            </w:tcBorders>
          </w:tcPr>
          <w:p>
            <w:pPr>
              <w:pStyle w:val="Normal"/>
              <w:widowControl/>
              <w:suppressAutoHyphens w:val="true"/>
              <w:spacing w:lineRule="auto" w:line="240" w:before="0" w:after="0"/>
              <w:jc w:val="center"/>
              <w:rPr>
                <w:rFonts w:ascii="Times New Roman" w:hAnsi="Times New Roman" w:cs="Times New Roman"/>
              </w:rPr>
            </w:pPr>
            <w:r>
              <w:rPr>
                <w:rFonts w:eastAsia="" w:cs="Times New Roman"/>
                <w:kern w:val="0"/>
                <w:sz w:val="16"/>
                <w:szCs w:val="16"/>
                <w:lang w:val="ru-RU" w:eastAsia="ru-RU" w:bidi="ar-SA"/>
              </w:rPr>
              <w:t>1</w:t>
            </w:r>
          </w:p>
        </w:tc>
      </w:tr>
      <w:tr>
        <w:trPr>
          <w:cantSplit w:val="true"/>
        </w:trPr>
        <w:tc>
          <w:tcPr>
            <w:tcW w:w="384" w:type="dxa"/>
            <w:tcBorders>
              <w:top w:val="single" w:sz="4" w:space="0" w:color="000000"/>
              <w:left w:val="single" w:sz="10" w:space="0" w:color="000000"/>
            </w:tcBorders>
            <w:shd w:color="auto" w:fill="auto" w:val="clear"/>
          </w:tcPr>
          <w:p>
            <w:pPr>
              <w:pStyle w:val="Normal"/>
              <w:widowControl/>
              <w:suppressAutoHyphens w:val="true"/>
              <w:spacing w:lineRule="auto" w:line="240" w:before="0" w:after="0"/>
              <w:jc w:val="center"/>
              <w:rPr>
                <w:rFonts w:ascii="Times New Roman" w:hAnsi="Times New Roman" w:cs="Times New Roman"/>
              </w:rPr>
            </w:pPr>
            <w:r>
              <w:rPr>
                <w:rFonts w:eastAsia="" w:cs="Times New Roman"/>
                <w:kern w:val="0"/>
                <w:sz w:val="16"/>
                <w:szCs w:val="16"/>
                <w:lang w:val="ru-RU" w:eastAsia="ru-RU" w:bidi="ar-SA"/>
              </w:rPr>
              <w:t>2</w:t>
            </w:r>
          </w:p>
        </w:tc>
        <w:tc>
          <w:tcPr>
            <w:tcW w:w="264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suppressAutoHyphens w:val="true"/>
              <w:spacing w:lineRule="auto" w:line="240" w:before="0" w:after="0"/>
              <w:jc w:val="left"/>
              <w:rPr>
                <w:rFonts w:ascii="Times New Roman" w:hAnsi="Times New Roman" w:cs="Times New Roman"/>
              </w:rPr>
            </w:pPr>
            <w:r>
              <w:rPr>
                <w:rFonts w:eastAsia="" w:cs="Times New Roman"/>
                <w:kern w:val="0"/>
                <w:sz w:val="16"/>
                <w:szCs w:val="16"/>
                <w:lang w:val="ru-RU" w:eastAsia="ru-RU" w:bidi="ar-SA"/>
              </w:rPr>
              <w:t>Имплантаты для черепно-челюстно-лицевой хирургии и инструменты для их установки, ЧЧЛХ-в наборе: Набор мини-, низкопрофильных, микропластин, винтов (шлиц-квадрат) и инструментов: Винт самонарезающий Ø 1.5 мм x 5 мм (шлиц-квадрат)</w:t>
            </w:r>
          </w:p>
        </w:tc>
        <w:tc>
          <w:tcPr>
            <w:tcW w:w="5301" w:type="dxa"/>
            <w:tcBorders>
              <w:top w:val="single" w:sz="4" w:space="0" w:color="000000"/>
              <w:left w:val="single" w:sz="4" w:space="0" w:color="000000"/>
              <w:right w:val="single" w:sz="4" w:space="0" w:color="000000"/>
            </w:tcBorders>
          </w:tcPr>
          <w:p>
            <w:pPr>
              <w:pStyle w:val="Normal"/>
              <w:widowControl/>
              <w:suppressAutoHyphens w:val="true"/>
              <w:spacing w:lineRule="auto" w:line="240" w:before="0" w:after="0"/>
              <w:jc w:val="left"/>
              <w:rPr>
                <w:rFonts w:ascii="Times New Roman" w:hAnsi="Times New Roman" w:cs="Times New Roman"/>
                <w:b/>
                <w:szCs w:val="16"/>
              </w:rPr>
            </w:pPr>
            <w:r>
              <w:rPr>
                <w:rFonts w:eastAsia="" w:cs="Times New Roman"/>
                <w:b/>
                <w:kern w:val="0"/>
                <w:sz w:val="16"/>
                <w:szCs w:val="16"/>
                <w:lang w:val="ru-RU" w:eastAsia="ru-RU" w:bidi="ar-SA"/>
              </w:rPr>
              <w:t>ОКПД 32.50.22.127</w:t>
            </w:r>
          </w:p>
          <w:p>
            <w:pPr>
              <w:pStyle w:val="Normal"/>
              <w:widowControl/>
              <w:suppressAutoHyphens w:val="true"/>
              <w:spacing w:lineRule="auto" w:line="240" w:before="0" w:after="0"/>
              <w:jc w:val="left"/>
              <w:rPr>
                <w:rFonts w:ascii="Times New Roman" w:hAnsi="Times New Roman" w:cs="Times New Roman"/>
                <w:b/>
                <w:szCs w:val="16"/>
              </w:rPr>
            </w:pPr>
            <w:r>
              <w:rPr>
                <w:rFonts w:eastAsia="" w:cs="Times New Roman"/>
                <w:b/>
                <w:kern w:val="0"/>
                <w:sz w:val="16"/>
                <w:szCs w:val="16"/>
                <w:lang w:val="ru-RU" w:eastAsia="ru-RU" w:bidi="ar-SA"/>
              </w:rPr>
              <w:t xml:space="preserve">КТРУ: 32.50.23.000-00003849 </w:t>
            </w:r>
          </w:p>
          <w:p>
            <w:pPr>
              <w:pStyle w:val="Normal"/>
              <w:widowControl/>
              <w:suppressAutoHyphens w:val="true"/>
              <w:spacing w:lineRule="auto" w:line="240" w:before="0" w:after="0"/>
              <w:jc w:val="left"/>
              <w:rPr>
                <w:rFonts w:ascii="Times New Roman" w:hAnsi="Times New Roman" w:cs="Times New Roman"/>
                <w:szCs w:val="16"/>
              </w:rPr>
            </w:pPr>
            <w:r>
              <w:rPr>
                <w:rFonts w:eastAsia="" w:cs="Times New Roman"/>
                <w:kern w:val="0"/>
                <w:sz w:val="16"/>
                <w:szCs w:val="16"/>
                <w:lang w:val="ru-RU" w:eastAsia="ru-RU" w:bidi="ar-SA"/>
              </w:rPr>
              <w:t>«Небольшой нестерильный имеющий резьбу стержень со шлицованной головкой, предназначенный для имплантации или кратковременного введения в черепно-лицевую кость (включая верхнюю и/или нижнюю челюсть) для лечения переломов или для фиксации трансплантированной костной стружки и/или небольших трансплантатов (например, во время интраоральной аугментации кости). Изделие может быть сделано по принципу самореза и изготавливаться из материала, который не подвержен химическому разложению и не рассасывается в результате естественных процессов организма [например, из таких пригодных для имплантации металлов, как хирургическая сталь, титан (Ti)]. Это изделие необходимо стерилизовать перед использованием.»</w:t>
            </w:r>
          </w:p>
        </w:tc>
        <w:tc>
          <w:tcPr>
            <w:tcW w:w="5897" w:type="dxa"/>
            <w:tcBorders>
              <w:top w:val="single" w:sz="4" w:space="0" w:color="000000"/>
              <w:left w:val="single" w:sz="4" w:space="0" w:color="000000"/>
              <w:right w:val="single" w:sz="4" w:space="0" w:color="000000"/>
            </w:tcBorders>
            <w:shd w:color="auto" w:fill="auto" w:val="clear"/>
          </w:tcPr>
          <w:p>
            <w:pPr>
              <w:pStyle w:val="Normal"/>
              <w:widowControl/>
              <w:suppressAutoHyphens w:val="true"/>
              <w:spacing w:lineRule="auto" w:line="240" w:before="0" w:after="0"/>
              <w:jc w:val="left"/>
              <w:rPr>
                <w:rFonts w:ascii="Times New Roman" w:hAnsi="Times New Roman" w:cs="Times New Roman"/>
                <w:szCs w:val="16"/>
              </w:rPr>
            </w:pPr>
            <w:r>
              <w:rPr>
                <w:rFonts w:eastAsia="" w:cs="Times New Roman"/>
                <w:kern w:val="0"/>
                <w:sz w:val="16"/>
                <w:szCs w:val="16"/>
                <w:lang w:val="ru-RU" w:eastAsia="ru-RU" w:bidi="ar-SA"/>
              </w:rPr>
              <w:t>Винт (самонарезающий) из титанового сплава Ti6Al7Nb. Шлиц - квадрат 1 мм. Размеры Ø 1,5 х 5 мм, диаметр головки 2,5 мм, высота головки 1,2 мм. Шероховатость поверхности Ra не более 0,63 мкм.</w:t>
            </w:r>
          </w:p>
        </w:tc>
        <w:tc>
          <w:tcPr>
            <w:tcW w:w="567" w:type="dxa"/>
            <w:tcBorders>
              <w:top w:val="single" w:sz="4" w:space="0" w:color="000000"/>
              <w:left w:val="single" w:sz="4" w:space="0" w:color="000000"/>
              <w:right w:val="single" w:sz="4" w:space="0" w:color="000000"/>
            </w:tcBorders>
          </w:tcPr>
          <w:p>
            <w:pPr>
              <w:pStyle w:val="Normal"/>
              <w:widowControl/>
              <w:suppressAutoHyphens w:val="true"/>
              <w:spacing w:lineRule="auto" w:line="240" w:before="0" w:after="0"/>
              <w:jc w:val="center"/>
              <w:rPr>
                <w:rFonts w:ascii="Times New Roman" w:hAnsi="Times New Roman" w:cs="Times New Roman"/>
              </w:rPr>
            </w:pPr>
            <w:r>
              <w:rPr>
                <w:rFonts w:eastAsia="" w:cs="Times New Roman"/>
                <w:kern w:val="0"/>
                <w:sz w:val="16"/>
                <w:szCs w:val="22"/>
                <w:lang w:val="ru-RU" w:eastAsia="ru-RU" w:bidi="ar-SA"/>
              </w:rPr>
              <w:t>шт.</w:t>
            </w:r>
          </w:p>
        </w:tc>
        <w:tc>
          <w:tcPr>
            <w:tcW w:w="568" w:type="dxa"/>
            <w:tcBorders>
              <w:top w:val="single" w:sz="4" w:space="0" w:color="000000"/>
              <w:left w:val="single" w:sz="4" w:space="0" w:color="000000"/>
              <w:right w:val="single" w:sz="4" w:space="0" w:color="000000"/>
            </w:tcBorders>
          </w:tcPr>
          <w:p>
            <w:pPr>
              <w:pStyle w:val="Normal"/>
              <w:widowControl/>
              <w:suppressAutoHyphens w:val="true"/>
              <w:spacing w:lineRule="auto" w:line="240" w:before="0" w:after="0"/>
              <w:jc w:val="center"/>
              <w:rPr>
                <w:rFonts w:ascii="Times New Roman" w:hAnsi="Times New Roman" w:cs="Times New Roman"/>
              </w:rPr>
            </w:pPr>
            <w:r>
              <w:rPr>
                <w:rFonts w:eastAsia="" w:cs="Times New Roman"/>
                <w:kern w:val="0"/>
                <w:sz w:val="16"/>
                <w:szCs w:val="16"/>
                <w:lang w:val="ru-RU" w:eastAsia="ru-RU" w:bidi="ar-SA"/>
              </w:rPr>
              <w:t>15</w:t>
            </w:r>
          </w:p>
        </w:tc>
      </w:tr>
      <w:tr>
        <w:trPr>
          <w:cantSplit w:val="true"/>
        </w:trPr>
        <w:tc>
          <w:tcPr>
            <w:tcW w:w="384" w:type="dxa"/>
            <w:tcBorders>
              <w:top w:val="single" w:sz="4" w:space="0" w:color="000000"/>
              <w:left w:val="single" w:sz="10" w:space="0" w:color="000000"/>
              <w:bottom w:val="single" w:sz="4" w:space="0" w:color="000000"/>
            </w:tcBorders>
            <w:shd w:color="auto" w:fill="auto" w:val="clear"/>
          </w:tcPr>
          <w:p>
            <w:pPr>
              <w:pStyle w:val="Normal"/>
              <w:widowControl/>
              <w:suppressAutoHyphens w:val="true"/>
              <w:spacing w:lineRule="auto" w:line="240" w:before="0" w:after="0"/>
              <w:jc w:val="center"/>
              <w:rPr>
                <w:rFonts w:ascii="Times New Roman" w:hAnsi="Times New Roman" w:cs="Times New Roman"/>
              </w:rPr>
            </w:pPr>
            <w:r>
              <w:rPr>
                <w:rFonts w:eastAsia="" w:cs="Times New Roman"/>
                <w:kern w:val="0"/>
                <w:sz w:val="16"/>
                <w:szCs w:val="16"/>
                <w:lang w:val="ru-RU" w:eastAsia="ru-RU" w:bidi="ar-SA"/>
              </w:rPr>
              <w:t>3</w:t>
            </w:r>
          </w:p>
        </w:tc>
        <w:tc>
          <w:tcPr>
            <w:tcW w:w="264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suppressAutoHyphens w:val="true"/>
              <w:spacing w:lineRule="auto" w:line="240" w:before="0" w:after="0"/>
              <w:jc w:val="left"/>
              <w:rPr>
                <w:rFonts w:ascii="Times New Roman" w:hAnsi="Times New Roman" w:cs="Times New Roman"/>
              </w:rPr>
            </w:pPr>
            <w:r>
              <w:rPr>
                <w:rFonts w:eastAsia="" w:cs="Times New Roman"/>
                <w:kern w:val="0"/>
                <w:sz w:val="16"/>
                <w:szCs w:val="16"/>
                <w:lang w:val="ru-RU" w:eastAsia="ru-RU" w:bidi="ar-SA"/>
              </w:rPr>
              <w:t>Имплантаты для черепно-челюстно-лицевой хирургии и инструменты для их установки, ЧЧЛХ в наборе: Набор пластин для средней зоны лица и свода черепа: Сверло перовое Ø 1.2 мм  х 33 мм</w:t>
            </w:r>
          </w:p>
        </w:tc>
        <w:tc>
          <w:tcPr>
            <w:tcW w:w="5301" w:type="dxa"/>
            <w:tcBorders>
              <w:top w:val="single" w:sz="4" w:space="0" w:color="000000"/>
              <w:left w:val="single" w:sz="4" w:space="0" w:color="000000"/>
              <w:bottom w:val="single" w:sz="4" w:space="0" w:color="000000"/>
              <w:right w:val="single" w:sz="4" w:space="0" w:color="000000"/>
            </w:tcBorders>
          </w:tcPr>
          <w:p>
            <w:pPr>
              <w:pStyle w:val="Normal"/>
              <w:widowControl/>
              <w:suppressAutoHyphens w:val="true"/>
              <w:spacing w:lineRule="auto" w:line="240" w:before="0" w:after="0"/>
              <w:jc w:val="left"/>
              <w:rPr>
                <w:rFonts w:ascii="Times New Roman" w:hAnsi="Times New Roman" w:cs="Times New Roman"/>
                <w:b/>
                <w:szCs w:val="16"/>
              </w:rPr>
            </w:pPr>
            <w:r>
              <w:rPr>
                <w:rFonts w:eastAsia="" w:cs="Times New Roman"/>
                <w:b/>
                <w:kern w:val="0"/>
                <w:sz w:val="16"/>
                <w:szCs w:val="16"/>
                <w:lang w:val="ru-RU" w:eastAsia="ru-RU" w:bidi="ar-SA"/>
              </w:rPr>
              <w:t xml:space="preserve">КТРУ 32.50.13.190-00007417 </w:t>
            </w:r>
          </w:p>
          <w:p>
            <w:pPr>
              <w:pStyle w:val="Normal"/>
              <w:widowControl/>
              <w:suppressAutoHyphens w:val="true"/>
              <w:spacing w:lineRule="auto" w:line="240" w:before="0" w:after="0"/>
              <w:jc w:val="left"/>
              <w:rPr>
                <w:rFonts w:ascii="Times New Roman" w:hAnsi="Times New Roman" w:cs="Times New Roman"/>
                <w:szCs w:val="16"/>
              </w:rPr>
            </w:pPr>
            <w:r>
              <w:rPr>
                <w:rFonts w:eastAsia="" w:cs="Times New Roman"/>
                <w:kern w:val="0"/>
                <w:sz w:val="16"/>
                <w:szCs w:val="16"/>
                <w:lang w:val="ru-RU" w:eastAsia="ru-RU" w:bidi="ar-SA"/>
              </w:rPr>
              <w:t>«Изделие в виде вала с тупоугольным коническим рабочим торцом с двумя режущими кромками, обеспечивающее при вращении высверливание отверстия с диаметром, равным диаметру режущей кромки. Часто называется «спиральным сверлом», поскольку имеет два спиралевидных жёлоба для отвода высверленного материала в боковых стенках по всей рабочей длине инструмента. Проксимальный конец вставляется в патрон хирургической дрели/бормашины. Обычно изготавливается из высококачественной нержавеющей стали и доступно в различных размерах. Это изделие многоразового использования.»</w:t>
            </w:r>
          </w:p>
        </w:tc>
        <w:tc>
          <w:tcPr>
            <w:tcW w:w="5897"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suppressAutoHyphens w:val="true"/>
              <w:spacing w:lineRule="auto" w:line="240" w:before="0" w:after="0"/>
              <w:jc w:val="left"/>
              <w:rPr>
                <w:rFonts w:ascii="Times New Roman" w:hAnsi="Times New Roman" w:cs="Times New Roman"/>
                <w:szCs w:val="16"/>
              </w:rPr>
            </w:pPr>
            <w:r>
              <w:rPr>
                <w:rFonts w:eastAsia="" w:cs="Times New Roman"/>
                <w:kern w:val="0"/>
                <w:sz w:val="16"/>
                <w:szCs w:val="16"/>
                <w:lang w:val="ru-RU" w:eastAsia="ru-RU" w:bidi="ar-SA"/>
              </w:rPr>
              <w:t>Сверло перовое из нержавеющей стали 95Х18 ГОСТ5632-2014, диаметр сверла 1,2 мм, длина рабочей части 5 мм, длина 33 мм. Шероховатость поверхности Ra не более 1,25 мкм.</w:t>
            </w:r>
          </w:p>
        </w:tc>
        <w:tc>
          <w:tcPr>
            <w:tcW w:w="567" w:type="dxa"/>
            <w:tcBorders>
              <w:top w:val="single" w:sz="4" w:space="0" w:color="000000"/>
              <w:left w:val="single" w:sz="4" w:space="0" w:color="000000"/>
              <w:bottom w:val="single" w:sz="4" w:space="0" w:color="000000"/>
              <w:right w:val="single" w:sz="4" w:space="0" w:color="000000"/>
            </w:tcBorders>
          </w:tcPr>
          <w:p>
            <w:pPr>
              <w:pStyle w:val="Normal"/>
              <w:widowControl/>
              <w:suppressAutoHyphens w:val="true"/>
              <w:spacing w:lineRule="auto" w:line="240" w:before="0" w:after="0"/>
              <w:jc w:val="center"/>
              <w:rPr>
                <w:rFonts w:ascii="Times New Roman" w:hAnsi="Times New Roman" w:cs="Times New Roman"/>
              </w:rPr>
            </w:pPr>
            <w:r>
              <w:rPr>
                <w:rFonts w:eastAsia="" w:cs="Times New Roman"/>
                <w:kern w:val="0"/>
                <w:sz w:val="16"/>
                <w:szCs w:val="22"/>
                <w:lang w:val="ru-RU" w:eastAsia="ru-RU" w:bidi="ar-SA"/>
              </w:rPr>
              <w:t>шт.</w:t>
            </w:r>
          </w:p>
        </w:tc>
        <w:tc>
          <w:tcPr>
            <w:tcW w:w="568" w:type="dxa"/>
            <w:tcBorders>
              <w:top w:val="single" w:sz="4" w:space="0" w:color="000000"/>
              <w:left w:val="single" w:sz="4" w:space="0" w:color="000000"/>
              <w:bottom w:val="single" w:sz="4" w:space="0" w:color="000000"/>
              <w:right w:val="single" w:sz="4" w:space="0" w:color="000000"/>
            </w:tcBorders>
          </w:tcPr>
          <w:p>
            <w:pPr>
              <w:pStyle w:val="Normal"/>
              <w:widowControl/>
              <w:suppressAutoHyphens w:val="true"/>
              <w:spacing w:lineRule="auto" w:line="240" w:before="0" w:after="0"/>
              <w:jc w:val="center"/>
              <w:rPr>
                <w:rFonts w:ascii="Times New Roman" w:hAnsi="Times New Roman" w:cs="Times New Roman"/>
              </w:rPr>
            </w:pPr>
            <w:r>
              <w:rPr>
                <w:rFonts w:eastAsia="" w:cs="Times New Roman"/>
                <w:kern w:val="0"/>
                <w:sz w:val="16"/>
                <w:szCs w:val="16"/>
                <w:lang w:val="ru-RU" w:eastAsia="ru-RU" w:bidi="ar-SA"/>
              </w:rPr>
              <w:t>1</w:t>
            </w:r>
          </w:p>
        </w:tc>
      </w:tr>
    </w:tbl>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widowControl w:val="false"/>
        <w:ind w:firstLine="709"/>
        <w:jc w:val="both"/>
        <w:rPr>
          <w:color w:val="000000"/>
        </w:rPr>
      </w:pPr>
      <w:r>
        <w:rPr>
          <w:color w:val="000000"/>
        </w:rPr>
        <w:t xml:space="preserve">* В связи с отсутствием дополнительных характеристик товара в КТРУ и в соответствии с пунктом 5 Правил использования каталога товаров, работ, услуг для обеспечения государственных и муниципальных нужд, утвержденных постановлением Правительства Российской Федерации от 8 февраля 2017 года N 145 заказчиком указаны потребительские свойства, в том числе функциональные, технические, качественные, эксплуатационные характеристики товара в соответствии с положениями статьи 33 Федерального закона 44-ФЗ, которые не предусмотрены в позиции каталога, а также </w:t>
      </w:r>
      <w:r>
        <w:rPr>
          <w:rFonts w:eastAsia="Calibri"/>
          <w:bCs/>
        </w:rPr>
        <w:t>особенностью пленки и совместимого с ней оборудования</w:t>
      </w:r>
      <w:r>
        <w:rPr>
          <w:color w:val="000000"/>
        </w:rPr>
        <w:t>.</w:t>
      </w:r>
    </w:p>
    <w:p>
      <w:pPr>
        <w:pStyle w:val="Normal"/>
        <w:widowControl w:val="false"/>
        <w:ind w:firstLine="709"/>
        <w:jc w:val="both"/>
        <w:rPr>
          <w:color w:val="000000"/>
        </w:rPr>
      </w:pPr>
      <w:r>
        <w:rPr>
          <w:color w:val="000000"/>
        </w:rPr>
      </w:r>
    </w:p>
    <w:p>
      <w:pPr>
        <w:pStyle w:val="Normal"/>
        <w:widowControl w:val="false"/>
        <w:ind w:firstLine="709"/>
        <w:jc w:val="both"/>
        <w:rPr>
          <w:color w:val="000000"/>
        </w:rPr>
      </w:pPr>
      <w:r>
        <w:rPr>
          <w:color w:val="000000"/>
        </w:rPr>
      </w:r>
    </w:p>
    <w:p>
      <w:pPr>
        <w:pStyle w:val="Normal"/>
        <w:rPr>
          <w:sz w:val="21"/>
          <w:szCs w:val="21"/>
        </w:rPr>
      </w:pPr>
      <w:r>
        <w:rPr>
          <w:sz w:val="21"/>
          <w:szCs w:val="21"/>
        </w:rPr>
        <w:t>1.1. Требования к качеству и безопасности товара, оказания услуг, выполнения работ: Товар должен быть новым (не бывшим в употреблении, не прошедшим ремонт, в том числе восстановление, замену составных частей, восстановления потребительских свойств).</w:t>
      </w:r>
    </w:p>
    <w:p>
      <w:pPr>
        <w:pStyle w:val="Normal"/>
        <w:rPr>
          <w:sz w:val="21"/>
          <w:szCs w:val="21"/>
        </w:rPr>
      </w:pPr>
      <w:r>
        <w:rPr>
          <w:sz w:val="21"/>
          <w:szCs w:val="21"/>
        </w:rPr>
        <w:t>На Товаре не должно быть механических повреждений.</w:t>
      </w:r>
    </w:p>
    <w:p>
      <w:pPr>
        <w:pStyle w:val="Normal"/>
        <w:rPr>
          <w:sz w:val="21"/>
          <w:szCs w:val="21"/>
        </w:rPr>
      </w:pPr>
      <w:r>
        <w:rPr>
          <w:sz w:val="21"/>
          <w:szCs w:val="21"/>
        </w:rPr>
        <w:t>Товар должен соответствовать действующим в Российской Федерации ГОСТам, техническим регламентам, санитарным нормам.</w:t>
      </w:r>
    </w:p>
    <w:p>
      <w:pPr>
        <w:pStyle w:val="Normal"/>
        <w:rPr>
          <w:sz w:val="21"/>
          <w:szCs w:val="21"/>
        </w:rPr>
      </w:pPr>
      <w:r>
        <w:rPr>
          <w:sz w:val="21"/>
          <w:szCs w:val="21"/>
        </w:rPr>
        <w:t>Товар должен быть свободным от любых прав третьих лиц, разрешенным к применению на территории Российской Федерации.</w:t>
      </w:r>
    </w:p>
    <w:p>
      <w:pPr>
        <w:pStyle w:val="Normal"/>
        <w:rPr>
          <w:sz w:val="21"/>
          <w:szCs w:val="21"/>
        </w:rPr>
      </w:pPr>
      <w:r>
        <w:rPr>
          <w:sz w:val="21"/>
          <w:szCs w:val="21"/>
        </w:rPr>
        <w:t>Товар должен отвечать требованиям качества, безопасности и другим требованиям, предъявленным законодательством Российской Федерации и Контрактом.</w:t>
      </w:r>
    </w:p>
    <w:p>
      <w:pPr>
        <w:pStyle w:val="Normal"/>
        <w:rPr>
          <w:sz w:val="21"/>
          <w:szCs w:val="21"/>
        </w:rPr>
      </w:pPr>
      <w:r>
        <w:rPr>
          <w:sz w:val="21"/>
          <w:szCs w:val="21"/>
        </w:rPr>
      </w:r>
    </w:p>
    <w:p>
      <w:pPr>
        <w:pStyle w:val="Normal"/>
        <w:rPr>
          <w:sz w:val="21"/>
          <w:szCs w:val="21"/>
        </w:rPr>
      </w:pPr>
      <w:r>
        <w:rPr>
          <w:sz w:val="21"/>
          <w:szCs w:val="21"/>
        </w:rPr>
        <w:t>1.2. Требования к упаковке, маркировке Товара:</w:t>
      </w:r>
    </w:p>
    <w:p>
      <w:pPr>
        <w:pStyle w:val="Normal"/>
        <w:rPr>
          <w:sz w:val="21"/>
          <w:szCs w:val="21"/>
        </w:rPr>
      </w:pPr>
      <w:r>
        <w:rPr>
          <w:sz w:val="21"/>
          <w:szCs w:val="21"/>
        </w:rPr>
        <w:t xml:space="preserve"> </w:t>
      </w:r>
      <w:r>
        <w:rPr>
          <w:sz w:val="21"/>
          <w:szCs w:val="21"/>
        </w:rPr>
        <w:t>Упаковка и маркировка Товара должны соответствовать требованиям:</w:t>
      </w:r>
    </w:p>
    <w:p>
      <w:pPr>
        <w:pStyle w:val="Normal"/>
        <w:rPr>
          <w:sz w:val="21"/>
          <w:szCs w:val="21"/>
        </w:rPr>
      </w:pPr>
      <w:r>
        <w:rPr>
          <w:sz w:val="21"/>
          <w:szCs w:val="21"/>
        </w:rPr>
        <w:t>Товар должен быть поставлен в упаковке (таре), обеспечивающей сохранность Товара при транспортировке и погрузо-разгрузочных работах, защиту Товара от их повреждения или порчи во время транспортировки к Месту поставки, погрузо-разгрузочных работ и хранения. Упаковка (тара) Товара и комплектующих Товара должна отвечать требованиям безопасности жизни, здоровья и охраны окружающей среды, обеспечивать условия транспортировки, предъявляемые к данному виду Товара.</w:t>
      </w:r>
    </w:p>
    <w:p>
      <w:pPr>
        <w:pStyle w:val="Normal"/>
        <w:rPr>
          <w:sz w:val="21"/>
          <w:szCs w:val="21"/>
        </w:rPr>
      </w:pPr>
      <w:r>
        <w:rPr>
          <w:sz w:val="21"/>
          <w:szCs w:val="21"/>
        </w:rPr>
        <w:t>Вся упаковка должна соответствовать требованиям законодательства Российской Федерации, иметь следующую маркировку:</w:t>
      </w:r>
    </w:p>
    <w:p>
      <w:pPr>
        <w:pStyle w:val="Normal"/>
        <w:rPr>
          <w:sz w:val="21"/>
          <w:szCs w:val="21"/>
        </w:rPr>
      </w:pPr>
      <w:r>
        <w:rPr>
          <w:sz w:val="21"/>
          <w:szCs w:val="21"/>
        </w:rPr>
        <w:t>Наименование Товара: _____________________</w:t>
      </w:r>
    </w:p>
    <w:p>
      <w:pPr>
        <w:pStyle w:val="Normal"/>
        <w:rPr>
          <w:sz w:val="21"/>
          <w:szCs w:val="21"/>
        </w:rPr>
      </w:pPr>
      <w:r>
        <w:rPr>
          <w:sz w:val="21"/>
          <w:szCs w:val="21"/>
        </w:rPr>
        <w:t>Контракт № _______________</w:t>
      </w:r>
    </w:p>
    <w:p>
      <w:pPr>
        <w:pStyle w:val="Normal"/>
        <w:rPr>
          <w:sz w:val="21"/>
          <w:szCs w:val="21"/>
        </w:rPr>
      </w:pPr>
      <w:r>
        <w:rPr>
          <w:sz w:val="21"/>
          <w:szCs w:val="21"/>
        </w:rPr>
        <w:t>Заказчик (название): ___________</w:t>
      </w:r>
    </w:p>
    <w:p>
      <w:pPr>
        <w:pStyle w:val="Normal"/>
        <w:rPr>
          <w:sz w:val="21"/>
          <w:szCs w:val="21"/>
        </w:rPr>
      </w:pPr>
      <w:r>
        <w:rPr>
          <w:sz w:val="21"/>
          <w:szCs w:val="21"/>
        </w:rPr>
        <w:t>Поставщик (название компании): _________</w:t>
      </w:r>
    </w:p>
    <w:p>
      <w:pPr>
        <w:pStyle w:val="Normal"/>
        <w:rPr>
          <w:sz w:val="21"/>
          <w:szCs w:val="21"/>
        </w:rPr>
      </w:pPr>
      <w:r>
        <w:rPr>
          <w:sz w:val="21"/>
          <w:szCs w:val="21"/>
        </w:rPr>
        <w:t>Получатель: ___________</w:t>
      </w:r>
    </w:p>
    <w:p>
      <w:pPr>
        <w:pStyle w:val="Normal"/>
        <w:rPr>
          <w:sz w:val="21"/>
          <w:szCs w:val="21"/>
        </w:rPr>
      </w:pPr>
      <w:r>
        <w:rPr>
          <w:sz w:val="21"/>
          <w:szCs w:val="21"/>
        </w:rPr>
        <w:t>Пункт назначения: _____________</w:t>
      </w:r>
    </w:p>
    <w:p>
      <w:pPr>
        <w:pStyle w:val="Normal"/>
        <w:rPr>
          <w:sz w:val="21"/>
          <w:szCs w:val="21"/>
        </w:rPr>
      </w:pPr>
      <w:r>
        <w:rPr>
          <w:sz w:val="21"/>
          <w:szCs w:val="21"/>
        </w:rPr>
        <w:t>Грузоотправитель: ______________</w:t>
      </w:r>
    </w:p>
    <w:p>
      <w:pPr>
        <w:pStyle w:val="Normal"/>
        <w:rPr>
          <w:sz w:val="21"/>
          <w:szCs w:val="21"/>
        </w:rPr>
      </w:pPr>
      <w:r>
        <w:rPr>
          <w:sz w:val="21"/>
          <w:szCs w:val="21"/>
        </w:rPr>
        <w:t>Ящик/контейнер № ______, всего ящиков/контейнеров _______</w:t>
      </w:r>
    </w:p>
    <w:p>
      <w:pPr>
        <w:pStyle w:val="Normal"/>
        <w:rPr>
          <w:sz w:val="21"/>
          <w:szCs w:val="21"/>
        </w:rPr>
      </w:pPr>
      <w:r>
        <w:rPr>
          <w:sz w:val="21"/>
          <w:szCs w:val="21"/>
        </w:rPr>
        <w:t>Размеры (высота, длина, ширина) _________</w:t>
      </w:r>
    </w:p>
    <w:p>
      <w:pPr>
        <w:pStyle w:val="Normal"/>
        <w:rPr>
          <w:sz w:val="21"/>
          <w:szCs w:val="21"/>
        </w:rPr>
      </w:pPr>
      <w:r>
        <w:rPr>
          <w:sz w:val="21"/>
          <w:szCs w:val="21"/>
        </w:rPr>
        <w:t>Вес брутто _____ кг</w:t>
      </w:r>
    </w:p>
    <w:p>
      <w:pPr>
        <w:pStyle w:val="Normal"/>
        <w:rPr>
          <w:sz w:val="21"/>
          <w:szCs w:val="21"/>
        </w:rPr>
      </w:pPr>
      <w:r>
        <w:rPr>
          <w:sz w:val="21"/>
          <w:szCs w:val="21"/>
        </w:rPr>
        <w:t>Вес нетто _____ кг</w:t>
      </w:r>
    </w:p>
    <w:p>
      <w:pPr>
        <w:pStyle w:val="Normal"/>
        <w:rPr>
          <w:sz w:val="21"/>
          <w:szCs w:val="21"/>
        </w:rPr>
      </w:pPr>
      <w:r>
        <w:rPr>
          <w:sz w:val="21"/>
          <w:szCs w:val="21"/>
        </w:rPr>
        <w:t>Два экземпляра упаковочного листа с описанием Товара, указанием веса нетто, веса брутто, количества, указанием номера и даты Контракта, с приложением документации на Товар должны сопровождать каждый ящик/контейнер. Один упаковочный лист должен находиться внутри ящика/контейнера, другой крепится с внешней стороны в водонепроницаемом конверте.</w:t>
      </w:r>
    </w:p>
    <w:p>
      <w:pPr>
        <w:pStyle w:val="Normal"/>
        <w:rPr>
          <w:sz w:val="21"/>
          <w:szCs w:val="21"/>
        </w:rPr>
      </w:pPr>
      <w:r>
        <w:rPr>
          <w:sz w:val="21"/>
          <w:szCs w:val="21"/>
        </w:rPr>
        <w:tab/>
        <w:t>Вся упаковка должна соответствовать требованиям законодательства Российской Федерации, иметь маркировку на русском языке</w:t>
      </w:r>
    </w:p>
    <w:p>
      <w:pPr>
        <w:pStyle w:val="Normal"/>
        <w:rPr>
          <w:sz w:val="21"/>
          <w:szCs w:val="21"/>
        </w:rPr>
      </w:pPr>
      <w:r>
        <w:rPr>
          <w:sz w:val="21"/>
          <w:szCs w:val="21"/>
        </w:rPr>
        <w:tab/>
        <w:t>На поставляемых Товарах и их упаковке должны быть помещены товарные знаки, зарегистрированные в установленном порядке. Товарные знаки не помещаются на Товарах, которые в соответствии со стандартами (или техническими условиями) не подлежат маркировке.</w:t>
      </w:r>
    </w:p>
    <w:p>
      <w:pPr>
        <w:pStyle w:val="Normal"/>
        <w:rPr>
          <w:sz w:val="21"/>
          <w:szCs w:val="21"/>
        </w:rPr>
      </w:pPr>
      <w:r>
        <w:rPr>
          <w:sz w:val="21"/>
          <w:szCs w:val="21"/>
        </w:rPr>
        <w:tab/>
        <w:t>Поставщик несет ответственность перед Заказчиком за все повреждения или порчу Товара, возникшие в результате некачественной упаковки, за образование коррозии, за дополнительные расходы, которые могут возникнуть в результате неправильной маркировки. Товар, получивший при загрузке (разгрузке) и транспортировке повреждения (затрудняющие его использование по прямому назначению), считается не поставленным, Заказчик вправе отказаться от его приемки и оплаты.</w:t>
      </w:r>
    </w:p>
    <w:p>
      <w:pPr>
        <w:pStyle w:val="Normal"/>
        <w:rPr>
          <w:sz w:val="21"/>
          <w:szCs w:val="21"/>
        </w:rPr>
      </w:pPr>
      <w:r>
        <w:rPr>
          <w:sz w:val="21"/>
          <w:szCs w:val="21"/>
        </w:rPr>
        <w:tab/>
      </w:r>
    </w:p>
    <w:p>
      <w:pPr>
        <w:pStyle w:val="Normal"/>
        <w:rPr>
          <w:sz w:val="21"/>
          <w:szCs w:val="21"/>
        </w:rPr>
      </w:pPr>
      <w:r>
        <w:rPr>
          <w:sz w:val="21"/>
          <w:szCs w:val="21"/>
        </w:rPr>
        <w:t>2. Адрес поставки: Санкт-Петербург, ул. Вавиловых, дом 14, литера А (склад), с последующим перемещением в отделения Заказчика, далее – Место поставки. Доставка Товара в Место поставки осуществляется по рабочим дням с 09:00 до 16:00. Факт доставки Товара в Место поставки фиксируется Сторонами путем подписания товарной накладной или иного документа, подтверждающего факт доставки Товара.</w:t>
      </w:r>
    </w:p>
    <w:p>
      <w:pPr>
        <w:pStyle w:val="Normal"/>
        <w:rPr>
          <w:sz w:val="21"/>
          <w:szCs w:val="21"/>
        </w:rPr>
      </w:pPr>
      <w:r>
        <w:rPr>
          <w:sz w:val="21"/>
          <w:szCs w:val="21"/>
        </w:rPr>
      </w:r>
    </w:p>
    <w:p>
      <w:pPr>
        <w:pStyle w:val="Normal"/>
        <w:rPr>
          <w:sz w:val="21"/>
          <w:szCs w:val="21"/>
        </w:rPr>
      </w:pPr>
      <w:r>
        <w:rPr>
          <w:sz w:val="21"/>
          <w:szCs w:val="21"/>
        </w:rPr>
        <w:t>3. Сопроводительные документы:</w:t>
      </w:r>
    </w:p>
    <w:p>
      <w:pPr>
        <w:pStyle w:val="Normal"/>
        <w:rPr>
          <w:sz w:val="21"/>
          <w:szCs w:val="21"/>
        </w:rPr>
      </w:pPr>
      <w:r>
        <w:rPr>
          <w:sz w:val="21"/>
          <w:szCs w:val="21"/>
        </w:rPr>
        <w:t>а) товарная накладная, оформленная в установленном порядке (со ссылкой на дату и номер Контракта) в 2 (двух) экземплярах;</w:t>
      </w:r>
    </w:p>
    <w:p>
      <w:pPr>
        <w:pStyle w:val="Normal"/>
        <w:rPr>
          <w:sz w:val="21"/>
          <w:szCs w:val="21"/>
        </w:rPr>
      </w:pPr>
      <w:r>
        <w:rPr>
          <w:sz w:val="21"/>
          <w:szCs w:val="21"/>
        </w:rPr>
        <w:t>б) счет-фактура с указанием Товара, выставленная Заказчику (при налогообложении НДС, со ссылкой на дату и номер Контракта)1;</w:t>
      </w:r>
    </w:p>
    <w:p>
      <w:pPr>
        <w:pStyle w:val="Normal"/>
        <w:rPr>
          <w:sz w:val="21"/>
          <w:szCs w:val="21"/>
        </w:rPr>
      </w:pPr>
      <w:r>
        <w:rPr>
          <w:sz w:val="21"/>
          <w:szCs w:val="21"/>
        </w:rPr>
        <w:t>Допускается замена счет-фактуры и товарной накладной на универсальный передаточный документ (УПД).</w:t>
      </w:r>
    </w:p>
    <w:p>
      <w:pPr>
        <w:pStyle w:val="Normal"/>
        <w:rPr>
          <w:sz w:val="21"/>
          <w:szCs w:val="21"/>
        </w:rPr>
      </w:pPr>
      <w:r>
        <w:rPr>
          <w:sz w:val="21"/>
          <w:szCs w:val="21"/>
        </w:rPr>
        <w:t>в) счет (со ссылкой на дату и номер Контракта);</w:t>
      </w:r>
    </w:p>
    <w:p>
      <w:pPr>
        <w:pStyle w:val="Normal"/>
        <w:rPr>
          <w:sz w:val="21"/>
          <w:szCs w:val="21"/>
        </w:rPr>
      </w:pPr>
      <w:r>
        <w:rPr>
          <w:sz w:val="21"/>
          <w:szCs w:val="21"/>
        </w:rPr>
        <w:t>г) Акт приема-передачи Товара (в 2 (двух) экземплярах: 1 (один) экземпляр для Заказчика, 1 (один) экземпляр для Поставщика, подписанный со Стороны Поставщика;</w:t>
      </w:r>
    </w:p>
    <w:p>
      <w:pPr>
        <w:pStyle w:val="Normal"/>
        <w:rPr>
          <w:sz w:val="21"/>
          <w:szCs w:val="21"/>
        </w:rPr>
      </w:pPr>
      <w:r>
        <w:rPr>
          <w:sz w:val="21"/>
          <w:szCs w:val="21"/>
        </w:rPr>
        <w:t>д) копии регистрационных удостоверений на Товар, заверенные в установленном законом порядке2;</w:t>
      </w:r>
    </w:p>
    <w:p>
      <w:pPr>
        <w:pStyle w:val="Normal"/>
        <w:rPr>
          <w:sz w:val="21"/>
          <w:szCs w:val="21"/>
        </w:rPr>
      </w:pPr>
      <w:r>
        <w:rPr>
          <w:sz w:val="21"/>
          <w:szCs w:val="21"/>
        </w:rPr>
        <w:t>е) копии сертификатов и/или деклараций соответствия на Товар, заверенные в установленном законом порядке;3</w:t>
      </w:r>
    </w:p>
    <w:p>
      <w:pPr>
        <w:pStyle w:val="Normal"/>
        <w:rPr>
          <w:sz w:val="21"/>
          <w:szCs w:val="21"/>
        </w:rPr>
      </w:pPr>
      <w:r>
        <w:rPr>
          <w:sz w:val="21"/>
          <w:szCs w:val="21"/>
        </w:rPr>
        <w:t>ж) копии санитарно-эпидемиологических заключений на Товар, выданных Роспотребнадзором, заверенные в установленном законом порядке;4</w:t>
      </w:r>
    </w:p>
    <w:p>
      <w:pPr>
        <w:pStyle w:val="Normal"/>
        <w:rPr>
          <w:sz w:val="21"/>
          <w:szCs w:val="21"/>
        </w:rPr>
      </w:pPr>
      <w:r>
        <w:rPr>
          <w:sz w:val="21"/>
          <w:szCs w:val="21"/>
        </w:rPr>
        <w:t>з) документы, подтверждающие страну происхождения Товара;</w:t>
      </w:r>
    </w:p>
    <w:p>
      <w:pPr>
        <w:pStyle w:val="Normal"/>
        <w:rPr>
          <w:sz w:val="21"/>
          <w:szCs w:val="21"/>
        </w:rPr>
      </w:pPr>
      <w:r>
        <w:rPr>
          <w:sz w:val="21"/>
          <w:szCs w:val="21"/>
        </w:rPr>
        <w:t>и) руководство и (или) инструкцию по эксплуатации (пользователя) на Товар на русском языке на бумажном носителе, технический паспорт на Товар (при наличии);</w:t>
      </w:r>
    </w:p>
    <w:p>
      <w:pPr>
        <w:pStyle w:val="Normal"/>
        <w:rPr>
          <w:sz w:val="21"/>
          <w:szCs w:val="21"/>
        </w:rPr>
      </w:pPr>
      <w:r>
        <w:rPr>
          <w:sz w:val="21"/>
          <w:szCs w:val="21"/>
        </w:rPr>
        <w:t>к) гарантию производителя на Товар, срок действия которой составляет не менее 12 месяцев, оформленную в виде отдельного документа;</w:t>
      </w:r>
    </w:p>
    <w:p>
      <w:pPr>
        <w:pStyle w:val="Normal"/>
        <w:rPr>
          <w:sz w:val="21"/>
          <w:szCs w:val="21"/>
        </w:rPr>
      </w:pPr>
      <w:r>
        <w:rPr>
          <w:sz w:val="21"/>
          <w:szCs w:val="21"/>
        </w:rPr>
        <w:t>л) гарантию Поставщика на Товар, срок действия которой должен составлять не менее срока действия гарантии производителя на Товар, оформленную в виде отдельного документа.</w:t>
      </w:r>
    </w:p>
    <w:p>
      <w:pPr>
        <w:pStyle w:val="Normal"/>
        <w:rPr>
          <w:sz w:val="21"/>
          <w:szCs w:val="21"/>
        </w:rPr>
      </w:pPr>
      <w:r>
        <w:rPr>
          <w:sz w:val="21"/>
          <w:szCs w:val="21"/>
        </w:rPr>
        <w:t>На всех документах, указанных в подпунктах «а» - «г» пункта 2 Технического задания, должны быть указаны наименование Заказчика, Поставщика, номер и дата заключения Контракта, даты оформления документов.</w:t>
      </w:r>
    </w:p>
    <w:p>
      <w:pPr>
        <w:pStyle w:val="Normal"/>
        <w:rPr>
          <w:sz w:val="21"/>
          <w:szCs w:val="21"/>
        </w:rPr>
      </w:pPr>
      <w:r>
        <w:rPr>
          <w:sz w:val="21"/>
          <w:szCs w:val="21"/>
        </w:rPr>
      </w:r>
    </w:p>
    <w:p>
      <w:pPr>
        <w:pStyle w:val="Normal"/>
        <w:rPr>
          <w:sz w:val="21"/>
          <w:szCs w:val="21"/>
        </w:rPr>
      </w:pPr>
      <w:r>
        <w:rPr>
          <w:sz w:val="21"/>
          <w:szCs w:val="21"/>
        </w:rPr>
        <w:t>4. Срок поставки: поставка поставка Товара осуществляется силами и средствами Поставщика, партиями по заявкам Заказчика в течение 5 (пяти) рабочих дней с момента поступления заявки от Заказчика, а в случае указания в заявке Заказчика о необходимости срочной поставки – в течение 24 часов с момента поступления заявки. Заявки направляются в период действия Контракта, заявка направляется на адрес электронной почты поставщика с адреса электронной почты Заказчика  opz@eliz-spb.ru.</w:t>
      </w:r>
    </w:p>
    <w:p>
      <w:pPr>
        <w:pStyle w:val="Normal"/>
        <w:rPr>
          <w:sz w:val="21"/>
          <w:szCs w:val="21"/>
        </w:rPr>
      </w:pPr>
      <w:r>
        <w:rPr>
          <w:sz w:val="21"/>
          <w:szCs w:val="21"/>
        </w:rPr>
      </w:r>
    </w:p>
    <w:p>
      <w:pPr>
        <w:pStyle w:val="Normal"/>
        <w:rPr>
          <w:sz w:val="21"/>
          <w:szCs w:val="21"/>
        </w:rPr>
      </w:pPr>
      <w:r>
        <w:rPr>
          <w:sz w:val="21"/>
          <w:szCs w:val="21"/>
        </w:rPr>
        <w:t>5. Порядок приемки:</w:t>
      </w:r>
    </w:p>
    <w:p>
      <w:pPr>
        <w:pStyle w:val="Normal"/>
        <w:rPr>
          <w:sz w:val="21"/>
          <w:szCs w:val="21"/>
        </w:rPr>
      </w:pPr>
      <w:r>
        <w:rPr>
          <w:sz w:val="21"/>
          <w:szCs w:val="21"/>
        </w:rPr>
        <w:t>5.1. Приемка поставленного Товара осуществляется в ходе передачи Товара Заказчику в Месте поставки и включает в себя следующее:</w:t>
      </w:r>
    </w:p>
    <w:p>
      <w:pPr>
        <w:pStyle w:val="Normal"/>
        <w:rPr>
          <w:sz w:val="21"/>
          <w:szCs w:val="21"/>
        </w:rPr>
      </w:pPr>
      <w:r>
        <w:rPr>
          <w:sz w:val="21"/>
          <w:szCs w:val="21"/>
        </w:rPr>
        <w:t>а) проверку соответствия наименования, количества и иных характеристик поставляемого Товара, указанных в Спецификации (Приложение № 1 к Контракту), сведениям, содержащимся в транспортных и сопроводительных документах Поставщика;</w:t>
      </w:r>
    </w:p>
    <w:p>
      <w:pPr>
        <w:pStyle w:val="Normal"/>
        <w:rPr>
          <w:sz w:val="21"/>
          <w:szCs w:val="21"/>
        </w:rPr>
      </w:pPr>
      <w:r>
        <w:rPr>
          <w:sz w:val="21"/>
          <w:szCs w:val="21"/>
        </w:rPr>
        <w:t>б) проверку полноты и правильности оформления комплекта сопроводительных документов в соответствии с условиями Контракта;</w:t>
      </w:r>
    </w:p>
    <w:p>
      <w:pPr>
        <w:pStyle w:val="Normal"/>
        <w:rPr>
          <w:sz w:val="21"/>
          <w:szCs w:val="21"/>
        </w:rPr>
      </w:pPr>
      <w:r>
        <w:rPr>
          <w:sz w:val="21"/>
          <w:szCs w:val="21"/>
        </w:rPr>
        <w:t>в) контроль наличия/отсутствия внешних повреждений транспортной и оригинальной упаковки Товара;</w:t>
      </w:r>
    </w:p>
    <w:p>
      <w:pPr>
        <w:pStyle w:val="Normal"/>
        <w:rPr>
          <w:sz w:val="21"/>
          <w:szCs w:val="21"/>
        </w:rPr>
      </w:pPr>
      <w:r>
        <w:rPr>
          <w:sz w:val="21"/>
          <w:szCs w:val="21"/>
        </w:rPr>
        <w:t>г) проверку наличия необходимых документов (копий документов) на Товар в соответствии с подпунктами «д» - «л» пункта 3 Технического задания;</w:t>
      </w:r>
    </w:p>
    <w:p>
      <w:pPr>
        <w:pStyle w:val="Normal"/>
        <w:rPr>
          <w:sz w:val="21"/>
          <w:szCs w:val="21"/>
        </w:rPr>
      </w:pPr>
      <w:r>
        <w:rPr>
          <w:sz w:val="21"/>
          <w:szCs w:val="21"/>
        </w:rPr>
        <w:t>д) проверку целостности поставленного Товара (наличие/отсутствие дефектов непроизводственного характера);</w:t>
      </w:r>
    </w:p>
    <w:p>
      <w:pPr>
        <w:pStyle w:val="Normal"/>
        <w:rPr>
          <w:sz w:val="21"/>
          <w:szCs w:val="21"/>
        </w:rPr>
      </w:pPr>
      <w:r>
        <w:rPr>
          <w:sz w:val="21"/>
          <w:szCs w:val="21"/>
        </w:rPr>
        <w:t>е) проверку количества Товара, комплектности Товара, качества Товара и иных требований к Товару, предусмотренных Контрактом.</w:t>
      </w:r>
    </w:p>
    <w:p>
      <w:pPr>
        <w:pStyle w:val="Normal"/>
        <w:rPr>
          <w:sz w:val="21"/>
          <w:szCs w:val="21"/>
        </w:rPr>
      </w:pPr>
      <w:r>
        <w:rPr>
          <w:sz w:val="21"/>
          <w:szCs w:val="21"/>
        </w:rPr>
        <w:t>По факту приемки Товара Поставщик и Заказчик подписывают Акт приема-передачи Товара, подтверждающий приемку Товара. Фактической датой поставки считается дата, указанная в Акте приема-передачи Товара.</w:t>
      </w:r>
    </w:p>
    <w:p>
      <w:pPr>
        <w:pStyle w:val="Normal"/>
        <w:rPr>
          <w:sz w:val="21"/>
          <w:szCs w:val="21"/>
        </w:rPr>
      </w:pPr>
      <w:r>
        <w:rPr>
          <w:sz w:val="21"/>
          <w:szCs w:val="21"/>
        </w:rPr>
        <w:t>5.2. Заказчик в течение 3 (трех) рабочих дней с даты передачи Товара в Месте поставки и предоставления полного пакета надлежащим образом оформленных документов, указанных в пункте 3 Технического задания, осуществляет приемку Товара, в том числе проверку Товара по наименованию, количеству, комплектности, качеству, требованиям к маркировке и упаковке, а также документов, предусмотренных пунктом 3 Технического задания.</w:t>
      </w:r>
    </w:p>
    <w:p>
      <w:pPr>
        <w:pStyle w:val="Normal"/>
        <w:rPr>
          <w:sz w:val="21"/>
          <w:szCs w:val="21"/>
        </w:rPr>
      </w:pPr>
      <w:r>
        <w:rPr>
          <w:sz w:val="21"/>
          <w:szCs w:val="21"/>
        </w:rPr>
        <w:t>5.2.1. В случае отсутствия замечаний, Заказчик подписывает Акт приема-передачи Товара.</w:t>
      </w:r>
    </w:p>
    <w:p>
      <w:pPr>
        <w:pStyle w:val="Normal"/>
        <w:rPr>
          <w:sz w:val="21"/>
          <w:szCs w:val="21"/>
        </w:rPr>
      </w:pPr>
      <w:r>
        <w:rPr>
          <w:sz w:val="21"/>
          <w:szCs w:val="21"/>
        </w:rPr>
        <w:t>При наличии замечаний в случае несоответствия Товара условиям Контракта или отсутствия необходимых документов или предоставление документов, не соответствующих Контракту или Закону о контрактной системе, Заказчик направляет мотивированный отказ от подписания, в котором указываются недостатки и сроки их устранения.</w:t>
      </w:r>
    </w:p>
    <w:p>
      <w:pPr>
        <w:pStyle w:val="Normal"/>
        <w:rPr>
          <w:sz w:val="21"/>
          <w:szCs w:val="21"/>
        </w:rPr>
      </w:pPr>
      <w:r>
        <w:rPr>
          <w:sz w:val="21"/>
          <w:szCs w:val="21"/>
        </w:rPr>
        <w:t>5.3. Некачественный Товар, признанный таковым в момент приемки Товара Заказчиком, должен быть заменен Поставщиком на Товар, соответствующей условиям Контракта, непредставленные документы должны быть представлены Заказчику в течение 3 (трех) дней с момента получения мотивированного отказа от приемки Товара.</w:t>
      </w:r>
    </w:p>
    <w:p>
      <w:pPr>
        <w:pStyle w:val="Normal"/>
        <w:rPr>
          <w:sz w:val="21"/>
          <w:szCs w:val="21"/>
        </w:rPr>
      </w:pPr>
      <w:r>
        <w:rPr>
          <w:sz w:val="21"/>
          <w:szCs w:val="21"/>
        </w:rPr>
        <w:t>5.4. Некомплектный Товар, признанный таковым в момент приемки Товара Заказчиком, должен быть доукомплектован или заменен Поставщиком на Товар, соответствующей условиям Контракта, в течение 3 (трех) часов с момента получения от Заказчика соответствующего требования.</w:t>
      </w:r>
    </w:p>
    <w:p>
      <w:pPr>
        <w:pStyle w:val="Normal"/>
        <w:rPr>
          <w:sz w:val="21"/>
          <w:szCs w:val="21"/>
        </w:rPr>
      </w:pPr>
      <w:r>
        <w:rPr>
          <w:sz w:val="21"/>
          <w:szCs w:val="21"/>
        </w:rPr>
        <w:t>5.5. При поставке Товара в объеме меньшем, чем указано в Спецификации (Приложение № 1 к Контракту) Поставщик по требованию Заказчика обязан допоставить недостающий Товар в течение 3 (трех) часов с момента получения от Заказчика соответствующего требования.</w:t>
      </w:r>
    </w:p>
    <w:p>
      <w:pPr>
        <w:pStyle w:val="Normal"/>
        <w:rPr>
          <w:sz w:val="21"/>
          <w:szCs w:val="21"/>
        </w:rPr>
      </w:pPr>
      <w:r>
        <w:rPr>
          <w:sz w:val="21"/>
          <w:szCs w:val="21"/>
        </w:rPr>
        <w:t>5.6. Заказчик вправе отказаться от поставленного Товара в случае обнаружения недостатков, которые исключают возможность его использования и не могут быть устранены Поставщиком в разумный срок, а также в случае непредставления необходимых документов.</w:t>
      </w:r>
    </w:p>
    <w:p>
      <w:pPr>
        <w:pStyle w:val="Normal"/>
        <w:rPr>
          <w:sz w:val="21"/>
          <w:szCs w:val="21"/>
        </w:rPr>
      </w:pPr>
      <w:r>
        <w:rPr>
          <w:sz w:val="21"/>
          <w:szCs w:val="21"/>
        </w:rPr>
        <w:t xml:space="preserve">5.7. Соответствие поставленного Товара условиям Контракта определяется в ходе экспертизы, организуемой Заказчиком, в соответствии с требованием части 3 статьи 94 Закона о контрактной системе. Экспертиза может проводиться силами Заказчика или к ее проведению могут привлекаться эксперты, экспертные организации. </w:t>
      </w:r>
    </w:p>
    <w:p>
      <w:pPr>
        <w:pStyle w:val="Normal"/>
        <w:rPr>
          <w:sz w:val="21"/>
          <w:szCs w:val="21"/>
        </w:rPr>
      </w:pPr>
      <w:r>
        <w:rPr>
          <w:sz w:val="21"/>
          <w:szCs w:val="21"/>
        </w:rPr>
        <w:t>5.7.1. При проведении экспертизы Заказчик вправе запрашивать дополнительные материалы, относящиеся к условиям исполнения Контракта и/или отдельных этапов исполнения Контракта. Такой запрос должен быть направлен в пределах срока, установленного для приемки Товара в соответствии с п. 5.2 Технического задания. Данный запрос должен содержать срок предоставления необходимых материалов. В целях осуществления проверки поставленного Товара Заказчик вправе истребовать у Поставщика документы, подтверждающие соответствующие качественные характеристики поставленного Товара (паспорт, сертификат качества и т.п.).</w:t>
      </w:r>
    </w:p>
    <w:p>
      <w:pPr>
        <w:pStyle w:val="Normal"/>
        <w:rPr>
          <w:sz w:val="21"/>
          <w:szCs w:val="21"/>
        </w:rPr>
      </w:pPr>
      <w:r>
        <w:rPr>
          <w:sz w:val="21"/>
          <w:szCs w:val="21"/>
        </w:rPr>
        <w:t>5.7.2. В случае запроса дополнительных материалов в соответствии с п. 5.7.1 Технического задания, срок проведения экспертизы пролонгируется на время предоставления дополнительных материалов, но не более, чем на 15 (пятнадцать) рабочих дней с даты получения запрошенных материалов.</w:t>
      </w:r>
    </w:p>
    <w:p>
      <w:pPr>
        <w:pStyle w:val="Normal"/>
        <w:rPr>
          <w:sz w:val="21"/>
          <w:szCs w:val="21"/>
        </w:rPr>
      </w:pPr>
      <w:r>
        <w:rPr>
          <w:sz w:val="21"/>
          <w:szCs w:val="21"/>
        </w:rPr>
        <w:t>5.7.3. В случае, если после предоставления материалов у Заказчика будут отсутствовать замечания к поставленному Товару, то такой Товар будет считаться принятым в установленный Контрактом срок.</w:t>
      </w:r>
    </w:p>
    <w:p>
      <w:pPr>
        <w:pStyle w:val="Normal"/>
        <w:rPr>
          <w:sz w:val="21"/>
          <w:szCs w:val="21"/>
        </w:rPr>
      </w:pPr>
      <w:r>
        <w:rPr>
          <w:sz w:val="21"/>
          <w:szCs w:val="21"/>
        </w:rPr>
        <w:t>5.7.4. В случае, если после предоставления материалов Заказчиком будет направлен мотивированный отказ от приемки поставленного Товара, то в случае устранения недостатков, поименованных в мотивированном отказе, в установленный Заказчиком срок, Товар будет считаться поставленным без нарушения срока по Контракту.</w:t>
      </w:r>
    </w:p>
    <w:p>
      <w:pPr>
        <w:pStyle w:val="Normal"/>
        <w:rPr>
          <w:sz w:val="21"/>
          <w:szCs w:val="21"/>
        </w:rPr>
      </w:pPr>
      <w:r>
        <w:rPr>
          <w:sz w:val="21"/>
          <w:szCs w:val="21"/>
        </w:rPr>
      </w:r>
    </w:p>
    <w:p>
      <w:pPr>
        <w:pStyle w:val="Normal"/>
        <w:rPr>
          <w:sz w:val="21"/>
          <w:szCs w:val="21"/>
        </w:rPr>
      </w:pPr>
      <w:r>
        <w:rPr>
          <w:sz w:val="21"/>
          <w:szCs w:val="21"/>
        </w:rPr>
        <w:t>6. Срок замены некачественного Товара, Гарантийный срок/ срок годности на заменяемый товар:</w:t>
      </w:r>
    </w:p>
    <w:p>
      <w:pPr>
        <w:pStyle w:val="Normal"/>
        <w:rPr>
          <w:sz w:val="21"/>
          <w:szCs w:val="21"/>
        </w:rPr>
      </w:pPr>
      <w:r>
        <w:rPr>
          <w:sz w:val="21"/>
          <w:szCs w:val="21"/>
        </w:rPr>
        <w:t>6.1. Гарантийный срок/ срок годности составляет не менее 12 месяцев. Заказчик вправе предъявить претензии к Поставщику, связанные со скрытыми недостатками Товара по качеству, которые были умышленно скрыты Поставщиком либо которые не могли быть обнаружены при обычном способе приемки Товара, и выявлены лишь в процессе обработки, испытания, использования и хранения Товара.</w:t>
      </w:r>
    </w:p>
    <w:p>
      <w:pPr>
        <w:pStyle w:val="Normal"/>
        <w:rPr>
          <w:sz w:val="21"/>
          <w:szCs w:val="21"/>
        </w:rPr>
      </w:pPr>
      <w:r>
        <w:rPr>
          <w:sz w:val="21"/>
          <w:szCs w:val="21"/>
        </w:rPr>
        <w:t>6.2. Претензия по качеству Товара оформляется в письменной форме в течение 10 (десяти) рабочих дней с момента обнаружения скрытых недостатков Товара.</w:t>
      </w:r>
    </w:p>
    <w:p>
      <w:pPr>
        <w:pStyle w:val="Normal"/>
        <w:rPr>
          <w:sz w:val="21"/>
          <w:szCs w:val="21"/>
        </w:rPr>
      </w:pPr>
      <w:r>
        <w:rPr>
          <w:sz w:val="21"/>
          <w:szCs w:val="21"/>
        </w:rPr>
        <w:t>6.3. Поставщик обязан в течение 2 (двух) рабочих дней с момента получения претензии за свой счет произвести устранение скрытых недостатков Товара либо по согласованию с Заказчиком заменить некачественный Товар на Товар, соответствующий требованиям Договора.</w:t>
      </w:r>
    </w:p>
    <w:p>
      <w:pPr>
        <w:pStyle w:val="Normal"/>
        <w:rPr>
          <w:sz w:val="21"/>
          <w:szCs w:val="21"/>
        </w:rPr>
      </w:pPr>
      <w:r>
        <w:rPr>
          <w:sz w:val="21"/>
          <w:szCs w:val="21"/>
        </w:rPr>
        <w:t>6.4. Расходы по возврату Товара, восстановлению, замене Товара, производятся силами и за счет средств Поставщика</w:t>
      </w:r>
    </w:p>
    <w:p>
      <w:pPr>
        <w:pStyle w:val="Normal"/>
        <w:ind w:firstLine="709"/>
        <w:rPr>
          <w:szCs w:val="28"/>
          <w:lang w:eastAsia="en-US"/>
        </w:rPr>
      </w:pPr>
      <w:r>
        <w:rPr>
          <w:szCs w:val="28"/>
          <w:lang w:eastAsia="en-US"/>
        </w:rPr>
      </w:r>
    </w:p>
    <w:p>
      <w:pPr>
        <w:pStyle w:val="Normal"/>
        <w:tabs>
          <w:tab w:val="clear" w:pos="708"/>
          <w:tab w:val="left" w:pos="567" w:leader="none"/>
        </w:tabs>
        <w:jc w:val="both"/>
        <w:rPr>
          <w:sz w:val="20"/>
          <w:szCs w:val="20"/>
        </w:rPr>
      </w:pPr>
      <w:r>
        <w:rPr>
          <w:sz w:val="20"/>
          <w:szCs w:val="20"/>
        </w:rPr>
      </w:r>
    </w:p>
    <w:p>
      <w:pPr>
        <w:pStyle w:val="Normal"/>
        <w:tabs>
          <w:tab w:val="clear" w:pos="708"/>
          <w:tab w:val="left" w:pos="1701" w:leader="none"/>
        </w:tabs>
        <w:jc w:val="both"/>
        <w:rPr>
          <w:sz w:val="20"/>
          <w:szCs w:val="20"/>
        </w:rPr>
      </w:pPr>
      <w:r>
        <w:rPr>
          <w:sz w:val="20"/>
          <w:szCs w:val="20"/>
        </w:rPr>
      </w:r>
    </w:p>
    <w:p>
      <w:pPr>
        <w:pStyle w:val="Normal"/>
        <w:jc w:val="both"/>
        <w:rPr>
          <w:sz w:val="20"/>
          <w:szCs w:val="20"/>
        </w:rPr>
      </w:pPr>
      <w:r>
        <w:rPr>
          <w:sz w:val="20"/>
          <w:szCs w:val="20"/>
        </w:rPr>
      </w:r>
    </w:p>
    <w:tbl>
      <w:tblPr>
        <w:tblW w:w="9781" w:type="dxa"/>
        <w:jc w:val="center"/>
        <w:tblInd w:w="0" w:type="dxa"/>
        <w:tblLayout w:type="fixed"/>
        <w:tblCellMar>
          <w:top w:w="0" w:type="dxa"/>
          <w:left w:w="108" w:type="dxa"/>
          <w:bottom w:w="0" w:type="dxa"/>
          <w:right w:w="108" w:type="dxa"/>
        </w:tblCellMar>
        <w:tblLook w:val="0000" w:noHBand="0" w:noVBand="0" w:firstColumn="0" w:lastRow="0" w:lastColumn="0" w:firstRow="0"/>
      </w:tblPr>
      <w:tblGrid>
        <w:gridCol w:w="5107"/>
        <w:gridCol w:w="4673"/>
      </w:tblGrid>
      <w:tr>
        <w:trPr>
          <w:trHeight w:val="1" w:hRule="atLeast"/>
        </w:trPr>
        <w:tc>
          <w:tcPr>
            <w:tcW w:w="5107" w:type="dxa"/>
            <w:tcBorders>
              <w:top w:val="single" w:sz="4" w:space="0" w:color="000000"/>
              <w:left w:val="single" w:sz="4" w:space="0" w:color="000000"/>
              <w:bottom w:val="single" w:sz="4" w:space="0" w:color="000000"/>
              <w:right w:val="single" w:sz="4" w:space="0" w:color="000000"/>
            </w:tcBorders>
            <w:shd w:color="000000" w:fill="FFFFFF" w:val="clear"/>
            <w:vAlign w:val="center"/>
          </w:tcPr>
          <w:p>
            <w:pPr>
              <w:pStyle w:val="Normal"/>
              <w:jc w:val="center"/>
              <w:rPr>
                <w:sz w:val="20"/>
                <w:szCs w:val="20"/>
              </w:rPr>
            </w:pPr>
            <w:r>
              <w:rPr>
                <w:b/>
                <w:sz w:val="20"/>
                <w:szCs w:val="20"/>
              </w:rPr>
              <w:t>Заказчик:</w:t>
            </w:r>
          </w:p>
        </w:tc>
        <w:tc>
          <w:tcPr>
            <w:tcW w:w="4673" w:type="dxa"/>
            <w:tcBorders>
              <w:top w:val="single" w:sz="4" w:space="0" w:color="000000"/>
              <w:left w:val="single" w:sz="4" w:space="0" w:color="000000"/>
              <w:bottom w:val="single" w:sz="4" w:space="0" w:color="000000"/>
              <w:right w:val="single" w:sz="4" w:space="0" w:color="000000"/>
            </w:tcBorders>
            <w:shd w:color="000000" w:fill="FFFFFF" w:val="clear"/>
            <w:vAlign w:val="center"/>
          </w:tcPr>
          <w:p>
            <w:pPr>
              <w:pStyle w:val="Normal"/>
              <w:jc w:val="center"/>
              <w:rPr>
                <w:sz w:val="20"/>
                <w:szCs w:val="20"/>
              </w:rPr>
            </w:pPr>
            <w:r>
              <w:rPr>
                <w:b/>
                <w:sz w:val="20"/>
                <w:szCs w:val="20"/>
              </w:rPr>
              <w:t>Поставщик:</w:t>
            </w:r>
          </w:p>
        </w:tc>
      </w:tr>
      <w:tr>
        <w:trPr>
          <w:trHeight w:val="794" w:hRule="atLeast"/>
        </w:trPr>
        <w:tc>
          <w:tcPr>
            <w:tcW w:w="5107" w:type="dxa"/>
            <w:tcBorders>
              <w:top w:val="single" w:sz="4" w:space="0" w:color="000000"/>
              <w:left w:val="single" w:sz="4" w:space="0" w:color="000000"/>
              <w:bottom w:val="single" w:sz="4" w:space="0" w:color="000000"/>
              <w:right w:val="single" w:sz="4" w:space="0" w:color="000000"/>
            </w:tcBorders>
            <w:shd w:color="000000" w:fill="FFFFFF" w:val="clear"/>
          </w:tcPr>
          <w:p>
            <w:pPr>
              <w:pStyle w:val="Normal"/>
              <w:rPr>
                <w:b/>
                <w:sz w:val="20"/>
                <w:szCs w:val="20"/>
              </w:rPr>
            </w:pPr>
            <w:r>
              <w:rPr>
                <w:b/>
                <w:sz w:val="20"/>
                <w:szCs w:val="20"/>
              </w:rPr>
              <w:t>СПб ГБУЗ «Елизаветинская больница»</w:t>
            </w:r>
          </w:p>
          <w:p>
            <w:pPr>
              <w:pStyle w:val="Normal"/>
              <w:rPr>
                <w:sz w:val="20"/>
                <w:szCs w:val="20"/>
              </w:rPr>
            </w:pPr>
            <w:r>
              <w:rPr>
                <w:sz w:val="20"/>
                <w:szCs w:val="20"/>
              </w:rPr>
              <w:t>Главный врач</w:t>
            </w:r>
          </w:p>
          <w:p>
            <w:pPr>
              <w:pStyle w:val="Normal"/>
              <w:rPr>
                <w:sz w:val="20"/>
                <w:szCs w:val="20"/>
              </w:rPr>
            </w:pPr>
            <w:r>
              <w:rPr>
                <w:sz w:val="20"/>
                <w:szCs w:val="20"/>
              </w:rPr>
              <w:t>________________________ С.В. Петров</w:t>
            </w:r>
          </w:p>
          <w:p>
            <w:pPr>
              <w:pStyle w:val="Normal"/>
              <w:rPr>
                <w:sz w:val="20"/>
                <w:szCs w:val="20"/>
              </w:rPr>
            </w:pPr>
            <w:r>
              <w:rPr>
                <w:sz w:val="20"/>
                <w:szCs w:val="20"/>
              </w:rPr>
            </w:r>
          </w:p>
        </w:tc>
        <w:tc>
          <w:tcPr>
            <w:tcW w:w="4673" w:type="dxa"/>
            <w:tcBorders>
              <w:top w:val="single" w:sz="4" w:space="0" w:color="000000"/>
              <w:left w:val="single" w:sz="4" w:space="0" w:color="000000"/>
              <w:bottom w:val="single" w:sz="4" w:space="0" w:color="000000"/>
              <w:right w:val="single" w:sz="4" w:space="0" w:color="000000"/>
            </w:tcBorders>
            <w:shd w:color="000000" w:fill="FFFFFF" w:val="clear"/>
          </w:tcPr>
          <w:p>
            <w:pPr>
              <w:pStyle w:val="Normal"/>
              <w:widowControl w:val="false"/>
              <w:rPr>
                <w:b/>
                <w:sz w:val="20"/>
                <w:szCs w:val="20"/>
              </w:rPr>
            </w:pPr>
            <w:r>
              <w:rPr>
                <w:b/>
                <w:sz w:val="20"/>
                <w:szCs w:val="20"/>
              </w:rPr>
              <w:t>Наименование Поставщика</w:t>
            </w:r>
          </w:p>
          <w:p>
            <w:pPr>
              <w:pStyle w:val="Normal"/>
              <w:widowControl w:val="false"/>
              <w:rPr>
                <w:sz w:val="20"/>
                <w:szCs w:val="20"/>
              </w:rPr>
            </w:pPr>
            <w:r>
              <w:rPr>
                <w:sz w:val="20"/>
                <w:szCs w:val="20"/>
              </w:rPr>
              <w:t>Должность</w:t>
            </w:r>
          </w:p>
          <w:p>
            <w:pPr>
              <w:pStyle w:val="Normal"/>
              <w:widowControl w:val="false"/>
              <w:rPr>
                <w:sz w:val="20"/>
                <w:szCs w:val="20"/>
              </w:rPr>
            </w:pPr>
            <w:r>
              <w:rPr>
                <w:sz w:val="20"/>
                <w:szCs w:val="20"/>
              </w:rPr>
              <w:t>________________________ И.О. Фамилия</w:t>
            </w:r>
          </w:p>
          <w:p>
            <w:pPr>
              <w:pStyle w:val="Normal"/>
              <w:rPr>
                <w:sz w:val="20"/>
                <w:szCs w:val="20"/>
              </w:rPr>
            </w:pPr>
            <w:r>
              <w:rPr>
                <w:sz w:val="20"/>
                <w:szCs w:val="20"/>
              </w:rPr>
            </w:r>
          </w:p>
        </w:tc>
      </w:tr>
    </w:tbl>
    <w:p>
      <w:pPr>
        <w:pStyle w:val="Normal"/>
        <w:jc w:val="both"/>
        <w:rPr>
          <w:sz w:val="20"/>
          <w:szCs w:val="20"/>
        </w:rPr>
      </w:pPr>
      <w:r>
        <w:rPr>
          <w:sz w:val="20"/>
          <w:szCs w:val="20"/>
        </w:rPr>
      </w:r>
    </w:p>
    <w:sectPr>
      <w:headerReference w:type="default" r:id="rId5"/>
      <w:headerReference w:type="first" r:id="rId6"/>
      <w:type w:val="nextPage"/>
      <w:pgSz w:orient="landscape" w:w="16838" w:h="11906"/>
      <w:pgMar w:left="1134" w:right="851" w:gutter="0" w:header="708" w:top="765" w:footer="0" w:bottom="1134"/>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libri">
    <w:charset w:val="01"/>
    <w:family w:val="roman"/>
    <w:pitch w:val="default"/>
  </w:font>
  <w:font w:name="Times New Roman">
    <w:charset w:val="01"/>
    <w:family w:val="roman"/>
    <w:pitch w:val="default"/>
  </w:font>
  <w:font w:name="Segoe UI">
    <w:charset w:val="01"/>
    <w:family w:val="swiss"/>
    <w:pitch w:val="default"/>
  </w:font>
  <w:font w:name="Arial">
    <w:charset w:val="01"/>
    <w:family w:val="swiss"/>
    <w:pitch w:val="default"/>
  </w:font>
  <w:font w:name="PT Astra Serif">
    <w:charset w:val="01"/>
    <w:family w:val="roman"/>
    <w:pitch w:val="default"/>
  </w:font>
  <w:font w:name="Courier New">
    <w:charset w:val="01"/>
    <w:family w:val="auto"/>
    <w:pitch w:val="default"/>
  </w:font>
  <w:font w:name="Times New Roman">
    <w:charset w:val="01"/>
    <w:family w:val="auto"/>
    <w:pitch w:val="default"/>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rPr/>
    </w:pPr>
    <w:r>
      <w:rPr/>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rPr/>
    </w:pPr>
    <w:r>
      <w:rPr/>
    </w:r>
  </w:p>
</w:hdr>
</file>

<file path=word/header4.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rPr/>
    </w:pPr>
    <w:r>
      <w:rPr/>
    </w:r>
  </w:p>
</w:hdr>
</file>

<file path=word/header5.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0"/>
        </w:tabs>
        <w:ind w:left="720" w:hanging="360"/>
      </w:pPr>
      <w:rPr>
        <w:rFonts w:ascii="Times New Roman" w:hAnsi="Times New Roman" w:cs="Times New Roman"/>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98"/>
  <w:defaultTabStop w:val="708"/>
  <w:autoHyphenation w:val="true"/>
  <w:hyphenationZone w:val="0"/>
  <w:compat>
    <w:doNotBreakWrappedTables/>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ru-RU" w:eastAsia="en-US" w:bidi="ar-SA"/>
      </w:rPr>
    </w:rPrDefault>
    <w:pPrDefault>
      <w:pPr>
        <w:suppressAutoHyphens w:val="true"/>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6f793b"/>
    <w:pPr>
      <w:widowControl/>
      <w:suppressAutoHyphens w:val="true"/>
      <w:bidi w:val="0"/>
      <w:spacing w:before="0" w:after="0"/>
      <w:jc w:val="left"/>
    </w:pPr>
    <w:rPr>
      <w:rFonts w:ascii="Times New Roman" w:hAnsi="Times New Roman" w:eastAsia="Times New Roman" w:cs="Times New Roman"/>
      <w:color w:val="auto"/>
      <w:kern w:val="0"/>
      <w:sz w:val="24"/>
      <w:szCs w:val="24"/>
      <w:lang w:val="ru-RU" w:eastAsia="ru-RU" w:bidi="ar-SA"/>
    </w:rPr>
  </w:style>
  <w:style w:type="character" w:styleId="DefaultParagraphFont" w:default="1">
    <w:name w:val="Default Paragraph Font"/>
    <w:uiPriority w:val="1"/>
    <w:semiHidden/>
    <w:unhideWhenUsed/>
    <w:qFormat/>
    <w:rPr/>
  </w:style>
  <w:style w:type="character" w:styleId="defaultStyleCar" w:customStyle="1">
    <w:name w:val="defaultStyleCar"/>
    <w:link w:val="defaultStyle"/>
    <w:uiPriority w:val="99"/>
    <w:unhideWhenUsed/>
    <w:qFormat/>
    <w:rsid w:val="0068337f"/>
    <w:rPr>
      <w:rFonts w:ascii="Calibri" w:hAnsi="Calibri" w:eastAsia="Calibri" w:cs="Times New Roman"/>
      <w:color w:val="000000"/>
      <w:sz w:val="24"/>
      <w:lang w:eastAsia="ru-RU"/>
    </w:rPr>
  </w:style>
  <w:style w:type="character" w:styleId="Style14" w:customStyle="1">
    <w:name w:val="Текст сноски Знак"/>
    <w:basedOn w:val="DefaultParagraphFont"/>
    <w:uiPriority w:val="99"/>
    <w:qFormat/>
    <w:rsid w:val="0068337f"/>
    <w:rPr>
      <w:rFonts w:ascii="Times New Roman" w:hAnsi="Times New Roman" w:eastAsia="Times New Roman" w:cs="Times New Roman"/>
      <w:sz w:val="20"/>
      <w:szCs w:val="20"/>
      <w:lang w:eastAsia="ru-RU"/>
    </w:rPr>
  </w:style>
  <w:style w:type="character" w:styleId="Style15" w:customStyle="1">
    <w:name w:val="Символ сноски"/>
    <w:uiPriority w:val="99"/>
    <w:qFormat/>
    <w:rsid w:val="0068337f"/>
    <w:rPr>
      <w:vertAlign w:val="superscript"/>
    </w:rPr>
  </w:style>
  <w:style w:type="character" w:styleId="FootnoteReference">
    <w:name w:val="footnote reference"/>
    <w:rPr>
      <w:vertAlign w:val="superscript"/>
    </w:rPr>
  </w:style>
  <w:style w:type="character" w:styleId="Hyperlink">
    <w:name w:val="Hyperlink"/>
    <w:basedOn w:val="DefaultParagraphFont"/>
    <w:uiPriority w:val="99"/>
    <w:unhideWhenUsed/>
    <w:rsid w:val="00c538fe"/>
    <w:rPr>
      <w:color w:val="0000FF"/>
      <w:u w:val="single"/>
    </w:rPr>
  </w:style>
  <w:style w:type="character" w:styleId="Style16" w:customStyle="1">
    <w:name w:val="Текст выноски Знак"/>
    <w:basedOn w:val="DefaultParagraphFont"/>
    <w:link w:val="BalloonText"/>
    <w:uiPriority w:val="99"/>
    <w:semiHidden/>
    <w:qFormat/>
    <w:rsid w:val="00dc5f37"/>
    <w:rPr>
      <w:rFonts w:ascii="Segoe UI" w:hAnsi="Segoe UI" w:eastAsia="Times New Roman" w:cs="Segoe UI"/>
      <w:sz w:val="18"/>
      <w:szCs w:val="18"/>
      <w:lang w:eastAsia="ru-RU"/>
    </w:rPr>
  </w:style>
  <w:style w:type="character" w:styleId="ConsPlusNormal" w:customStyle="1">
    <w:name w:val="ConsPlusNormal Знак"/>
    <w:link w:val="ConsPlusNormal1"/>
    <w:qFormat/>
    <w:locked/>
    <w:rsid w:val="000b3789"/>
    <w:rPr>
      <w:rFonts w:ascii="Arial" w:hAnsi="Arial" w:eastAsia="Times New Roman" w:cs="Arial"/>
      <w:sz w:val="28"/>
      <w:szCs w:val="28"/>
      <w:lang w:eastAsia="ru-RU"/>
    </w:rPr>
  </w:style>
  <w:style w:type="character" w:styleId="Style17" w:customStyle="1">
    <w:name w:val="Символ концевой сноски"/>
    <w:qFormat/>
    <w:rPr>
      <w:vertAlign w:val="superscript"/>
    </w:rPr>
  </w:style>
  <w:style w:type="character" w:styleId="EndnoteReference">
    <w:name w:val="endnote reference"/>
    <w:rPr>
      <w:vertAlign w:val="superscript"/>
    </w:rPr>
  </w:style>
  <w:style w:type="paragraph" w:styleId="Style18" w:customStyle="1">
    <w:name w:val="Заголовок"/>
    <w:basedOn w:val="Normal"/>
    <w:next w:val="BodyText"/>
    <w:qFormat/>
    <w:pPr>
      <w:keepNext w:val="true"/>
      <w:spacing w:before="240" w:after="120"/>
    </w:pPr>
    <w:rPr>
      <w:rFonts w:ascii="PT Astra Serif" w:hAnsi="PT Astra Serif" w:eastAsia="Tahoma" w:cs="Noto Sans Devanagari"/>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ascii="PT Astra Serif" w:hAnsi="PT Astra Serif" w:cs="Noto Sans Devanagari"/>
    </w:rPr>
  </w:style>
  <w:style w:type="paragraph" w:styleId="Caption">
    <w:name w:val="caption"/>
    <w:basedOn w:val="Normal"/>
    <w:qFormat/>
    <w:pPr>
      <w:suppressLineNumbers/>
      <w:spacing w:before="120" w:after="120"/>
    </w:pPr>
    <w:rPr>
      <w:rFonts w:ascii="PT Astra Serif" w:hAnsi="PT Astra Serif" w:cs="Noto Sans Devanagari"/>
      <w:i/>
      <w:iCs/>
    </w:rPr>
  </w:style>
  <w:style w:type="paragraph" w:styleId="Style19">
    <w:name w:val="Указатель"/>
    <w:basedOn w:val="Normal"/>
    <w:qFormat/>
    <w:pPr>
      <w:suppressLineNumbers/>
    </w:pPr>
    <w:rPr>
      <w:rFonts w:ascii="PT Astra Serif" w:hAnsi="PT Astra Serif" w:cs="Noto Sans Devanagari"/>
    </w:rPr>
  </w:style>
  <w:style w:type="paragraph" w:styleId="IndexHeading">
    <w:name w:val="index heading"/>
    <w:basedOn w:val="Normal"/>
    <w:qFormat/>
    <w:pPr>
      <w:suppressLineNumbers/>
    </w:pPr>
    <w:rPr>
      <w:rFonts w:ascii="PT Astra Serif" w:hAnsi="PT Astra Serif" w:cs="Noto Sans Devanagari"/>
    </w:rPr>
  </w:style>
  <w:style w:type="paragraph" w:styleId="ListParagraph">
    <w:name w:val="List Paragraph"/>
    <w:basedOn w:val="Normal"/>
    <w:uiPriority w:val="34"/>
    <w:qFormat/>
    <w:rsid w:val="00794920"/>
    <w:pPr>
      <w:spacing w:lineRule="auto" w:line="259" w:before="0" w:after="160"/>
      <w:ind w:left="720"/>
      <w:contextualSpacing/>
    </w:pPr>
    <w:rPr>
      <w:rFonts w:ascii="Calibri" w:hAnsi="Calibri" w:eastAsia="Calibri" w:cs="" w:asciiTheme="minorHAnsi" w:cstheme="minorBidi" w:eastAsiaTheme="minorHAnsi" w:hAnsiTheme="minorHAnsi"/>
      <w:sz w:val="22"/>
      <w:szCs w:val="22"/>
      <w:lang w:eastAsia="en-US"/>
    </w:rPr>
  </w:style>
  <w:style w:type="paragraph" w:styleId="NormalWeb">
    <w:name w:val="Normal (Web)"/>
    <w:basedOn w:val="Normal"/>
    <w:uiPriority w:val="99"/>
    <w:semiHidden/>
    <w:unhideWhenUsed/>
    <w:qFormat/>
    <w:rsid w:val="008506e0"/>
    <w:pPr/>
    <w:rPr/>
  </w:style>
  <w:style w:type="paragraph" w:styleId="msonormalmrcssattr" w:customStyle="1">
    <w:name w:val="msonormal_mr_css_attr"/>
    <w:basedOn w:val="Normal"/>
    <w:qFormat/>
    <w:rsid w:val="006f7579"/>
    <w:pPr>
      <w:spacing w:beforeAutospacing="1" w:afterAutospacing="1"/>
    </w:pPr>
    <w:rPr/>
  </w:style>
  <w:style w:type="paragraph" w:styleId="defaultStyle" w:customStyle="1">
    <w:name w:val="defaultStyle"/>
    <w:link w:val="defaultStyleCar"/>
    <w:uiPriority w:val="99"/>
    <w:unhideWhenUsed/>
    <w:qFormat/>
    <w:rsid w:val="0068337f"/>
    <w:pPr>
      <w:widowControl/>
      <w:suppressAutoHyphens w:val="true"/>
      <w:bidi w:val="0"/>
      <w:spacing w:lineRule="auto" w:line="360" w:before="0" w:after="200"/>
      <w:jc w:val="both"/>
    </w:pPr>
    <w:rPr>
      <w:rFonts w:ascii="Calibri" w:hAnsi="Calibri" w:eastAsia="Calibri" w:cs="Times New Roman"/>
      <w:color w:val="000000"/>
      <w:kern w:val="0"/>
      <w:sz w:val="24"/>
      <w:szCs w:val="22"/>
      <w:lang w:val="ru-RU" w:eastAsia="ru-RU" w:bidi="ar-SA"/>
    </w:rPr>
  </w:style>
  <w:style w:type="paragraph" w:styleId="FootnoteText">
    <w:name w:val="footnote text"/>
    <w:basedOn w:val="Normal"/>
    <w:link w:val="Style14"/>
    <w:uiPriority w:val="99"/>
    <w:qFormat/>
    <w:rsid w:val="0068337f"/>
    <w:pPr/>
    <w:rPr>
      <w:sz w:val="20"/>
      <w:szCs w:val="20"/>
    </w:rPr>
  </w:style>
  <w:style w:type="paragraph" w:styleId="NoSpacing">
    <w:name w:val="No Spacing"/>
    <w:uiPriority w:val="1"/>
    <w:qFormat/>
    <w:rsid w:val="00d87d76"/>
    <w:pPr>
      <w:widowControl/>
      <w:suppressAutoHyphens w:val="true"/>
      <w:bidi w:val="0"/>
      <w:spacing w:before="0" w:after="0"/>
      <w:jc w:val="left"/>
    </w:pPr>
    <w:rPr>
      <w:rFonts w:ascii="Times New Roman" w:hAnsi="Times New Roman" w:eastAsia="Times New Roman" w:cs="Times New Roman"/>
      <w:color w:val="auto"/>
      <w:kern w:val="0"/>
      <w:sz w:val="24"/>
      <w:szCs w:val="24"/>
      <w:lang w:val="ru-RU" w:eastAsia="ru-RU" w:bidi="ar-SA"/>
    </w:rPr>
  </w:style>
  <w:style w:type="paragraph" w:styleId="BalloonText">
    <w:name w:val="Balloon Text"/>
    <w:basedOn w:val="Normal"/>
    <w:link w:val="Style16"/>
    <w:uiPriority w:val="99"/>
    <w:semiHidden/>
    <w:unhideWhenUsed/>
    <w:qFormat/>
    <w:rsid w:val="00dc5f37"/>
    <w:pPr/>
    <w:rPr>
      <w:rFonts w:ascii="Segoe UI" w:hAnsi="Segoe UI" w:cs="Segoe UI"/>
      <w:sz w:val="18"/>
      <w:szCs w:val="18"/>
    </w:rPr>
  </w:style>
  <w:style w:type="paragraph" w:styleId="ConsPlusNonformat" w:customStyle="1">
    <w:name w:val="ConsPlusNonformat"/>
    <w:qFormat/>
    <w:rsid w:val="00735ab3"/>
    <w:pPr>
      <w:widowControl/>
      <w:suppressAutoHyphens w:val="true"/>
      <w:bidi w:val="0"/>
      <w:spacing w:before="0" w:after="0"/>
      <w:jc w:val="left"/>
    </w:pPr>
    <w:rPr>
      <w:rFonts w:ascii="Courier New" w:hAnsi="Courier New" w:eastAsia="Times New Roman" w:cs="Courier New"/>
      <w:color w:val="auto"/>
      <w:kern w:val="0"/>
      <w:sz w:val="20"/>
      <w:szCs w:val="20"/>
      <w:lang w:val="ru-RU" w:eastAsia="ru-RU" w:bidi="ar-SA"/>
    </w:rPr>
  </w:style>
  <w:style w:type="paragraph" w:styleId="ConsPlusNormal1" w:customStyle="1">
    <w:name w:val="ConsPlusNormal"/>
    <w:link w:val="ConsPlusNormal"/>
    <w:qFormat/>
    <w:rsid w:val="000b3789"/>
    <w:pPr>
      <w:widowControl/>
      <w:suppressAutoHyphens w:val="true"/>
      <w:bidi w:val="0"/>
      <w:spacing w:before="0" w:after="0"/>
      <w:ind w:firstLine="720"/>
      <w:jc w:val="left"/>
    </w:pPr>
    <w:rPr>
      <w:rFonts w:ascii="Arial" w:hAnsi="Arial" w:eastAsia="Times New Roman" w:cs="Arial"/>
      <w:color w:val="auto"/>
      <w:kern w:val="0"/>
      <w:sz w:val="28"/>
      <w:szCs w:val="28"/>
      <w:lang w:val="ru-RU" w:eastAsia="ru-RU" w:bidi="ar-SA"/>
    </w:rPr>
  </w:style>
  <w:style w:type="paragraph" w:styleId="c9b8a43e859666fd6d50b0c0ecbd29f118f6f983830e33aa99aa78d3b532a93cmsonospacing" w:customStyle="1">
    <w:name w:val="c9b8a43e859666fd6d50b0c0ecbd29f118f6f983830e33aa99aa78d3b532a93cmsonospacing"/>
    <w:basedOn w:val="Normal"/>
    <w:qFormat/>
    <w:rsid w:val="007510a2"/>
    <w:pPr>
      <w:spacing w:beforeAutospacing="1" w:afterAutospacing="1"/>
    </w:pPr>
    <w:rPr>
      <w:lang w:val="en-US" w:eastAsia="en-US"/>
    </w:rPr>
  </w:style>
  <w:style w:type="paragraph" w:styleId="HeaderandFooter" w:customStyle="1">
    <w:name w:val="Header and Footer"/>
    <w:basedOn w:val="Normal"/>
    <w:qFormat/>
    <w:pPr/>
    <w:rPr/>
  </w:style>
  <w:style w:type="paragraph" w:styleId="Header">
    <w:name w:val="header"/>
    <w:basedOn w:val="HeaderandFooter"/>
    <w:pPr/>
    <w:rPr/>
  </w:style>
  <w:style w:type="paragraph" w:styleId="Style20" w:customStyle="1">
    <w:name w:val="Верхний колонтитул слева"/>
    <w:basedOn w:val="Header"/>
    <w:qFormat/>
    <w:pPr/>
    <w:rPr/>
  </w:style>
  <w:style w:type="paragraph" w:styleId="Style21" w:customStyle="1">
    <w:name w:val="Содержимое таблицы"/>
    <w:basedOn w:val="Normal"/>
    <w:qFormat/>
    <w:pPr>
      <w:widowControl w:val="false"/>
      <w:suppressLineNumbers/>
    </w:pPr>
    <w:rPr/>
  </w:style>
  <w:style w:type="paragraph" w:styleId="Style22" w:customStyle="1">
    <w:name w:val="Заголовок таблицы"/>
    <w:basedOn w:val="Style21"/>
    <w:qFormat/>
    <w:pPr>
      <w:jc w:val="center"/>
    </w:pPr>
    <w:rPr>
      <w:b/>
      <w:bCs/>
    </w:rPr>
  </w:style>
  <w:style w:type="numbering" w:styleId="Style23" w:customStyle="1">
    <w:name w:val="Без списка"/>
    <w:uiPriority w:val="99"/>
    <w:semiHidden/>
    <w:unhideWhenUsed/>
    <w:qFormat/>
  </w:style>
  <w:style w:type="table" w:default="1" w:styleId="a1">
    <w:name w:val="Normal Table"/>
    <w:uiPriority w:val="99"/>
    <w:semiHidden/>
    <w:unhideWhenUsed/>
    <w:tblPr>
      <w:tblCellMar>
        <w:top w:w="0" w:type="dxa"/>
        <w:left w:w="108" w:type="dxa"/>
        <w:bottom w:w="0" w:type="dxa"/>
        <w:right w:w="108" w:type="dxa"/>
      </w:tblCellMar>
    </w:tblPr>
  </w:style>
  <w:style w:type="table" w:styleId="af9">
    <w:name w:val="Table Grid"/>
    <w:basedOn w:val="a1"/>
    <w:uiPriority w:val="59"/>
    <w:rsid w:val="00ce570e"/>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TableStyle1">
    <w:name w:val="TableStyle1"/>
    <w:rsid w:val="009f2936"/>
    <w:rPr>
      <w:rFonts w:eastAsiaTheme="minorEastAsia"/>
      <w:lang w:eastAsia="ru-RU"/>
      <w:sz w:val="16"/>
    </w:rPr>
    <w:tblPr>
      <w:tblCellMar>
        <w:top w:w="0" w:type="dxa"/>
        <w:left w:w="0" w:type="dxa"/>
        <w:bottom w:w="0" w:type="dxa"/>
        <w:right w:w="0" w:type="dxa"/>
      </w:tblCellMar>
    </w:tblPr>
  </w:style>
  <w:style w:type="table" w:customStyle="1" w:styleId="1">
    <w:name w:val="Сетка таблицы1"/>
    <w:basedOn w:val="a1"/>
    <w:rsid w:val="00362030"/>
    <w:rPr>
      <w:lang w:eastAsia="ru-RU"/>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
    <w:name w:val="Сетка таблицы2"/>
    <w:basedOn w:val="a1"/>
    <w:uiPriority w:val="59"/>
    <w:rsid w:val="009b02bb"/>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3">
    <w:name w:val="Сетка таблицы3"/>
    <w:basedOn w:val="a1"/>
    <w:uiPriority w:val="39"/>
    <w:rsid w:val="008548d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
    <w:name w:val="Сетка таблицы4"/>
    <w:basedOn w:val="a1"/>
    <w:uiPriority w:val="59"/>
    <w:rsid w:val="009e280e"/>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header" Target="header2.xml"/><Relationship Id="rId4" Type="http://schemas.openxmlformats.org/officeDocument/2006/relationships/header" Target="header3.xml"/><Relationship Id="rId5" Type="http://schemas.openxmlformats.org/officeDocument/2006/relationships/header" Target="header4.xml"/><Relationship Id="rId6" Type="http://schemas.openxmlformats.org/officeDocument/2006/relationships/header" Target="header5.xml"/><Relationship Id="rId7" Type="http://schemas.openxmlformats.org/officeDocument/2006/relationships/numbering" Target="numbering.xml"/><Relationship Id="rId8" Type="http://schemas.openxmlformats.org/officeDocument/2006/relationships/fontTable" Target="fontTable.xml"/><Relationship Id="rId9" Type="http://schemas.openxmlformats.org/officeDocument/2006/relationships/settings" Target="settings.xml"/><Relationship Id="rId10" Type="http://schemas.openxmlformats.org/officeDocument/2006/relationships/theme" Target="theme/theme1.xml"/><Relationship Id="rId11" Type="http://schemas.openxmlformats.org/officeDocument/2006/relationships/customXml" Target="../customXml/item1.xml"/>
</Relationships>
</file>

<file path=word/theme/theme1.xml><?xml version="1.0" encoding="utf-8"?>
<a:theme xmlns:a="http://schemas.openxmlformats.org/drawingml/2006/main" xmlns:r="http://schemas.openxmlformats.org/officeDocument/2006/relationships" name="Тема Office">
  <a:themeElements>
    <a:clrScheme name="Стандартная">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pitchFamily="0" charset="1"/>
        <a:ea typeface=""/>
        <a:cs typeface=""/>
      </a:majorFont>
      <a:minorFont>
        <a:latin typeface="Calibri" panose="020F0502020204030204"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ED4BBC-3AD6-483F-9294-C52654E831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333</TotalTime>
  <Application>LibreOffice/24.8.4.2$Linux_X86_64 LibreOffice_project/480$Build-2</Application>
  <AppVersion>15.0000</AppVersion>
  <Pages>11</Pages>
  <Words>4642</Words>
  <Characters>32970</Characters>
  <CharactersWithSpaces>37360</CharactersWithSpaces>
  <Paragraphs>270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2023-10-10T11:38:00Z</dcterms:created>
  <dc:creator>Сергеев Алексей Борисович</dc:creator>
  <dc:description/>
  <dc:language>ru-RU</dc:language>
  <cp:lastModifiedBy/>
  <cp:lastPrinted>2026-01-16T14:51:00Z</cp:lastPrinted>
  <dcterms:modified xsi:type="dcterms:W3CDTF">2026-07-01T11:41:35Z</dcterms:modified>
  <cp:revision>119</cp:revision>
  <dc:subject/>
  <dc:title/>
</cp:coreProperties>
</file>

<file path=docProps/custom.xml><?xml version="1.0" encoding="utf-8"?>
<Properties xmlns="http://schemas.openxmlformats.org/officeDocument/2006/custom-properties" xmlns:vt="http://schemas.openxmlformats.org/officeDocument/2006/docPropsVTypes"/>
</file>