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color w:val="auto"/>
        </w:rPr>
      </w:pPr>
    </w:p>
    <w:p>
      <w:pPr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color w:val="auto"/>
        </w:rPr>
      </w:pPr>
      <w:r>
        <w:rPr>
          <w:rFonts w:ascii="Times New Roman" w:hAnsi="Times New Roman" w:cs="Times New Roman"/>
          <w:b/>
          <w:color w:val="auto"/>
        </w:rPr>
        <w:t>ОБОСНОВАНИЕ НАЧАЛЬНОЙ (МАКСИМАЛЬНОЙ) ЦЕНЫ КОНТРАКТА</w:t>
      </w:r>
    </w:p>
    <w:p>
      <w:pPr>
        <w:jc w:val="center"/>
        <w:outlineLvl w:val="0"/>
        <w:rPr>
          <w:rFonts w:ascii="Times New Roman" w:hAnsi="Times New Roman"/>
          <w:b/>
          <w:bCs/>
        </w:rPr>
      </w:pPr>
    </w:p>
    <w:tbl>
      <w:tblPr>
        <w:tblW w:w="964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68"/>
        <w:gridCol w:w="3827"/>
        <w:gridCol w:w="5245"/>
      </w:tblGrid>
      <w:tr>
        <w:trPr>
          <w:trHeight w:val="70"/>
        </w:trPr>
        <w:tc>
          <w:tcPr>
            <w:tcW w:w="568" w:type="dxa"/>
            <w:vAlign w:val="center"/>
          </w:tcPr>
          <w:p>
            <w:pPr>
              <w:outlineLvl w:val="0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1</w:t>
            </w:r>
          </w:p>
        </w:tc>
        <w:tc>
          <w:tcPr>
            <w:tcW w:w="3827" w:type="dxa"/>
            <w:vAlign w:val="center"/>
          </w:tcPr>
          <w:p>
            <w:pPr>
              <w:jc w:val="center"/>
              <w:outlineLvl w:val="0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Используемый метод определения начальной (максимальной) цены контракта</w:t>
            </w:r>
          </w:p>
        </w:tc>
        <w:tc>
          <w:tcPr>
            <w:tcW w:w="5245" w:type="dxa"/>
            <w:vAlign w:val="center"/>
          </w:tcPr>
          <w:p>
            <w:pPr>
              <w:autoSpaceDE w:val="0"/>
              <w:autoSpaceDN w:val="0"/>
              <w:adjustRightInd w:val="0"/>
              <w:ind w:firstLine="285"/>
              <w:jc w:val="both"/>
              <w:rPr>
                <w:rFonts w:ascii="Times New Roman" w:hAnsi="Times New Roman"/>
                <w:b/>
                <w:iCs/>
                <w:sz w:val="23"/>
                <w:szCs w:val="23"/>
              </w:rPr>
            </w:pPr>
            <w:r>
              <w:rPr>
                <w:rFonts w:ascii="Times New Roman" w:hAnsi="Times New Roman"/>
                <w:iCs/>
                <w:sz w:val="23"/>
                <w:szCs w:val="23"/>
              </w:rPr>
              <w:t xml:space="preserve">Формирование начальной (максимальной) цены контракта осуществлено заказчиком в соответствии с приказом </w:t>
            </w:r>
            <w:r>
              <w:rPr>
                <w:rFonts w:ascii="Times New Roman" w:hAnsi="Times New Roman"/>
                <w:sz w:val="23"/>
                <w:szCs w:val="23"/>
              </w:rPr>
              <w:t>Министерством экономического развития Российской Федерации от 02.10.2013 № 567 «Об утверждении методических рекомендаций по применению методов определения начальной (максимальной) цены контракта, цены контракта, заключаемого с единственным поставщиком (подрядчиком, исполнителем)» т</w:t>
            </w:r>
            <w:r>
              <w:rPr>
                <w:rFonts w:ascii="Times New Roman" w:hAnsi="Times New Roman"/>
                <w:b/>
                <w:iCs/>
                <w:sz w:val="23"/>
                <w:szCs w:val="23"/>
              </w:rPr>
              <w:t>арифным методом</w:t>
            </w:r>
            <w:r>
              <w:rPr>
                <w:rFonts w:ascii="Times New Roman" w:hAnsi="Times New Roman"/>
                <w:sz w:val="23"/>
                <w:szCs w:val="23"/>
              </w:rPr>
              <w:t xml:space="preserve">. </w:t>
            </w:r>
          </w:p>
        </w:tc>
      </w:tr>
      <w:tr>
        <w:trPr>
          <w:trHeight w:val="1616"/>
        </w:trPr>
        <w:tc>
          <w:tcPr>
            <w:tcW w:w="568" w:type="dxa"/>
            <w:vAlign w:val="center"/>
          </w:tcPr>
          <w:p>
            <w:pPr>
              <w:outlineLvl w:val="0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2</w:t>
            </w:r>
          </w:p>
        </w:tc>
        <w:tc>
          <w:tcPr>
            <w:tcW w:w="3827" w:type="dxa"/>
            <w:vAlign w:val="center"/>
          </w:tcPr>
          <w:p>
            <w:pPr>
              <w:jc w:val="center"/>
              <w:outlineLvl w:val="0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Порядок формирования начальной (максимальной) цены контракта</w:t>
            </w:r>
          </w:p>
        </w:tc>
        <w:tc>
          <w:tcPr>
            <w:tcW w:w="5245" w:type="dxa"/>
            <w:vAlign w:val="center"/>
          </w:tcPr>
          <w:p>
            <w:pPr>
              <w:pStyle w:val="a3"/>
              <w:jc w:val="both"/>
              <w:rPr>
                <w:bCs/>
                <w:sz w:val="23"/>
                <w:szCs w:val="23"/>
                <w:lang w:eastAsia="ru-RU"/>
              </w:rPr>
            </w:pPr>
            <w:r>
              <w:rPr>
                <w:bCs/>
                <w:sz w:val="23"/>
                <w:szCs w:val="23"/>
              </w:rPr>
              <w:t>По цене, равной установленным тарифам, (Распоряжение Комитета по тарифам Санкт-Петербурга от 29.12.2025  №343-р)</w:t>
            </w:r>
          </w:p>
        </w:tc>
      </w:tr>
      <w:tr>
        <w:trPr>
          <w:trHeight w:val="1629"/>
        </w:trPr>
        <w:tc>
          <w:tcPr>
            <w:tcW w:w="568" w:type="dxa"/>
            <w:vAlign w:val="center"/>
          </w:tcPr>
          <w:p>
            <w:pPr>
              <w:outlineLvl w:val="0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3</w:t>
            </w:r>
          </w:p>
        </w:tc>
        <w:tc>
          <w:tcPr>
            <w:tcW w:w="3827" w:type="dxa"/>
            <w:vAlign w:val="center"/>
          </w:tcPr>
          <w:p>
            <w:pPr>
              <w:jc w:val="center"/>
              <w:outlineLvl w:val="0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Валюта, используемая для формирования цены контракта и расчетов с поставщиками (подрядчиками, исполнителями)</w:t>
            </w:r>
          </w:p>
        </w:tc>
        <w:tc>
          <w:tcPr>
            <w:tcW w:w="5245" w:type="dxa"/>
            <w:vAlign w:val="center"/>
          </w:tcPr>
          <w:p>
            <w:pPr>
              <w:jc w:val="center"/>
              <w:outlineLvl w:val="0"/>
              <w:rPr>
                <w:rFonts w:ascii="Times New Roman" w:hAnsi="Times New Roman"/>
                <w:b/>
                <w:bCs/>
              </w:rPr>
            </w:pPr>
            <w:r>
              <w:rPr>
                <w:rFonts w:ascii="Times New Roman" w:hAnsi="Times New Roman"/>
                <w:bCs/>
              </w:rPr>
              <w:t>Российский рубль.</w:t>
            </w:r>
          </w:p>
          <w:p>
            <w:pPr>
              <w:jc w:val="center"/>
              <w:outlineLvl w:val="0"/>
              <w:rPr>
                <w:rFonts w:ascii="Times New Roman" w:hAnsi="Times New Roman"/>
                <w:b/>
              </w:rPr>
            </w:pPr>
          </w:p>
        </w:tc>
      </w:tr>
      <w:tr>
        <w:trPr>
          <w:trHeight w:val="690"/>
        </w:trPr>
        <w:tc>
          <w:tcPr>
            <w:tcW w:w="568" w:type="dxa"/>
            <w:vMerge w:val="restart"/>
            <w:vAlign w:val="center"/>
          </w:tcPr>
          <w:p>
            <w:pPr>
              <w:outlineLvl w:val="0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4</w:t>
            </w:r>
          </w:p>
        </w:tc>
        <w:tc>
          <w:tcPr>
            <w:tcW w:w="3827" w:type="dxa"/>
            <w:vMerge w:val="restart"/>
            <w:vAlign w:val="center"/>
          </w:tcPr>
          <w:p>
            <w:pPr>
              <w:jc w:val="center"/>
              <w:outlineLvl w:val="0"/>
              <w:rPr>
                <w:rFonts w:ascii="Times New Roman" w:hAnsi="Times New Roman"/>
                <w:bCs/>
              </w:rPr>
            </w:pPr>
          </w:p>
          <w:p>
            <w:pPr>
              <w:jc w:val="center"/>
              <w:outlineLvl w:val="0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 xml:space="preserve">Начальная (максимальная) цена контракта, руб. </w:t>
            </w:r>
          </w:p>
          <w:p>
            <w:pPr>
              <w:jc w:val="center"/>
              <w:outlineLvl w:val="0"/>
              <w:rPr>
                <w:rFonts w:ascii="Times New Roman" w:hAnsi="Times New Roman"/>
                <w:bCs/>
              </w:rPr>
            </w:pPr>
          </w:p>
          <w:p>
            <w:pPr>
              <w:outlineLvl w:val="1"/>
              <w:rPr>
                <w:rFonts w:ascii="Times New Roman" w:hAnsi="Times New Roman"/>
                <w:bCs/>
              </w:rPr>
            </w:pPr>
          </w:p>
        </w:tc>
        <w:tc>
          <w:tcPr>
            <w:tcW w:w="5245" w:type="dxa"/>
            <w:vAlign w:val="center"/>
          </w:tcPr>
          <w:p>
            <w:pPr>
              <w:jc w:val="center"/>
              <w:outlineLvl w:val="0"/>
              <w:rPr>
                <w:rFonts w:ascii="Times New Roman" w:hAnsi="Times New Roman"/>
                <w:b/>
              </w:rPr>
            </w:pPr>
          </w:p>
          <w:p>
            <w:pPr>
              <w:jc w:val="center"/>
              <w:outlineLvl w:val="0"/>
              <w:rPr>
                <w:rFonts w:ascii="Times New Roman" w:hAnsi="Times New Roman"/>
                <w:b/>
              </w:rPr>
            </w:pPr>
          </w:p>
          <w:p>
            <w:pPr>
              <w:jc w:val="center"/>
              <w:outlineLvl w:val="0"/>
              <w:rPr>
                <w:rFonts w:ascii="Times New Roman" w:hAnsi="Times New Roman"/>
                <w:b/>
                <w:bCs/>
              </w:rPr>
            </w:pPr>
            <w:r>
              <w:rPr>
                <w:rFonts w:ascii="Times New Roman" w:hAnsi="Times New Roman"/>
                <w:b/>
                <w:bCs/>
              </w:rPr>
              <w:t>339 558,00рублей</w:t>
            </w:r>
          </w:p>
          <w:p>
            <w:pPr>
              <w:outlineLvl w:val="0"/>
              <w:rPr>
                <w:rFonts w:ascii="Times New Roman" w:hAnsi="Times New Roman"/>
                <w:b/>
                <w:bCs/>
              </w:rPr>
            </w:pPr>
          </w:p>
          <w:p>
            <w:pPr>
              <w:jc w:val="center"/>
              <w:outlineLvl w:val="0"/>
              <w:rPr>
                <w:rFonts w:ascii="Times New Roman" w:hAnsi="Times New Roman"/>
                <w:bCs/>
              </w:rPr>
            </w:pPr>
          </w:p>
        </w:tc>
      </w:tr>
      <w:tr>
        <w:trPr>
          <w:trHeight w:val="690"/>
        </w:trPr>
        <w:tc>
          <w:tcPr>
            <w:tcW w:w="568" w:type="dxa"/>
            <w:vMerge/>
            <w:vAlign w:val="center"/>
          </w:tcPr>
          <w:p>
            <w:pPr>
              <w:outlineLvl w:val="0"/>
              <w:rPr>
                <w:rFonts w:ascii="Times New Roman" w:hAnsi="Times New Roman"/>
                <w:bCs/>
              </w:rPr>
            </w:pPr>
          </w:p>
        </w:tc>
        <w:tc>
          <w:tcPr>
            <w:tcW w:w="3827" w:type="dxa"/>
            <w:vMerge/>
            <w:vAlign w:val="center"/>
          </w:tcPr>
          <w:p>
            <w:pPr>
              <w:jc w:val="center"/>
              <w:outlineLvl w:val="0"/>
              <w:rPr>
                <w:rFonts w:ascii="Times New Roman" w:hAnsi="Times New Roman"/>
                <w:bCs/>
              </w:rPr>
            </w:pPr>
          </w:p>
        </w:tc>
        <w:tc>
          <w:tcPr>
            <w:tcW w:w="5245" w:type="dxa"/>
            <w:vAlign w:val="center"/>
          </w:tcPr>
          <w:p>
            <w:pPr>
              <w:jc w:val="center"/>
              <w:outlineLvl w:val="0"/>
              <w:rPr>
                <w:rFonts w:ascii="Times New Roman" w:hAnsi="Times New Roman"/>
                <w:b/>
              </w:rPr>
            </w:pPr>
          </w:p>
        </w:tc>
      </w:tr>
    </w:tbl>
    <w:p>
      <w:pPr>
        <w:autoSpaceDE w:val="0"/>
        <w:autoSpaceDN w:val="0"/>
        <w:adjustRightInd w:val="0"/>
        <w:jc w:val="center"/>
        <w:rPr>
          <w:rFonts w:ascii="Times New Roman" w:hAnsi="Times New Roman" w:cs="Times New Roman"/>
          <w:bCs/>
          <w:color w:val="auto"/>
        </w:rPr>
      </w:pPr>
    </w:p>
    <w:p>
      <w:pPr>
        <w:autoSpaceDE w:val="0"/>
        <w:autoSpaceDN w:val="0"/>
        <w:adjustRightInd w:val="0"/>
        <w:jc w:val="center"/>
        <w:rPr>
          <w:rFonts w:ascii="Times New Roman" w:hAnsi="Times New Roman" w:cs="Times New Roman"/>
          <w:bCs/>
          <w:color w:val="auto"/>
        </w:rPr>
      </w:pPr>
    </w:p>
    <w:p>
      <w:pPr>
        <w:autoSpaceDE w:val="0"/>
        <w:autoSpaceDN w:val="0"/>
        <w:adjustRightInd w:val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Должностное лицо Заказчика, ответственное</w:t>
      </w:r>
    </w:p>
    <w:p>
      <w:pPr>
        <w:autoSpaceDE w:val="0"/>
        <w:autoSpaceDN w:val="0"/>
        <w:adjustRightInd w:val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за соблюдение требований при обосновании </w:t>
      </w:r>
    </w:p>
    <w:p>
      <w:pPr>
        <w:autoSpaceDE w:val="0"/>
        <w:autoSpaceDN w:val="0"/>
        <w:adjustRightInd w:val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начальной (максимальной) цены контракта, </w:t>
      </w:r>
    </w:p>
    <w:p>
      <w:pPr>
        <w:autoSpaceDE w:val="0"/>
        <w:autoSpaceDN w:val="0"/>
        <w:adjustRightInd w:val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установленных законодательством Российской Федерации </w:t>
      </w:r>
    </w:p>
    <w:p>
      <w:pPr>
        <w:autoSpaceDE w:val="0"/>
        <w:autoSpaceDN w:val="0"/>
        <w:adjustRightInd w:val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о контрактной системе в сфере закупок:</w:t>
      </w:r>
    </w:p>
    <w:p>
      <w:pPr>
        <w:autoSpaceDE w:val="0"/>
        <w:autoSpaceDN w:val="0"/>
        <w:adjustRightInd w:val="0"/>
        <w:jc w:val="both"/>
        <w:rPr>
          <w:rFonts w:ascii="Times New Roman" w:hAnsi="Times New Roman" w:cs="Times New Roman"/>
        </w:rPr>
      </w:pPr>
    </w:p>
    <w:p>
      <w:pPr>
        <w:autoSpaceDE w:val="0"/>
        <w:autoSpaceDN w:val="0"/>
        <w:adjustRightInd w:val="0"/>
        <w:jc w:val="both"/>
        <w:rPr>
          <w:rFonts w:ascii="Times New Roman" w:hAnsi="Times New Roman" w:cs="Times New Roman"/>
        </w:rPr>
      </w:pPr>
    </w:p>
    <w:p>
      <w:pPr>
        <w:autoSpaceDE w:val="0"/>
        <w:autoSpaceDN w:val="0"/>
        <w:adjustRightInd w:val="0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_______________/</w:t>
      </w:r>
      <w:r>
        <w:t xml:space="preserve"> </w:t>
      </w:r>
      <w:r>
        <w:rPr>
          <w:rFonts w:ascii="Times New Roman" w:hAnsi="Times New Roman" w:cs="Times New Roman"/>
          <w:i/>
          <w:sz w:val="22"/>
          <w:szCs w:val="22"/>
        </w:rPr>
        <w:t>В.В.</w:t>
      </w:r>
      <w:r>
        <w:rPr>
          <w:i/>
          <w:sz w:val="22"/>
          <w:szCs w:val="22"/>
        </w:rPr>
        <w:t xml:space="preserve"> </w:t>
      </w:r>
      <w:r>
        <w:rPr>
          <w:rFonts w:ascii="Times New Roman" w:hAnsi="Times New Roman" w:cs="Times New Roman"/>
          <w:i/>
          <w:iCs/>
          <w:sz w:val="22"/>
          <w:szCs w:val="22"/>
        </w:rPr>
        <w:t>Васильева</w:t>
      </w:r>
      <w:proofErr w:type="gramStart"/>
      <w:r>
        <w:rPr>
          <w:rFonts w:ascii="Times New Roman" w:hAnsi="Times New Roman" w:cs="Times New Roman"/>
          <w:i/>
          <w:iCs/>
          <w:sz w:val="22"/>
          <w:szCs w:val="22"/>
        </w:rPr>
        <w:t xml:space="preserve"> .</w:t>
      </w:r>
      <w:proofErr w:type="gramEnd"/>
    </w:p>
    <w:p>
      <w:pPr>
        <w:autoSpaceDE w:val="0"/>
        <w:autoSpaceDN w:val="0"/>
        <w:adjustRightInd w:val="0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«__» ______________ 2026 г.</w:t>
      </w:r>
    </w:p>
    <w:p>
      <w:pPr>
        <w:autoSpaceDE w:val="0"/>
        <w:autoSpaceDN w:val="0"/>
        <w:adjustRightInd w:val="0"/>
        <w:jc w:val="both"/>
        <w:rPr>
          <w:rFonts w:ascii="Times New Roman" w:hAnsi="Times New Roman" w:cs="Times New Roman"/>
          <w:sz w:val="22"/>
          <w:szCs w:val="22"/>
        </w:rPr>
      </w:pPr>
    </w:p>
    <w:p>
      <w:pPr>
        <w:widowControl/>
        <w:spacing w:after="160" w:line="259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br w:type="page"/>
      </w:r>
    </w:p>
    <w:p>
      <w:pPr>
        <w:jc w:val="center"/>
        <w:outlineLvl w:val="0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lastRenderedPageBreak/>
        <w:t xml:space="preserve">Обоснование и расчет </w:t>
      </w:r>
      <w:r>
        <w:rPr>
          <w:rFonts w:ascii="Times New Roman" w:hAnsi="Times New Roman"/>
          <w:b/>
          <w:bCs/>
        </w:rPr>
        <w:t>тарифным методом</w:t>
      </w:r>
      <w:r>
        <w:rPr>
          <w:rFonts w:ascii="Times New Roman" w:hAnsi="Times New Roman"/>
          <w:b/>
        </w:rPr>
        <w:t xml:space="preserve"> начальной (максимальной) цены контракта </w:t>
      </w:r>
    </w:p>
    <w:p>
      <w:pPr>
        <w:jc w:val="center"/>
        <w:outlineLvl w:val="0"/>
        <w:rPr>
          <w:rFonts w:ascii="Times New Roman" w:hAnsi="Times New Roman" w:cs="Times New Roman"/>
          <w:b/>
        </w:rPr>
      </w:pPr>
      <w:proofErr w:type="gramStart"/>
      <w:r>
        <w:rPr>
          <w:rFonts w:ascii="Times New Roman" w:hAnsi="Times New Roman" w:cs="Times New Roman"/>
        </w:rPr>
        <w:t>на оказание услуг по предоставлению единых электронных билетов для проезда в наземном транспорте для Санкт-Петербургского государственного казенного учреждения</w:t>
      </w:r>
      <w:proofErr w:type="gramEnd"/>
      <w:r>
        <w:rPr>
          <w:rFonts w:ascii="Times New Roman" w:hAnsi="Times New Roman" w:cs="Times New Roman"/>
        </w:rPr>
        <w:t xml:space="preserve"> «Жилищное агентство Красногвардейского района Санкт-Петербурга» для нужд Санкт-Петербурга в 2026 году</w:t>
      </w:r>
    </w:p>
    <w:p>
      <w:pPr>
        <w:jc w:val="center"/>
        <w:outlineLvl w:val="0"/>
        <w:rPr>
          <w:rFonts w:ascii="Times New Roman" w:hAnsi="Times New Roman"/>
          <w:b/>
          <w:bCs/>
        </w:rPr>
      </w:pPr>
    </w:p>
    <w:p>
      <w:pPr>
        <w:jc w:val="center"/>
        <w:outlineLvl w:val="0"/>
        <w:rPr>
          <w:rFonts w:ascii="Times New Roman" w:hAnsi="Times New Roman"/>
          <w:b/>
          <w:bCs/>
        </w:rPr>
      </w:pPr>
    </w:p>
    <w:p>
      <w:pPr>
        <w:jc w:val="center"/>
        <w:outlineLvl w:val="0"/>
        <w:rPr>
          <w:rFonts w:ascii="Times New Roman" w:hAnsi="Times New Roman"/>
          <w:b/>
          <w:bCs/>
          <w:sz w:val="22"/>
          <w:szCs w:val="22"/>
        </w:rPr>
      </w:pPr>
    </w:p>
    <w:tbl>
      <w:tblPr>
        <w:tblW w:w="9781" w:type="dxa"/>
        <w:tblInd w:w="28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567"/>
        <w:gridCol w:w="3402"/>
        <w:gridCol w:w="1843"/>
        <w:gridCol w:w="2268"/>
        <w:gridCol w:w="1701"/>
      </w:tblGrid>
      <w:tr>
        <w:tc>
          <w:tcPr>
            <w:tcW w:w="567" w:type="dxa"/>
            <w:tcBorders>
              <w:top w:val="single" w:sz="8" w:space="0" w:color="000000"/>
              <w:left w:val="single" w:sz="8" w:space="0" w:color="000000"/>
            </w:tcBorders>
            <w:shd w:val="clear" w:color="auto" w:fill="auto"/>
            <w:vAlign w:val="center"/>
          </w:tcPr>
          <w:p>
            <w:pPr>
              <w:spacing w:line="260" w:lineRule="exact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№</w:t>
            </w:r>
          </w:p>
          <w:p>
            <w:pPr>
              <w:spacing w:line="260" w:lineRule="exact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п/п</w:t>
            </w:r>
          </w:p>
        </w:tc>
        <w:tc>
          <w:tcPr>
            <w:tcW w:w="3402" w:type="dxa"/>
            <w:tcBorders>
              <w:top w:val="single" w:sz="8" w:space="0" w:color="000000"/>
              <w:left w:val="single" w:sz="4" w:space="0" w:color="000000"/>
            </w:tcBorders>
            <w:shd w:val="clear" w:color="auto" w:fill="auto"/>
            <w:vAlign w:val="center"/>
          </w:tcPr>
          <w:p>
            <w:pPr>
              <w:spacing w:line="260" w:lineRule="exact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Наименование</w:t>
            </w:r>
          </w:p>
          <w:p>
            <w:pPr>
              <w:spacing w:line="260" w:lineRule="exact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проездных билетов (ПБ)</w:t>
            </w:r>
          </w:p>
        </w:tc>
        <w:tc>
          <w:tcPr>
            <w:tcW w:w="1843" w:type="dxa"/>
            <w:tcBorders>
              <w:top w:val="single" w:sz="8" w:space="0" w:color="000000"/>
              <w:left w:val="single" w:sz="4" w:space="0" w:color="000000"/>
            </w:tcBorders>
            <w:shd w:val="clear" w:color="auto" w:fill="auto"/>
            <w:vAlign w:val="center"/>
          </w:tcPr>
          <w:p>
            <w:pPr>
              <w:spacing w:line="260" w:lineRule="exact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Кол-во ПБ,</w:t>
            </w:r>
          </w:p>
          <w:p>
            <w:pPr>
              <w:spacing w:line="260" w:lineRule="exact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шт.</w:t>
            </w:r>
          </w:p>
        </w:tc>
        <w:tc>
          <w:tcPr>
            <w:tcW w:w="2268" w:type="dxa"/>
            <w:tcBorders>
              <w:top w:val="single" w:sz="8" w:space="0" w:color="000000"/>
              <w:left w:val="single" w:sz="4" w:space="0" w:color="000000"/>
            </w:tcBorders>
            <w:shd w:val="clear" w:color="auto" w:fill="auto"/>
            <w:vAlign w:val="center"/>
          </w:tcPr>
          <w:p>
            <w:pPr>
              <w:spacing w:line="260" w:lineRule="exact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 xml:space="preserve">Стоимость за 1 шт., руб. </w:t>
            </w:r>
          </w:p>
          <w:p>
            <w:pPr>
              <w:spacing w:line="260" w:lineRule="exact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  <w:sz w:val="22"/>
              </w:rPr>
              <w:t>(без НДС)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>
            <w:pPr>
              <w:spacing w:line="260" w:lineRule="exact"/>
              <w:ind w:right="265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Общая сумма в руб.</w:t>
            </w:r>
          </w:p>
          <w:p>
            <w:pPr>
              <w:spacing w:line="260" w:lineRule="exac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/>
                <w:sz w:val="22"/>
              </w:rPr>
              <w:t>(без НДС)</w:t>
            </w:r>
          </w:p>
        </w:tc>
      </w:tr>
      <w:tr>
        <w:trPr>
          <w:cantSplit/>
          <w:trHeight w:val="510"/>
        </w:trPr>
        <w:tc>
          <w:tcPr>
            <w:tcW w:w="567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</w:tcBorders>
            <w:shd w:val="clear" w:color="auto" w:fill="auto"/>
            <w:vAlign w:val="center"/>
          </w:tcPr>
          <w:p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1.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Cs/>
              </w:rPr>
              <w:t>Месячный комбинированный (трамвай-троллейбус-автобус) билет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>
            <w:pPr>
              <w:snapToGrid w:val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102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>
            <w:pPr>
              <w:snapToGrid w:val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3329,00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339 558,00</w:t>
            </w:r>
          </w:p>
        </w:tc>
      </w:tr>
      <w:tr>
        <w:trPr>
          <w:cantSplit/>
          <w:trHeight w:val="510"/>
        </w:trPr>
        <w:tc>
          <w:tcPr>
            <w:tcW w:w="8080" w:type="dxa"/>
            <w:gridSpan w:val="4"/>
            <w:tcBorders>
              <w:top w:val="single" w:sz="4" w:space="0" w:color="000000"/>
              <w:left w:val="single" w:sz="8" w:space="0" w:color="000000"/>
              <w:bottom w:val="single" w:sz="4" w:space="0" w:color="000000"/>
            </w:tcBorders>
            <w:shd w:val="clear" w:color="auto" w:fill="auto"/>
            <w:vAlign w:val="center"/>
          </w:tcPr>
          <w:p>
            <w:pPr>
              <w:spacing w:line="25" w:lineRule="atLeast"/>
              <w:jc w:val="center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sz w:val="22"/>
                <w:szCs w:val="22"/>
              </w:rPr>
              <w:t>Итого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>
            <w:pPr>
              <w:spacing w:line="25" w:lineRule="atLeast"/>
              <w:jc w:val="center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sz w:val="22"/>
                <w:szCs w:val="22"/>
              </w:rPr>
              <w:t>339 558,00</w:t>
            </w:r>
          </w:p>
        </w:tc>
      </w:tr>
    </w:tbl>
    <w:p>
      <w:pPr>
        <w:autoSpaceDE w:val="0"/>
        <w:autoSpaceDN w:val="0"/>
        <w:adjustRightInd w:val="0"/>
        <w:jc w:val="both"/>
        <w:rPr>
          <w:rFonts w:ascii="Times New Roman" w:hAnsi="Times New Roman" w:cs="Times New Roman"/>
        </w:rPr>
      </w:pPr>
    </w:p>
    <w:p>
      <w:pPr>
        <w:autoSpaceDE w:val="0"/>
        <w:autoSpaceDN w:val="0"/>
        <w:adjustRightInd w:val="0"/>
        <w:jc w:val="both"/>
        <w:rPr>
          <w:rFonts w:ascii="Times New Roman" w:hAnsi="Times New Roman" w:cs="Times New Roman"/>
        </w:rPr>
      </w:pPr>
    </w:p>
    <w:p>
      <w:pPr>
        <w:autoSpaceDE w:val="0"/>
        <w:autoSpaceDN w:val="0"/>
        <w:adjustRightInd w:val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Тарифный метод применен на основании прилагаемого Распоряжения Комитета по тарифам Санкт-Петербурга от </w:t>
      </w:r>
      <w:r>
        <w:rPr>
          <w:rFonts w:ascii="Times New Roman" w:hAnsi="Times New Roman" w:cs="Times New Roman"/>
          <w:bCs/>
          <w:sz w:val="23"/>
          <w:szCs w:val="23"/>
        </w:rPr>
        <w:t>29.12.2025  №343-р</w:t>
      </w:r>
      <w:r>
        <w:rPr>
          <w:rFonts w:ascii="Times New Roman" w:hAnsi="Times New Roman" w:cs="Times New Roman"/>
        </w:rPr>
        <w:t xml:space="preserve"> «Об установлении тарифов, стоимости проездных документов многоразового пользования на проезд (пере</w:t>
      </w:r>
      <w:bookmarkStart w:id="0" w:name="_GoBack"/>
      <w:bookmarkEnd w:id="0"/>
      <w:r>
        <w:rPr>
          <w:rFonts w:ascii="Times New Roman" w:hAnsi="Times New Roman" w:cs="Times New Roman"/>
        </w:rPr>
        <w:t>возки) пассажиров и багажа наземным транспортом общего пользования в Санкт-Петербурге и метрополитеном на 2026 год»</w:t>
      </w:r>
    </w:p>
    <w:p>
      <w:pPr>
        <w:autoSpaceDE w:val="0"/>
        <w:autoSpaceDN w:val="0"/>
        <w:adjustRightInd w:val="0"/>
        <w:jc w:val="both"/>
        <w:rPr>
          <w:rFonts w:ascii="Times New Roman" w:hAnsi="Times New Roman" w:cs="Times New Roman"/>
        </w:rPr>
      </w:pPr>
    </w:p>
    <w:p>
      <w:pPr>
        <w:autoSpaceDE w:val="0"/>
        <w:autoSpaceDN w:val="0"/>
        <w:adjustRightInd w:val="0"/>
        <w:jc w:val="both"/>
        <w:rPr>
          <w:rFonts w:ascii="Times New Roman" w:hAnsi="Times New Roman" w:cs="Times New Roman"/>
        </w:rPr>
      </w:pPr>
    </w:p>
    <w:p>
      <w:pPr>
        <w:autoSpaceDE w:val="0"/>
        <w:autoSpaceDN w:val="0"/>
        <w:adjustRightInd w:val="0"/>
        <w:jc w:val="both"/>
        <w:rPr>
          <w:rFonts w:ascii="Times New Roman" w:hAnsi="Times New Roman" w:cs="Times New Roman"/>
        </w:rPr>
      </w:pPr>
    </w:p>
    <w:p>
      <w:pPr>
        <w:autoSpaceDE w:val="0"/>
        <w:autoSpaceDN w:val="0"/>
        <w:adjustRightInd w:val="0"/>
        <w:jc w:val="both"/>
        <w:rPr>
          <w:rFonts w:ascii="Times New Roman" w:hAnsi="Times New Roman" w:cs="Times New Roman"/>
        </w:rPr>
      </w:pPr>
    </w:p>
    <w:p>
      <w:pPr>
        <w:autoSpaceDE w:val="0"/>
        <w:autoSpaceDN w:val="0"/>
        <w:adjustRightInd w:val="0"/>
        <w:jc w:val="both"/>
        <w:rPr>
          <w:rFonts w:ascii="Times New Roman" w:hAnsi="Times New Roman" w:cs="Times New Roman"/>
        </w:rPr>
      </w:pPr>
    </w:p>
    <w:p>
      <w:pPr>
        <w:autoSpaceDE w:val="0"/>
        <w:autoSpaceDN w:val="0"/>
        <w:adjustRightInd w:val="0"/>
        <w:jc w:val="both"/>
        <w:rPr>
          <w:rFonts w:ascii="Times New Roman" w:hAnsi="Times New Roman" w:cs="Times New Roman"/>
        </w:rPr>
      </w:pPr>
    </w:p>
    <w:sectPr>
      <w:headerReference w:type="default" r:id="rId8"/>
      <w:type w:val="continuous"/>
      <w:pgSz w:w="11906" w:h="16838" w:code="9"/>
      <w:pgMar w:top="1134" w:right="567" w:bottom="1134" w:left="1418" w:header="397" w:footer="397" w:gutter="0"/>
      <w:cols w:space="720"/>
      <w:titlePg/>
      <w:docGrid w:linePitch="29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>
      <w:r>
        <w:separator/>
      </w:r>
    </w:p>
  </w:endnote>
  <w:endnote w:type="continuationSeparator" w:id="0">
    <w:p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>
      <w:r>
        <w:separator/>
      </w:r>
    </w:p>
  </w:footnote>
  <w:footnote w:type="continuationSeparator" w:id="0">
    <w:p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>
    <w:pPr>
      <w:pStyle w:val="a5"/>
      <w:jc w:val="center"/>
    </w:pPr>
    <w:r>
      <w:fldChar w:fldCharType="begin"/>
    </w:r>
    <w:r>
      <w:instrText>PAGE   \* MERGEFORMAT</w:instrText>
    </w:r>
    <w:r>
      <w:fldChar w:fldCharType="separate"/>
    </w:r>
    <w:r>
      <w:rPr>
        <w:noProof/>
      </w:rPr>
      <w:t>2</w:t>
    </w:r>
    <w:r>
      <w:fldChar w:fldCharType="end"/>
    </w:r>
  </w:p>
  <w:p>
    <w:pPr>
      <w:pStyle w:val="a5"/>
      <w:spacing w:after="120"/>
      <w:jc w:val="center"/>
      <w:rPr>
        <w:sz w:val="16"/>
        <w:szCs w:val="16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spacing w:after="0" w:line="240" w:lineRule="auto"/>
    </w:pPr>
    <w:rPr>
      <w:rFonts w:ascii="Courier New" w:eastAsia="Courier New" w:hAnsi="Courier New" w:cs="Courier New"/>
      <w:color w:val="000000"/>
      <w:sz w:val="24"/>
      <w:szCs w:val="24"/>
      <w:lang w:eastAsia="ru-RU" w:bidi="ru-RU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widowControl/>
      <w:spacing w:before="40" w:line="259" w:lineRule="auto"/>
      <w:outlineLvl w:val="2"/>
    </w:pPr>
    <w:rPr>
      <w:rFonts w:asciiTheme="majorHAnsi" w:eastAsiaTheme="majorEastAsia" w:hAnsiTheme="majorHAnsi" w:cstheme="majorBidi"/>
      <w:color w:val="1F3763" w:themeColor="accent1" w:themeShade="7F"/>
      <w:lang w:eastAsia="en-US" w:bidi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note text"/>
    <w:aliases w:val="Знак,Знак2, Знак8 Знак Знак, Знак8 Знак,Char, Знак4 Знак,Знак8 Знак Знак,Знак8 Знак,Знак4 Знак"/>
    <w:basedOn w:val="a"/>
    <w:link w:val="a4"/>
    <w:uiPriority w:val="99"/>
    <w:pPr>
      <w:widowControl/>
    </w:pPr>
    <w:rPr>
      <w:rFonts w:ascii="Times New Roman" w:eastAsia="Times New Roman" w:hAnsi="Times New Roman" w:cs="Times New Roman"/>
      <w:color w:val="auto"/>
      <w:sz w:val="20"/>
      <w:szCs w:val="20"/>
      <w:lang w:eastAsia="en-US" w:bidi="ar-SA"/>
    </w:rPr>
  </w:style>
  <w:style w:type="character" w:customStyle="1" w:styleId="a4">
    <w:name w:val="Текст сноски Знак"/>
    <w:aliases w:val="Знак Знак,Знак2 Знак, Знак8 Знак Знак Знак, Знак8 Знак Знак1,Char Знак, Знак4 Знак Знак,Знак8 Знак Знак Знак,Знак8 Знак Знак1,Знак4 Знак Знак"/>
    <w:basedOn w:val="a0"/>
    <w:link w:val="a3"/>
    <w:uiPriority w:val="99"/>
    <w:rPr>
      <w:rFonts w:ascii="Times New Roman" w:eastAsia="Times New Roman" w:hAnsi="Times New Roman" w:cs="Times New Roman"/>
      <w:sz w:val="20"/>
      <w:szCs w:val="20"/>
    </w:rPr>
  </w:style>
  <w:style w:type="character" w:customStyle="1" w:styleId="30">
    <w:name w:val="Заголовок 3 Знак"/>
    <w:basedOn w:val="a0"/>
    <w:link w:val="3"/>
    <w:uiPriority w:val="9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a5">
    <w:name w:val="header"/>
    <w:basedOn w:val="a"/>
    <w:link w:val="a6"/>
    <w:uiPriority w:val="99"/>
    <w:pPr>
      <w:widowControl/>
      <w:tabs>
        <w:tab w:val="center" w:pos="4677"/>
        <w:tab w:val="right" w:pos="9355"/>
      </w:tabs>
    </w:pPr>
    <w:rPr>
      <w:rFonts w:ascii="Times New Roman" w:eastAsia="Times New Roman" w:hAnsi="Times New Roman" w:cs="Times New Roman"/>
      <w:color w:val="auto"/>
      <w:lang w:val="x-none" w:eastAsia="x-none" w:bidi="ar-SA"/>
    </w:rPr>
  </w:style>
  <w:style w:type="character" w:customStyle="1" w:styleId="a6">
    <w:name w:val="Верхний колонтитул Знак"/>
    <w:basedOn w:val="a0"/>
    <w:link w:val="a5"/>
    <w:uiPriority w:val="99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character" w:styleId="a7">
    <w:name w:val="Hyperlink"/>
    <w:uiPriority w:val="99"/>
    <w:semiHidden/>
    <w:unhideWhenUsed/>
    <w:rPr>
      <w:color w:val="0000FF"/>
      <w:u w:val="single"/>
    </w:rPr>
  </w:style>
  <w:style w:type="paragraph" w:styleId="a8">
    <w:name w:val="Balloon Text"/>
    <w:basedOn w:val="a"/>
    <w:link w:val="a9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Pr>
      <w:rFonts w:ascii="Tahoma" w:eastAsia="Courier New" w:hAnsi="Tahoma" w:cs="Tahoma"/>
      <w:color w:val="000000"/>
      <w:sz w:val="16"/>
      <w:szCs w:val="16"/>
      <w:lang w:eastAsia="ru-RU" w:bidi="ru-RU"/>
    </w:rPr>
  </w:style>
  <w:style w:type="paragraph" w:customStyle="1" w:styleId="ConsPlusNormal">
    <w:name w:val="ConsPlusNormal"/>
    <w:link w:val="ConsPlusNormal0"/>
    <w:qFormat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character" w:customStyle="1" w:styleId="ConsPlusNormal0">
    <w:name w:val="ConsPlusNormal Знак"/>
    <w:link w:val="ConsPlusNormal"/>
    <w:qFormat/>
    <w:locked/>
    <w:rPr>
      <w:rFonts w:ascii="Calibri" w:eastAsia="Times New Roman" w:hAnsi="Calibri" w:cs="Calibri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spacing w:after="0" w:line="240" w:lineRule="auto"/>
    </w:pPr>
    <w:rPr>
      <w:rFonts w:ascii="Courier New" w:eastAsia="Courier New" w:hAnsi="Courier New" w:cs="Courier New"/>
      <w:color w:val="000000"/>
      <w:sz w:val="24"/>
      <w:szCs w:val="24"/>
      <w:lang w:eastAsia="ru-RU" w:bidi="ru-RU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widowControl/>
      <w:spacing w:before="40" w:line="259" w:lineRule="auto"/>
      <w:outlineLvl w:val="2"/>
    </w:pPr>
    <w:rPr>
      <w:rFonts w:asciiTheme="majorHAnsi" w:eastAsiaTheme="majorEastAsia" w:hAnsiTheme="majorHAnsi" w:cstheme="majorBidi"/>
      <w:color w:val="1F3763" w:themeColor="accent1" w:themeShade="7F"/>
      <w:lang w:eastAsia="en-US" w:bidi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note text"/>
    <w:aliases w:val="Знак,Знак2, Знак8 Знак Знак, Знак8 Знак,Char, Знак4 Знак,Знак8 Знак Знак,Знак8 Знак,Знак4 Знак"/>
    <w:basedOn w:val="a"/>
    <w:link w:val="a4"/>
    <w:uiPriority w:val="99"/>
    <w:pPr>
      <w:widowControl/>
    </w:pPr>
    <w:rPr>
      <w:rFonts w:ascii="Times New Roman" w:eastAsia="Times New Roman" w:hAnsi="Times New Roman" w:cs="Times New Roman"/>
      <w:color w:val="auto"/>
      <w:sz w:val="20"/>
      <w:szCs w:val="20"/>
      <w:lang w:eastAsia="en-US" w:bidi="ar-SA"/>
    </w:rPr>
  </w:style>
  <w:style w:type="character" w:customStyle="1" w:styleId="a4">
    <w:name w:val="Текст сноски Знак"/>
    <w:aliases w:val="Знак Знак,Знак2 Знак, Знак8 Знак Знак Знак, Знак8 Знак Знак1,Char Знак, Знак4 Знак Знак,Знак8 Знак Знак Знак,Знак8 Знак Знак1,Знак4 Знак Знак"/>
    <w:basedOn w:val="a0"/>
    <w:link w:val="a3"/>
    <w:uiPriority w:val="99"/>
    <w:rPr>
      <w:rFonts w:ascii="Times New Roman" w:eastAsia="Times New Roman" w:hAnsi="Times New Roman" w:cs="Times New Roman"/>
      <w:sz w:val="20"/>
      <w:szCs w:val="20"/>
    </w:rPr>
  </w:style>
  <w:style w:type="character" w:customStyle="1" w:styleId="30">
    <w:name w:val="Заголовок 3 Знак"/>
    <w:basedOn w:val="a0"/>
    <w:link w:val="3"/>
    <w:uiPriority w:val="9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a5">
    <w:name w:val="header"/>
    <w:basedOn w:val="a"/>
    <w:link w:val="a6"/>
    <w:uiPriority w:val="99"/>
    <w:pPr>
      <w:widowControl/>
      <w:tabs>
        <w:tab w:val="center" w:pos="4677"/>
        <w:tab w:val="right" w:pos="9355"/>
      </w:tabs>
    </w:pPr>
    <w:rPr>
      <w:rFonts w:ascii="Times New Roman" w:eastAsia="Times New Roman" w:hAnsi="Times New Roman" w:cs="Times New Roman"/>
      <w:color w:val="auto"/>
      <w:lang w:val="x-none" w:eastAsia="x-none" w:bidi="ar-SA"/>
    </w:rPr>
  </w:style>
  <w:style w:type="character" w:customStyle="1" w:styleId="a6">
    <w:name w:val="Верхний колонтитул Знак"/>
    <w:basedOn w:val="a0"/>
    <w:link w:val="a5"/>
    <w:uiPriority w:val="99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character" w:styleId="a7">
    <w:name w:val="Hyperlink"/>
    <w:uiPriority w:val="99"/>
    <w:semiHidden/>
    <w:unhideWhenUsed/>
    <w:rPr>
      <w:color w:val="0000FF"/>
      <w:u w:val="single"/>
    </w:rPr>
  </w:style>
  <w:style w:type="paragraph" w:styleId="a8">
    <w:name w:val="Balloon Text"/>
    <w:basedOn w:val="a"/>
    <w:link w:val="a9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Pr>
      <w:rFonts w:ascii="Tahoma" w:eastAsia="Courier New" w:hAnsi="Tahoma" w:cs="Tahoma"/>
      <w:color w:val="000000"/>
      <w:sz w:val="16"/>
      <w:szCs w:val="16"/>
      <w:lang w:eastAsia="ru-RU" w:bidi="ru-RU"/>
    </w:rPr>
  </w:style>
  <w:style w:type="paragraph" w:customStyle="1" w:styleId="ConsPlusNormal">
    <w:name w:val="ConsPlusNormal"/>
    <w:link w:val="ConsPlusNormal0"/>
    <w:qFormat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character" w:customStyle="1" w:styleId="ConsPlusNormal0">
    <w:name w:val="ConsPlusNormal Знак"/>
    <w:link w:val="ConsPlusNormal"/>
    <w:qFormat/>
    <w:locked/>
    <w:rPr>
      <w:rFonts w:ascii="Calibri" w:eastAsia="Times New Roman" w:hAnsi="Calibri" w:cs="Calibri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32546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849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22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46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A5336EF-8ACC-43EF-BE21-C695F28909B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2</Pages>
  <Words>316</Words>
  <Characters>1805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diakov.net</Company>
  <LinksUpToDate>false</LinksUpToDate>
  <CharactersWithSpaces>2117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RePack by Diakov</cp:lastModifiedBy>
  <cp:revision>9</cp:revision>
  <cp:lastPrinted>2026-05-28T06:50:00Z</cp:lastPrinted>
  <dcterms:created xsi:type="dcterms:W3CDTF">2025-11-21T10:41:00Z</dcterms:created>
  <dcterms:modified xsi:type="dcterms:W3CDTF">2026-06-15T08:20:00Z</dcterms:modified>
</cp:coreProperties>
</file>