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rPr>
        <w:t>КОНТРАКТ № ______</w:t>
      </w:r>
    </w:p>
    <w:p>
      <w:pPr>
        <w:pStyle w:val="Normal"/>
        <w:jc w:val="center"/>
        <w:rPr>
          <w:b/>
          <w:b/>
          <w:bCs/>
          <w:lang w:eastAsia="en-US"/>
        </w:rPr>
      </w:pPr>
      <w:r>
        <w:rPr>
          <w:b/>
          <w:bCs/>
          <w:lang w:eastAsia="en-US"/>
        </w:rPr>
        <w:t>Поставка полиграфической продукции для нужд СПб ГБУЗ «Городская поликлиника №106» в 2026 году</w:t>
      </w:r>
    </w:p>
    <w:p>
      <w:pPr>
        <w:pStyle w:val="Normal"/>
        <w:jc w:val="center"/>
        <w:rPr/>
      </w:pPr>
      <w:r>
        <w:rPr/>
      </w:r>
    </w:p>
    <w:p>
      <w:pPr>
        <w:pStyle w:val="Normal"/>
        <w:jc w:val="both"/>
        <w:rPr/>
      </w:pPr>
      <w:r>
        <w:rPr/>
        <w:t>г. Санкт- Петербург                                                                                                     от________202</w:t>
      </w:r>
      <w:r>
        <w:rPr/>
        <w:t xml:space="preserve">6 </w:t>
      </w:r>
      <w:r>
        <w:rPr/>
        <w:t>г.</w:t>
      </w:r>
    </w:p>
    <w:p>
      <w:pPr>
        <w:pStyle w:val="Normal"/>
        <w:jc w:val="both"/>
        <w:rPr/>
      </w:pPr>
      <w:r>
        <w:rPr/>
      </w:r>
    </w:p>
    <w:p>
      <w:pPr>
        <w:pStyle w:val="Normal"/>
        <w:jc w:val="both"/>
        <w:rPr/>
      </w:pPr>
      <w:r>
        <w:rPr/>
        <w:t>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Кунин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pStyle w:val="Normal"/>
        <w:jc w:val="both"/>
        <w:rPr/>
      </w:pPr>
      <w:r>
        <w:rPr/>
      </w:r>
    </w:p>
    <w:p>
      <w:pPr>
        <w:pStyle w:val="Normal"/>
        <w:jc w:val="center"/>
        <w:rPr>
          <w:b/>
          <w:b/>
        </w:rPr>
      </w:pPr>
      <w:r>
        <w:rPr>
          <w:b/>
        </w:rPr>
        <w:t>1. Предмет контракта</w:t>
      </w:r>
    </w:p>
    <w:p>
      <w:pPr>
        <w:pStyle w:val="Normal"/>
        <w:jc w:val="center"/>
        <w:rPr>
          <w:b/>
          <w:b/>
        </w:rPr>
      </w:pPr>
      <w:r>
        <w:rPr>
          <w:b/>
        </w:rPr>
      </w:r>
    </w:p>
    <w:p>
      <w:pPr>
        <w:pStyle w:val="Normal"/>
        <w:ind w:firstLine="708"/>
        <w:jc w:val="both"/>
        <w:rPr/>
      </w:pPr>
      <w:r>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pPr>
      <w:r>
        <w:rPr/>
        <w:t>Идентификационный код закупки: 262780701278378070100100100000000244.</w:t>
      </w:r>
    </w:p>
    <w:p>
      <w:pPr>
        <w:pStyle w:val="Normal"/>
        <w:jc w:val="center"/>
        <w:rPr>
          <w:b/>
          <w:b/>
        </w:rPr>
      </w:pPr>
      <w:r>
        <w:rPr>
          <w:b/>
        </w:rPr>
      </w:r>
    </w:p>
    <w:p>
      <w:pPr>
        <w:pStyle w:val="Normal"/>
        <w:jc w:val="center"/>
        <w:rPr>
          <w:b/>
          <w:b/>
        </w:rPr>
      </w:pPr>
      <w:r>
        <w:rPr>
          <w:b/>
        </w:rPr>
        <w:t>2. Цена Контракта и порядок расчетов</w:t>
      </w:r>
    </w:p>
    <w:p>
      <w:pPr>
        <w:pStyle w:val="Normal"/>
        <w:jc w:val="center"/>
        <w:rPr>
          <w:b/>
          <w:b/>
        </w:rPr>
      </w:pPr>
      <w:r>
        <w:rPr>
          <w:b/>
        </w:rPr>
      </w:r>
    </w:p>
    <w:p>
      <w:pPr>
        <w:pStyle w:val="Normal"/>
        <w:ind w:firstLine="708"/>
        <w:jc w:val="both"/>
        <w:rPr/>
      </w:pPr>
      <w:r>
        <w:rPr/>
        <w:t xml:space="preserve">2.1. Цена контракта составляет </w:t>
      </w:r>
      <w:r>
        <w:rPr>
          <w:b/>
        </w:rPr>
        <w:t>__________ рублей</w:t>
      </w:r>
      <w:r>
        <w:rPr/>
        <w:t xml:space="preserve"> </w:t>
      </w:r>
      <w:r>
        <w:rPr>
          <w:b/>
        </w:rPr>
        <w:t xml:space="preserve">___ копеек </w:t>
      </w:r>
      <w:r>
        <w:rPr/>
        <w:t xml:space="preserve">(_________________________) НДС ______________________ и определена в Спецификации (Приложение № 1 к Контракту), </w:t>
      </w:r>
      <w:r>
        <w:rPr>
          <w:shd w:fill="FFFFFF" w:val="clear"/>
        </w:rPr>
        <w:t>являющейся неотъемлемой частью Контракта.</w:t>
      </w:r>
    </w:p>
    <w:p>
      <w:pPr>
        <w:pStyle w:val="Normal"/>
        <w:ind w:firstLine="708"/>
        <w:jc w:val="both"/>
        <w:rPr>
          <w:shd w:fill="FFFFFF" w:val="clear"/>
        </w:rPr>
      </w:pPr>
      <w:r>
        <w:rPr>
          <w:shd w:fill="FFFFFF" w:val="clear"/>
        </w:rPr>
        <w:t xml:space="preserve">Источник финансирования: </w:t>
      </w:r>
    </w:p>
    <w:p>
      <w:pPr>
        <w:pStyle w:val="Normal"/>
        <w:ind w:firstLine="708"/>
        <w:jc w:val="both"/>
        <w:rPr/>
      </w:pPr>
      <w:r>
        <w:rPr/>
        <w:t>Внебюджетные средства. Средства бюджетных учреждений (собственные доходы), код вида расходов – 244, КОСГУ 3</w:t>
      </w:r>
      <w:r>
        <w:rPr/>
        <w:t>4</w:t>
      </w:r>
      <w:r>
        <w:rPr/>
        <w:t>0.</w:t>
      </w:r>
    </w:p>
    <w:p>
      <w:pPr>
        <w:pStyle w:val="Normal"/>
        <w:ind w:firstLine="708"/>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pPr>
      <w:r>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ind w:firstLine="708"/>
        <w:jc w:val="both"/>
        <w:rPr/>
      </w:pPr>
      <w:r>
        <w:rPr/>
      </w:r>
    </w:p>
    <w:p>
      <w:pPr>
        <w:pStyle w:val="Normal"/>
        <w:jc w:val="center"/>
        <w:rPr>
          <w:b/>
          <w:b/>
        </w:rPr>
      </w:pPr>
      <w:r>
        <w:rPr>
          <w:b/>
        </w:rPr>
        <w:t>3. Порядок поставки Товара</w:t>
      </w:r>
    </w:p>
    <w:p>
      <w:pPr>
        <w:pStyle w:val="Normal"/>
        <w:jc w:val="center"/>
        <w:rPr>
          <w:b/>
          <w:b/>
        </w:rPr>
      </w:pPr>
      <w:r>
        <w:rPr>
          <w:b/>
        </w:rPr>
      </w:r>
    </w:p>
    <w:p>
      <w:pPr>
        <w:pStyle w:val="Normal"/>
        <w:ind w:firstLine="708"/>
        <w:jc w:val="both"/>
        <w:rPr/>
      </w:pPr>
      <w:r>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pPr>
      <w:r>
        <w:rPr/>
        <w:t>3.2. Поставка Товара осуществляется по адресу, указанному в Техническом задании (приложение № 2 к Контракту).</w:t>
      </w:r>
    </w:p>
    <w:p>
      <w:pPr>
        <w:pStyle w:val="Normal"/>
        <w:ind w:firstLine="708"/>
        <w:jc w:val="both"/>
        <w:rPr/>
      </w:pPr>
      <w:r>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pPr>
      <w:r>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pPr>
      <w:r>
        <w:rPr/>
        <w:t>3.5. Срок поставки Товара указывается в Техническом задании (приложение № 2 к Контракту).</w:t>
      </w:r>
    </w:p>
    <w:p>
      <w:pPr>
        <w:pStyle w:val="Normal"/>
        <w:jc w:val="center"/>
        <w:rPr>
          <w:b/>
          <w:b/>
        </w:rPr>
      </w:pPr>
      <w:r>
        <w:rPr>
          <w:b/>
        </w:rPr>
      </w:r>
    </w:p>
    <w:p>
      <w:pPr>
        <w:pStyle w:val="Normal"/>
        <w:jc w:val="center"/>
        <w:rPr>
          <w:b/>
          <w:b/>
        </w:rPr>
      </w:pPr>
      <w:r>
        <w:rPr>
          <w:b/>
        </w:rPr>
        <w:t>4. Порядок приемки Товара</w:t>
      </w:r>
    </w:p>
    <w:p>
      <w:pPr>
        <w:pStyle w:val="Normal"/>
        <w:jc w:val="center"/>
        <w:rPr>
          <w:b/>
          <w:b/>
        </w:rPr>
      </w:pPr>
      <w:r>
        <w:rPr>
          <w:b/>
        </w:rPr>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rPr/>
      </w:pPr>
      <w:r>
        <w:rPr/>
        <w:t>4.2. Срок приемки указан в Техническом задании (приложение № 2 к Контракту).</w:t>
      </w:r>
    </w:p>
    <w:p>
      <w:pPr>
        <w:pStyle w:val="Normal"/>
        <w:ind w:firstLine="708"/>
        <w:jc w:val="both"/>
        <w:rPr/>
      </w:pPr>
      <w:r>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pPr>
        <w:pStyle w:val="Normal"/>
        <w:ind w:firstLine="708"/>
        <w:jc w:val="both"/>
        <w:rPr/>
      </w:pPr>
      <w:r>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4.7. Все расходы, связанные с устранением недостатков, несет Поставщик.</w:t>
      </w:r>
    </w:p>
    <w:p>
      <w:pPr>
        <w:pStyle w:val="Normal"/>
        <w:jc w:val="both"/>
        <w:rPr/>
      </w:pPr>
      <w:r>
        <w:rPr/>
      </w:r>
    </w:p>
    <w:p>
      <w:pPr>
        <w:pStyle w:val="Normal"/>
        <w:jc w:val="center"/>
        <w:rPr>
          <w:b/>
          <w:b/>
        </w:rPr>
      </w:pPr>
      <w:r>
        <w:rPr>
          <w:b/>
        </w:rPr>
        <w:t>5. Права и обязанности сторон</w:t>
      </w:r>
    </w:p>
    <w:p>
      <w:pPr>
        <w:pStyle w:val="Normal"/>
        <w:jc w:val="center"/>
        <w:rPr>
          <w:b/>
          <w:b/>
        </w:rPr>
      </w:pPr>
      <w:r>
        <w:rPr>
          <w:b/>
        </w:rPr>
      </w:r>
    </w:p>
    <w:p>
      <w:pPr>
        <w:pStyle w:val="Normal"/>
        <w:ind w:firstLine="708"/>
        <w:jc w:val="both"/>
        <w:rPr/>
      </w:pPr>
      <w:r>
        <w:rPr/>
        <w:t>5.1. Заказчик вправе:</w:t>
      </w:r>
    </w:p>
    <w:p>
      <w:pPr>
        <w:pStyle w:val="Normal"/>
        <w:ind w:firstLine="708"/>
        <w:jc w:val="both"/>
        <w:rPr/>
      </w:pPr>
      <w:r>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pPr>
      <w:r>
        <w:rPr/>
        <w:t>5.1.3. Запрашивать у Поставщика информацию о ходе исполнения обязательств по Контракту.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Контрактом.</w:t>
      </w:r>
    </w:p>
    <w:p>
      <w:pPr>
        <w:pStyle w:val="Normal"/>
        <w:ind w:firstLine="708"/>
        <w:jc w:val="both"/>
        <w:rPr/>
      </w:pPr>
      <w:r>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pPr>
      <w:r>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pPr>
      <w:r>
        <w:rPr/>
        <w:t>5.3. Поставщик вправе:</w:t>
      </w:r>
    </w:p>
    <w:p>
      <w:pPr>
        <w:pStyle w:val="Normal"/>
        <w:tabs>
          <w:tab w:val="clear" w:pos="708"/>
          <w:tab w:val="left" w:pos="1418" w:leader="none"/>
        </w:tabs>
        <w:ind w:firstLine="708"/>
        <w:jc w:val="both"/>
        <w:rPr/>
      </w:pPr>
      <w:r>
        <w:rPr/>
        <w:t xml:space="preserve">5.3.1. Требовать своевременной приемки и оплаты за поставленный Товар </w:t>
        <w:br/>
        <w:t>в соответствии с условиями Контракта.</w:t>
      </w:r>
    </w:p>
    <w:p>
      <w:pPr>
        <w:pStyle w:val="Normal"/>
        <w:tabs>
          <w:tab w:val="clear" w:pos="708"/>
          <w:tab w:val="left" w:pos="1418" w:leader="none"/>
        </w:tabs>
        <w:ind w:firstLine="708"/>
        <w:jc w:val="both"/>
        <w:rPr/>
      </w:pPr>
      <w:r>
        <w:rPr/>
        <w:t xml:space="preserve">5.3.2. Запрашивать у Заказчика разъяснения и уточнения относительно Товара </w:t>
        <w:br/>
        <w:t>в рамках Контракта.</w:t>
      </w:r>
    </w:p>
    <w:p>
      <w:pPr>
        <w:pStyle w:val="Normal"/>
        <w:tabs>
          <w:tab w:val="clear" w:pos="708"/>
          <w:tab w:val="left" w:pos="1418" w:leader="none"/>
        </w:tabs>
        <w:ind w:firstLine="708"/>
        <w:jc w:val="both"/>
        <w:rPr/>
      </w:pPr>
      <w:r>
        <w:rPr/>
        <w:t xml:space="preserve">5.3.3. Получать от Заказчика содействие при поставке Товара в соответствии </w:t>
        <w:br/>
        <w:t>с условиями Контракта.</w:t>
      </w:r>
    </w:p>
    <w:p>
      <w:pPr>
        <w:pStyle w:val="Normal"/>
        <w:tabs>
          <w:tab w:val="clear" w:pos="708"/>
          <w:tab w:val="left" w:pos="1418" w:leader="none"/>
        </w:tabs>
        <w:ind w:firstLine="708"/>
        <w:jc w:val="both"/>
        <w:rPr/>
      </w:pPr>
      <w:r>
        <w:rPr/>
        <w:t>5.3.4. Досрочно исполнить обязательства по Контракту с согласия Заказчика.</w:t>
      </w:r>
    </w:p>
    <w:p>
      <w:pPr>
        <w:pStyle w:val="Normal"/>
        <w:tabs>
          <w:tab w:val="clear" w:pos="708"/>
          <w:tab w:val="left" w:pos="1418" w:leader="none"/>
        </w:tabs>
        <w:ind w:firstLine="708"/>
        <w:jc w:val="both"/>
        <w:rPr/>
      </w:pPr>
      <w:r>
        <w:rPr/>
        <w:t>5.4. Поставщик обязан:</w:t>
      </w:r>
    </w:p>
    <w:p>
      <w:pPr>
        <w:pStyle w:val="Normal"/>
        <w:tabs>
          <w:tab w:val="clear" w:pos="708"/>
          <w:tab w:val="left" w:pos="1418" w:leader="none"/>
        </w:tabs>
        <w:ind w:firstLine="708"/>
        <w:jc w:val="both"/>
        <w:rPr/>
      </w:pPr>
      <w:r>
        <w:rPr/>
        <w:t>5.4.1. 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418" w:leader="none"/>
        </w:tabs>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pPr>
      <w:r>
        <w:rPr/>
        <w:t>5.5. Поставщик гарантирует, что на момент заключения Контракта:</w:t>
      </w:r>
    </w:p>
    <w:p>
      <w:pPr>
        <w:pStyle w:val="Normal"/>
        <w:ind w:firstLine="708"/>
        <w:jc w:val="both"/>
        <w:rPr/>
      </w:pPr>
      <w:r>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pPr>
      <w:r>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pPr>
      <w:r>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pPr>
      <w:r>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pPr>
      <w:r>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pStyle w:val="Normal"/>
        <w:ind w:firstLine="708"/>
        <w:jc w:val="both"/>
        <w:rPr/>
      </w:pPr>
      <w:r>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ind w:firstLine="708"/>
        <w:jc w:val="both"/>
        <w:rPr/>
      </w:pPr>
      <w:r>
        <w:rPr/>
        <w:t xml:space="preserve">5.5.7. </w:t>
      </w:r>
      <w:r>
        <w:rPr>
          <w:rFonts w:eastAsia="Calibri" w:eastAsiaTheme="minorHAnsi"/>
          <w:lang w:eastAsia="en-US"/>
        </w:rPr>
        <w:t>Поставщик не является иностранным агентом.</w:t>
      </w:r>
    </w:p>
    <w:p>
      <w:pPr>
        <w:pStyle w:val="Normal"/>
        <w:ind w:firstLine="708"/>
        <w:jc w:val="both"/>
        <w:rPr/>
      </w:pPr>
      <w:r>
        <w:rPr/>
        <w:t>5.5.8. У Поставщика отсутствуют ограничения для участия в закупках, установленных законодательством Российской Федерации.</w:t>
      </w:r>
    </w:p>
    <w:p>
      <w:pPr>
        <w:pStyle w:val="Normal"/>
        <w:ind w:firstLine="708"/>
        <w:jc w:val="both"/>
        <w:rPr/>
      </w:pPr>
      <w:r>
        <w:rPr/>
      </w:r>
    </w:p>
    <w:p>
      <w:pPr>
        <w:pStyle w:val="Normal"/>
        <w:jc w:val="center"/>
        <w:rPr>
          <w:b/>
          <w:b/>
        </w:rPr>
      </w:pPr>
      <w:r>
        <w:rPr>
          <w:b/>
        </w:rPr>
        <w:t>6. Гарантии</w:t>
      </w:r>
    </w:p>
    <w:p>
      <w:pPr>
        <w:pStyle w:val="Normal"/>
        <w:jc w:val="center"/>
        <w:rPr>
          <w:b/>
          <w:b/>
        </w:rPr>
      </w:pPr>
      <w:r>
        <w:rPr>
          <w:b/>
        </w:rPr>
      </w:r>
    </w:p>
    <w:p>
      <w:pPr>
        <w:pStyle w:val="Normal"/>
        <w:ind w:firstLine="708"/>
        <w:jc w:val="both"/>
        <w:rPr/>
      </w:pPr>
      <w:r>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pPr>
      <w:r>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pPr>
      <w:r>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jc w:val="center"/>
        <w:rPr>
          <w:b/>
          <w:b/>
        </w:rPr>
      </w:pPr>
      <w:r>
        <w:rPr>
          <w:b/>
        </w:rPr>
        <w:t>7. Ответственность сторон</w:t>
      </w:r>
    </w:p>
    <w:p>
      <w:pPr>
        <w:pStyle w:val="Normal"/>
        <w:jc w:val="center"/>
        <w:rPr>
          <w:b/>
          <w:b/>
        </w:rPr>
      </w:pPr>
      <w:r>
        <w:rPr>
          <w:b/>
        </w:rPr>
      </w:r>
    </w:p>
    <w:p>
      <w:pPr>
        <w:pStyle w:val="Normal"/>
        <w:ind w:firstLine="708"/>
        <w:jc w:val="both"/>
        <w:rPr/>
      </w:pPr>
      <w:r>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pPr>
      <w:r>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pPr>
      <w:r>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pPr>
      <w:r>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pPr>
      <w:r>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pPr>
      <w:r>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Calibri" w:eastAsiaTheme="minorHAnsi"/>
          <w:lang w:eastAsia="en-US"/>
        </w:rPr>
        <w:t>(в том числе гарантийного обязательства)</w:t>
      </w:r>
      <w:r>
        <w:rPr/>
        <w:t>, предусмотренных Контрактом, размер штрафа устанавливается в виде фиксированной суммы в размере 10 % цены контракта и составляет _____________________.</w:t>
      </w:r>
    </w:p>
    <w:p>
      <w:pPr>
        <w:pStyle w:val="Normal"/>
        <w:ind w:firstLine="708"/>
        <w:jc w:val="both"/>
        <w:rPr/>
      </w:pPr>
      <w:r>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pPr>
      <w:r>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pPr>
      <w:r>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pPr>
      <w:r>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pPr>
      <w:r>
        <w:rPr/>
      </w:r>
    </w:p>
    <w:p>
      <w:pPr>
        <w:pStyle w:val="Normal"/>
        <w:jc w:val="center"/>
        <w:rPr>
          <w:b/>
          <w:b/>
        </w:rPr>
      </w:pPr>
      <w:r>
        <w:rPr>
          <w:b/>
        </w:rPr>
        <w:t>8. Срок действия, порядок изменения и расторжения Контракта.</w:t>
      </w:r>
    </w:p>
    <w:p>
      <w:pPr>
        <w:pStyle w:val="Normal"/>
        <w:jc w:val="center"/>
        <w:rPr>
          <w:b/>
          <w:b/>
        </w:rPr>
      </w:pPr>
      <w:r>
        <w:rPr>
          <w:b/>
        </w:rPr>
      </w:r>
    </w:p>
    <w:p>
      <w:pPr>
        <w:pStyle w:val="Normal"/>
        <w:ind w:firstLine="708"/>
        <w:jc w:val="both"/>
        <w:rPr/>
      </w:pPr>
      <w:r>
        <w:rPr/>
        <w:t>8.1. Контракт вступает в силу со дня его подписания Сторонами.</w:t>
      </w:r>
    </w:p>
    <w:p>
      <w:pPr>
        <w:pStyle w:val="Normal"/>
        <w:ind w:firstLine="708"/>
        <w:jc w:val="both"/>
        <w:rPr/>
      </w:pPr>
      <w:r>
        <w:rPr/>
        <w:t>8.2. Контракт действует по 31.12.202</w:t>
      </w:r>
      <w:r>
        <w:rPr/>
        <w:t>6</w:t>
      </w:r>
      <w:r>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pPr>
        <w:pStyle w:val="Normal"/>
        <w:ind w:firstLine="708"/>
        <w:jc w:val="both"/>
        <w:rPr/>
      </w:pPr>
      <w:r>
        <w:rPr/>
        <w:t>8.3. Контракт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pStyle w:val="Normal"/>
        <w:ind w:firstLine="708"/>
        <w:jc w:val="both"/>
        <w:rPr/>
      </w:pPr>
      <w:r>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pPr>
      <w:r>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pStyle w:val="Normal"/>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pStyle w:val="Normal"/>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pStyle w:val="Normal"/>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pStyle w:val="Normal"/>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Normal"/>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pStyle w:val="Normal"/>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8"/>
        <w:jc w:val="both"/>
        <w:rPr/>
      </w:pPr>
      <w:r>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b/>
        </w:rPr>
      </w:pPr>
      <w:r>
        <w:rPr>
          <w:b/>
        </w:rPr>
      </w:r>
    </w:p>
    <w:p>
      <w:pPr>
        <w:pStyle w:val="Normal"/>
        <w:jc w:val="center"/>
        <w:rPr>
          <w:b/>
          <w:b/>
        </w:rPr>
      </w:pPr>
      <w:r>
        <w:rPr>
          <w:b/>
        </w:rPr>
        <w:t>9. Порядок урегулирования споров</w:t>
      </w:r>
    </w:p>
    <w:p>
      <w:pPr>
        <w:pStyle w:val="Normal"/>
        <w:jc w:val="center"/>
        <w:rPr>
          <w:b/>
          <w:b/>
        </w:rPr>
      </w:pPr>
      <w:r>
        <w:rPr>
          <w:b/>
        </w:rPr>
      </w:r>
    </w:p>
    <w:p>
      <w:pPr>
        <w:pStyle w:val="Normal"/>
        <w:ind w:firstLine="708"/>
        <w:jc w:val="both"/>
        <w:rPr/>
      </w:pPr>
      <w:r>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b/>
        </w:rPr>
      </w:pPr>
      <w:r>
        <w:rPr>
          <w:b/>
        </w:rPr>
      </w:r>
    </w:p>
    <w:p>
      <w:pPr>
        <w:pStyle w:val="Normal"/>
        <w:jc w:val="center"/>
        <w:rPr>
          <w:b/>
          <w:b/>
        </w:rPr>
      </w:pPr>
      <w:r>
        <w:rPr>
          <w:b/>
        </w:rPr>
        <w:t>10. Прочие условия</w:t>
      </w:r>
    </w:p>
    <w:p>
      <w:pPr>
        <w:pStyle w:val="Normal"/>
        <w:jc w:val="center"/>
        <w:rPr>
          <w:b/>
          <w:b/>
        </w:rPr>
      </w:pPr>
      <w:r>
        <w:rPr>
          <w:b/>
        </w:rPr>
      </w:r>
    </w:p>
    <w:p>
      <w:pPr>
        <w:pStyle w:val="Normal"/>
        <w:widowControl w:val="false"/>
        <w:ind w:firstLine="709"/>
        <w:jc w:val="both"/>
        <w:rPr/>
      </w:pPr>
      <w:r>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pStyle w:val="Normal"/>
        <w:ind w:firstLine="708"/>
        <w:jc w:val="both"/>
        <w:rPr/>
      </w:pPr>
      <w:r>
        <w:rPr/>
        <w:t>10.2. Во всем, что не предусмотрено Контрактом, Стороны руководствуются законодательством Российской Федерации.</w:t>
      </w:r>
    </w:p>
    <w:p>
      <w:pPr>
        <w:pStyle w:val="Normal"/>
        <w:ind w:firstLine="708"/>
        <w:jc w:val="both"/>
        <w:rPr/>
      </w:pPr>
      <w:r>
        <w:rPr/>
      </w:r>
    </w:p>
    <w:p>
      <w:pPr>
        <w:pStyle w:val="Normal"/>
        <w:jc w:val="center"/>
        <w:rPr>
          <w:b/>
          <w:b/>
        </w:rPr>
      </w:pPr>
      <w:r>
        <w:rPr>
          <w:b/>
        </w:rPr>
        <w:t>11. Приложения</w:t>
      </w:r>
    </w:p>
    <w:p>
      <w:pPr>
        <w:pStyle w:val="Normal"/>
        <w:jc w:val="center"/>
        <w:rPr>
          <w:b/>
          <w:b/>
        </w:rPr>
      </w:pPr>
      <w:r>
        <w:rPr>
          <w:b/>
        </w:rPr>
      </w:r>
    </w:p>
    <w:p>
      <w:pPr>
        <w:pStyle w:val="Normal"/>
        <w:jc w:val="both"/>
        <w:rPr/>
      </w:pPr>
      <w:r>
        <w:rPr/>
        <w:t>11.1 Неотъемлемой частью Контракта являются:</w:t>
      </w:r>
    </w:p>
    <w:p>
      <w:pPr>
        <w:pStyle w:val="Normal"/>
        <w:rPr/>
      </w:pPr>
      <w:r>
        <w:rPr/>
        <w:t>Приложение № 1 «Спецификация»;</w:t>
      </w:r>
    </w:p>
    <w:p>
      <w:pPr>
        <w:pStyle w:val="Normal"/>
        <w:rPr/>
      </w:pPr>
      <w:r>
        <w:rPr/>
        <w:t>Приложение № 2 «Техническое задание»</w:t>
      </w:r>
    </w:p>
    <w:p>
      <w:pPr>
        <w:pStyle w:val="Normal"/>
        <w:ind w:left="708" w:firstLine="708"/>
        <w:rPr/>
      </w:pPr>
      <w:r>
        <w:rPr/>
      </w:r>
    </w:p>
    <w:p>
      <w:pPr>
        <w:pStyle w:val="Normal"/>
        <w:spacing w:lineRule="auto" w:line="259" w:before="0" w:after="160"/>
        <w:jc w:val="center"/>
        <w:rPr>
          <w:b/>
          <w:b/>
        </w:rPr>
      </w:pPr>
      <w:r>
        <w:rPr>
          <w:b/>
        </w:rPr>
        <w:t>12. Реквизиты и подписи сторон</w:t>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1430" w:hRule="atLeast"/>
        </w:trPr>
        <w:tc>
          <w:tcPr>
            <w:tcW w:w="5092" w:type="dxa"/>
            <w:tcBorders/>
            <w:shd w:color="auto" w:fill="auto" w:val="clear"/>
          </w:tcPr>
          <w:p>
            <w:pPr>
              <w:pStyle w:val="Normal"/>
              <w:widowControl w:val="false"/>
              <w:spacing w:lineRule="auto" w:line="264"/>
              <w:rPr/>
            </w:pPr>
            <w:r>
              <w:rPr>
                <w:sz w:val="22"/>
                <w:szCs w:val="22"/>
                <w:lang w:eastAsia="ar-SA"/>
              </w:rPr>
              <w:t>Заказчик</w:t>
            </w:r>
          </w:p>
          <w:p>
            <w:pPr>
              <w:pStyle w:val="Normal"/>
              <w:widowControl w:val="false"/>
              <w:jc w:val="both"/>
              <w:rPr/>
            </w:pPr>
            <w:r>
              <w:rPr>
                <w:b/>
                <w:sz w:val="22"/>
                <w:szCs w:val="22"/>
                <w:lang w:eastAsia="ar-SA"/>
              </w:rPr>
              <w:t xml:space="preserve">Санкт-Петербургское государственное бюджетное учреждение здравоохранения «Городская поликлиника № 106» </w:t>
            </w:r>
            <w:r>
              <w:rPr>
                <w:sz w:val="22"/>
                <w:szCs w:val="22"/>
                <w:lang w:eastAsia="ar-SA"/>
              </w:rPr>
              <w:t>(СПб ГБУЗ «Городская поликлиника № 106»)</w:t>
            </w:r>
          </w:p>
          <w:p>
            <w:pPr>
              <w:pStyle w:val="Normal"/>
              <w:widowControl w:val="false"/>
              <w:jc w:val="both"/>
              <w:rPr/>
            </w:pPr>
            <w:r>
              <w:rPr>
                <w:sz w:val="22"/>
                <w:szCs w:val="22"/>
                <w:lang w:eastAsia="ar-SA"/>
              </w:rPr>
              <w:t>ИНН 7807012783, КПП 780701001</w:t>
            </w:r>
          </w:p>
          <w:p>
            <w:pPr>
              <w:pStyle w:val="Normal"/>
              <w:widowControl w:val="false"/>
              <w:jc w:val="both"/>
              <w:rPr/>
            </w:pPr>
            <w:r>
              <w:rPr>
                <w:sz w:val="22"/>
                <w:szCs w:val="22"/>
                <w:lang w:eastAsia="ar-SA"/>
              </w:rPr>
              <w:t>ОГРН 1037819001340, ОКТМО 40355000, ОКАТО 40279562000, ОКОПФ 75203; ОКПО 34346997</w:t>
            </w:r>
          </w:p>
          <w:p>
            <w:pPr>
              <w:pStyle w:val="Normal"/>
              <w:widowControl w:val="false"/>
              <w:jc w:val="both"/>
              <w:rPr/>
            </w:pPr>
            <w:r>
              <w:rPr>
                <w:b/>
                <w:bCs/>
                <w:sz w:val="22"/>
                <w:szCs w:val="22"/>
              </w:rPr>
              <w:t xml:space="preserve">Дата постановки на учет в налоговом органе: </w:t>
            </w:r>
            <w:r>
              <w:rPr>
                <w:sz w:val="22"/>
                <w:szCs w:val="22"/>
              </w:rPr>
              <w:t>20.09.1992</w:t>
            </w:r>
          </w:p>
          <w:p>
            <w:pPr>
              <w:pStyle w:val="Normal"/>
              <w:widowControl w:val="false"/>
              <w:jc w:val="both"/>
              <w:rPr>
                <w:u w:val="single"/>
              </w:rPr>
            </w:pPr>
            <w:r>
              <w:rPr>
                <w:b/>
                <w:bCs/>
                <w:sz w:val="22"/>
                <w:szCs w:val="22"/>
              </w:rPr>
              <w:t>Место нахождения и почтовый адрес</w:t>
            </w:r>
            <w:r>
              <w:rPr>
                <w:sz w:val="22"/>
                <w:szCs w:val="22"/>
              </w:rPr>
              <w:t>: 198328, Санкт-Петербург, ул. Рихарда Зорге, д.1, лит. А</w:t>
            </w:r>
          </w:p>
          <w:p>
            <w:pPr>
              <w:pStyle w:val="Normal"/>
              <w:widowControl w:val="false"/>
              <w:jc w:val="both"/>
              <w:rPr/>
            </w:pPr>
            <w:r>
              <w:rPr>
                <w:b/>
                <w:sz w:val="22"/>
                <w:szCs w:val="22"/>
                <w:lang w:eastAsia="ar-SA"/>
              </w:rPr>
              <w:t>тел./факс:</w:t>
            </w:r>
          </w:p>
          <w:p>
            <w:pPr>
              <w:pStyle w:val="Normal"/>
              <w:widowControl w:val="false"/>
              <w:jc w:val="both"/>
              <w:rPr/>
            </w:pPr>
            <w:r>
              <w:rPr>
                <w:sz w:val="22"/>
                <w:szCs w:val="22"/>
                <w:lang w:eastAsia="ar-SA"/>
              </w:rPr>
              <w:t>(812) 246-02-00 (секретарь)</w:t>
            </w:r>
          </w:p>
          <w:p>
            <w:pPr>
              <w:pStyle w:val="Normal"/>
              <w:widowControl w:val="false"/>
              <w:jc w:val="both"/>
              <w:rPr/>
            </w:pPr>
            <w:r>
              <w:rPr>
                <w:sz w:val="22"/>
                <w:szCs w:val="22"/>
                <w:lang w:eastAsia="ar-SA"/>
              </w:rPr>
              <w:t>(812) 417-66-43 (отдел закупок)</w:t>
            </w:r>
          </w:p>
          <w:p>
            <w:pPr>
              <w:pStyle w:val="Normal"/>
              <w:widowControl w:val="false"/>
              <w:jc w:val="both"/>
              <w:rPr/>
            </w:pPr>
            <w:r>
              <w:rPr>
                <w:sz w:val="22"/>
                <w:szCs w:val="22"/>
                <w:lang w:eastAsia="ar-SA"/>
              </w:rPr>
              <w:t>(812) 246-02-26 (главный бухгалтер, специалист по электронному актированию)</w:t>
            </w:r>
          </w:p>
          <w:p>
            <w:pPr>
              <w:pStyle w:val="Normal"/>
              <w:widowControl w:val="false"/>
              <w:jc w:val="both"/>
              <w:rPr/>
            </w:pPr>
            <w:r>
              <w:rPr>
                <w:b/>
                <w:bCs/>
                <w:sz w:val="22"/>
                <w:szCs w:val="22"/>
                <w:lang w:eastAsia="ar-SA"/>
              </w:rPr>
              <w:t>Электронная почта:</w:t>
            </w:r>
          </w:p>
          <w:p>
            <w:pPr>
              <w:pStyle w:val="Normal"/>
              <w:widowControl w:val="false"/>
              <w:jc w:val="both"/>
              <w:rPr>
                <w:bCs/>
                <w:lang w:eastAsia="ar-SA"/>
              </w:rPr>
            </w:pPr>
            <w:hyperlink r:id="rId2">
              <w:r>
                <w:rPr>
                  <w:bCs/>
                  <w:sz w:val="22"/>
                  <w:lang w:val="en-US" w:eastAsia="ar-SA"/>
                </w:rPr>
                <w:t>gz</w:t>
              </w:r>
              <w:r>
                <w:rPr>
                  <w:bCs/>
                  <w:sz w:val="22"/>
                  <w:lang w:eastAsia="ar-SA"/>
                </w:rPr>
                <w:t>@</w:t>
              </w:r>
              <w:r>
                <w:rPr>
                  <w:bCs/>
                  <w:sz w:val="22"/>
                  <w:lang w:val="en-US" w:eastAsia="ar-SA"/>
                </w:rPr>
                <w:t>p</w:t>
              </w:r>
              <w:r>
                <w:rPr>
                  <w:bCs/>
                  <w:sz w:val="22"/>
                  <w:lang w:eastAsia="ar-SA"/>
                </w:rPr>
                <w:t>106.</w:t>
              </w:r>
              <w:r>
                <w:rPr>
                  <w:bCs/>
                  <w:sz w:val="22"/>
                  <w:lang w:val="en-US" w:eastAsia="ar-SA"/>
                </w:rPr>
                <w:t>org</w:t>
              </w:r>
              <w:r>
                <w:rPr>
                  <w:bCs/>
                  <w:sz w:val="22"/>
                  <w:lang w:eastAsia="ar-SA"/>
                </w:rPr>
                <w:t>.</w:t>
              </w:r>
              <w:r>
                <w:rPr>
                  <w:bCs/>
                  <w:sz w:val="22"/>
                  <w:lang w:val="en-US" w:eastAsia="ar-SA"/>
                </w:rPr>
                <w:t>ru</w:t>
              </w:r>
            </w:hyperlink>
            <w:r>
              <w:rPr>
                <w:bCs/>
                <w:sz w:val="22"/>
                <w:szCs w:val="22"/>
                <w:lang w:eastAsia="ar-SA"/>
              </w:rPr>
              <w:t xml:space="preserve"> , </w:t>
            </w:r>
            <w:hyperlink r:id="rId3">
              <w:r>
                <w:rPr>
                  <w:bCs/>
                  <w:sz w:val="22"/>
                  <w:lang w:val="en-US" w:eastAsia="ar-SA"/>
                </w:rPr>
                <w:t>p</w:t>
              </w:r>
              <w:r>
                <w:rPr>
                  <w:bCs/>
                  <w:sz w:val="22"/>
                  <w:lang w:eastAsia="ar-SA"/>
                </w:rPr>
                <w:t>106@</w:t>
              </w:r>
              <w:r>
                <w:rPr>
                  <w:bCs/>
                  <w:sz w:val="22"/>
                  <w:lang w:val="en-US" w:eastAsia="ar-SA"/>
                </w:rPr>
                <w:t>zdrav</w:t>
              </w:r>
              <w:r>
                <w:rPr>
                  <w:bCs/>
                  <w:sz w:val="22"/>
                  <w:lang w:eastAsia="ar-SA"/>
                </w:rPr>
                <w:t>.</w:t>
              </w:r>
              <w:r>
                <w:rPr>
                  <w:bCs/>
                  <w:sz w:val="22"/>
                  <w:lang w:val="en-US" w:eastAsia="ar-SA"/>
                </w:rPr>
                <w:t>spb</w:t>
              </w:r>
              <w:r>
                <w:rPr>
                  <w:bCs/>
                  <w:sz w:val="22"/>
                  <w:lang w:eastAsia="ar-SA"/>
                </w:rPr>
                <w:t>.</w:t>
              </w:r>
              <w:r>
                <w:rPr>
                  <w:bCs/>
                  <w:sz w:val="22"/>
                  <w:lang w:val="en-US" w:eastAsia="ar-SA"/>
                </w:rPr>
                <w:t>ru</w:t>
              </w:r>
            </w:hyperlink>
          </w:p>
          <w:p>
            <w:pPr>
              <w:pStyle w:val="Normal"/>
              <w:widowControl w:val="false"/>
              <w:jc w:val="both"/>
              <w:rPr>
                <w:lang w:eastAsia="ar-SA"/>
              </w:rPr>
            </w:pPr>
            <w:r>
              <w:rPr>
                <w:b/>
                <w:bCs/>
                <w:sz w:val="22"/>
                <w:szCs w:val="22"/>
                <w:lang w:eastAsia="ar-SA"/>
              </w:rPr>
              <w:t>Банковские реквизиты:</w:t>
            </w:r>
          </w:p>
          <w:p>
            <w:pPr>
              <w:pStyle w:val="11"/>
              <w:widowControl w:val="false"/>
              <w:rPr>
                <w:rFonts w:ascii="Times New Roman" w:hAnsi="Times New Roman"/>
              </w:rPr>
            </w:pPr>
            <w:r>
              <w:rPr>
                <w:rFonts w:ascii="Times New Roman" w:hAnsi="Times New Roman"/>
                <w:sz w:val="22"/>
                <w:szCs w:val="22"/>
              </w:rPr>
              <w:t>ОКЦ №1 Северо-Западное ГУ Банка России//УФК по Санкт-Петербургу, г. Санкт-Петербург</w:t>
            </w:r>
          </w:p>
          <w:p>
            <w:pPr>
              <w:pStyle w:val="11"/>
              <w:widowControl w:val="false"/>
              <w:rPr>
                <w:rFonts w:ascii="Times New Roman" w:hAnsi="Times New Roman"/>
              </w:rPr>
            </w:pPr>
            <w:r>
              <w:rPr>
                <w:rFonts w:ascii="Times New Roman" w:hAnsi="Times New Roman"/>
                <w:sz w:val="22"/>
                <w:szCs w:val="22"/>
              </w:rPr>
              <w:t>БИК 014030106</w:t>
            </w:r>
          </w:p>
          <w:p>
            <w:pPr>
              <w:pStyle w:val="11"/>
              <w:widowControl w:val="false"/>
              <w:rPr>
                <w:rFonts w:ascii="Times New Roman" w:hAnsi="Times New Roman"/>
              </w:rPr>
            </w:pPr>
            <w:r>
              <w:rPr>
                <w:rFonts w:ascii="Times New Roman" w:hAnsi="Times New Roman"/>
                <w:sz w:val="22"/>
                <w:szCs w:val="22"/>
              </w:rPr>
              <w:t>Лицевой счет 0551007</w:t>
            </w:r>
          </w:p>
          <w:p>
            <w:pPr>
              <w:pStyle w:val="11"/>
              <w:widowControl w:val="false"/>
              <w:rPr>
                <w:rFonts w:ascii="Times New Roman" w:hAnsi="Times New Roman"/>
              </w:rPr>
            </w:pPr>
            <w:r>
              <w:rPr>
                <w:rFonts w:ascii="Times New Roman" w:hAnsi="Times New Roman"/>
                <w:sz w:val="22"/>
                <w:szCs w:val="22"/>
              </w:rPr>
              <w:t>Расчетный счет 03224643400000007200</w:t>
            </w:r>
          </w:p>
          <w:p>
            <w:pPr>
              <w:pStyle w:val="11"/>
              <w:widowControl w:val="false"/>
              <w:rPr>
                <w:rFonts w:ascii="Times New Roman" w:hAnsi="Times New Roman"/>
              </w:rPr>
            </w:pPr>
            <w:r>
              <w:rPr>
                <w:rFonts w:ascii="Times New Roman" w:hAnsi="Times New Roman"/>
                <w:sz w:val="22"/>
                <w:szCs w:val="22"/>
                <w:lang w:eastAsia="ar-SA"/>
              </w:rPr>
              <w:t>Корреспондентский счет  40102810945370000005</w:t>
            </w:r>
          </w:p>
        </w:tc>
        <w:tc>
          <w:tcPr>
            <w:tcW w:w="4891" w:type="dxa"/>
            <w:tcBorders/>
            <w:shd w:color="auto" w:fill="auto" w:val="clear"/>
          </w:tcPr>
          <w:p>
            <w:pPr>
              <w:pStyle w:val="Normal"/>
              <w:widowControl w:val="false"/>
              <w:spacing w:lineRule="auto" w:line="264"/>
              <w:ind w:firstLine="15"/>
              <w:rPr/>
            </w:pPr>
            <w:r>
              <w:rPr>
                <w:sz w:val="22"/>
                <w:szCs w:val="22"/>
                <w:lang w:eastAsia="ar-SA"/>
              </w:rPr>
              <w:t>Поставщик:</w:t>
            </w:r>
          </w:p>
          <w:p>
            <w:pPr>
              <w:pStyle w:val="Normal"/>
              <w:widowControl w:val="false"/>
              <w:rPr>
                <w:lang w:eastAsia="ar-SA"/>
              </w:rPr>
            </w:pPr>
            <w:r>
              <w:rPr>
                <w:lang w:eastAsia="ar-SA"/>
              </w:rPr>
            </w:r>
          </w:p>
        </w:tc>
      </w:tr>
      <w:tr>
        <w:trPr>
          <w:trHeight w:val="495" w:hRule="atLeast"/>
        </w:trPr>
        <w:tc>
          <w:tcPr>
            <w:tcW w:w="5092" w:type="dxa"/>
            <w:tcBorders/>
            <w:shd w:color="auto" w:fill="auto" w:val="clear"/>
          </w:tcPr>
          <w:p>
            <w:pPr>
              <w:pStyle w:val="Normal"/>
              <w:widowControl w:val="false"/>
              <w:jc w:val="both"/>
              <w:rPr/>
            </w:pPr>
            <w:r>
              <w:rPr>
                <w:sz w:val="22"/>
                <w:szCs w:val="22"/>
              </w:rPr>
              <w:t>От Заказчика</w:t>
            </w:r>
          </w:p>
          <w:p>
            <w:pPr>
              <w:pStyle w:val="Normal"/>
              <w:widowControl w:val="false"/>
              <w:jc w:val="both"/>
              <w:rPr/>
            </w:pPr>
            <w:r>
              <w:rPr>
                <w:sz w:val="22"/>
                <w:szCs w:val="22"/>
              </w:rPr>
              <w:t>Главный врач</w:t>
            </w:r>
          </w:p>
          <w:p>
            <w:pPr>
              <w:pStyle w:val="Normal"/>
              <w:widowControl w:val="false"/>
              <w:jc w:val="both"/>
              <w:rPr/>
            </w:pPr>
            <w:r>
              <w:rPr>
                <w:sz w:val="22"/>
                <w:szCs w:val="22"/>
              </w:rPr>
              <w:t>СПб ГБУЗ «Городская поликлиника № 106»</w:t>
            </w:r>
          </w:p>
          <w:p>
            <w:pPr>
              <w:pStyle w:val="Normal"/>
              <w:widowControl w:val="false"/>
              <w:jc w:val="both"/>
              <w:rPr/>
            </w:pPr>
            <w:r>
              <w:rPr>
                <w:sz w:val="22"/>
                <w:szCs w:val="22"/>
              </w:rPr>
              <w:t>В.Г. Кунин</w:t>
            </w:r>
          </w:p>
        </w:tc>
        <w:tc>
          <w:tcPr>
            <w:tcW w:w="4891" w:type="dxa"/>
            <w:tcBorders/>
            <w:shd w:color="auto" w:fill="auto" w:val="clear"/>
          </w:tcPr>
          <w:p>
            <w:pPr>
              <w:pStyle w:val="Normal"/>
              <w:widowControl w:val="false"/>
              <w:rPr/>
            </w:pPr>
            <w:r>
              <w:rPr>
                <w:sz w:val="22"/>
                <w:szCs w:val="22"/>
              </w:rPr>
              <w:t>От Поставщика</w:t>
            </w:r>
          </w:p>
          <w:p>
            <w:pPr>
              <w:pStyle w:val="Normal"/>
              <w:widowControl w:val="false"/>
              <w:rPr/>
            </w:pPr>
            <w:r>
              <w:rPr/>
            </w:r>
          </w:p>
        </w:tc>
      </w:tr>
    </w:tbl>
    <w:p>
      <w:pPr>
        <w:sectPr>
          <w:footerReference w:type="default" r:id="rId4"/>
          <w:type w:val="nextPage"/>
          <w:pgSz w:w="11906" w:h="16838"/>
          <w:pgMar w:left="567" w:right="566" w:gutter="0" w:header="0" w:top="709" w:footer="709" w:bottom="1134"/>
          <w:pgNumType w:fmt="decimal"/>
          <w:formProt w:val="false"/>
          <w:textDirection w:val="lrTb"/>
          <w:docGrid w:type="default" w:linePitch="360" w:charSpace="0"/>
        </w:sectPr>
      </w:pPr>
    </w:p>
    <w:p>
      <w:pPr>
        <w:pStyle w:val="Normal"/>
        <w:ind w:left="6237" w:hanging="0"/>
        <w:jc w:val="right"/>
        <w:rPr/>
      </w:pPr>
      <w:r>
        <w:rPr/>
        <w:t>Приложение № 1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от _________202</w:t>
      </w:r>
      <w:r>
        <w:rPr>
          <w:rFonts w:cs="Times New Roman" w:ascii="Times New Roman" w:hAnsi="Times New Roman"/>
          <w:sz w:val="24"/>
          <w:szCs w:val="24"/>
        </w:rPr>
        <w:t>6</w:t>
      </w:r>
      <w:r>
        <w:rPr>
          <w:rFonts w:cs="Times New Roman" w:ascii="Times New Roman" w:hAnsi="Times New Roman"/>
          <w:sz w:val="24"/>
          <w:szCs w:val="24"/>
        </w:rPr>
        <w:t xml:space="preserve"> №</w:t>
      </w:r>
      <w:r>
        <w:rPr/>
        <w:t xml:space="preserve"> </w:t>
      </w:r>
      <w:r>
        <w:rPr>
          <w:rFonts w:cs="Times New Roman" w:ascii="Times New Roman" w:hAnsi="Times New Roman"/>
          <w:sz w:val="24"/>
          <w:szCs w:val="24"/>
        </w:rPr>
        <w:t>_________</w:t>
      </w:r>
    </w:p>
    <w:p>
      <w:pPr>
        <w:pStyle w:val="Normal"/>
        <w:jc w:val="center"/>
        <w:rPr>
          <w:b/>
          <w:b/>
        </w:rPr>
      </w:pPr>
      <w:r>
        <w:rPr>
          <w:b/>
        </w:rPr>
        <w:t>СПЕЦИФИКАЦИЯ*</w:t>
      </w:r>
    </w:p>
    <w:p>
      <w:pPr>
        <w:pStyle w:val="Normal"/>
        <w:jc w:val="center"/>
        <w:rPr>
          <w:b/>
          <w:b/>
        </w:rPr>
      </w:pPr>
      <w:r>
        <w:rPr>
          <w:b/>
        </w:rPr>
      </w:r>
    </w:p>
    <w:tbl>
      <w:tblPr>
        <w:tblStyle w:val="af0"/>
        <w:tblW w:w="15299" w:type="dxa"/>
        <w:jc w:val="left"/>
        <w:tblInd w:w="-5" w:type="dxa"/>
        <w:tblLayout w:type="fixed"/>
        <w:tblCellMar>
          <w:top w:w="0" w:type="dxa"/>
          <w:left w:w="108" w:type="dxa"/>
          <w:bottom w:w="0" w:type="dxa"/>
          <w:right w:w="108" w:type="dxa"/>
        </w:tblCellMar>
        <w:tblLook w:val="04a0"/>
      </w:tblPr>
      <w:tblGrid>
        <w:gridCol w:w="526"/>
        <w:gridCol w:w="2645"/>
        <w:gridCol w:w="1449"/>
        <w:gridCol w:w="1416"/>
        <w:gridCol w:w="851"/>
        <w:gridCol w:w="852"/>
        <w:gridCol w:w="738"/>
        <w:gridCol w:w="5360"/>
        <w:gridCol w:w="1460"/>
      </w:tblGrid>
      <w:tr>
        <w:trPr/>
        <w:tc>
          <w:tcPr>
            <w:tcW w:w="526" w:type="dxa"/>
            <w:tcBorders/>
          </w:tcPr>
          <w:p>
            <w:pPr>
              <w:pStyle w:val="Normal"/>
              <w:widowControl w:val="false"/>
              <w:suppressAutoHyphens w:val="true"/>
              <w:spacing w:before="0" w:after="0"/>
              <w:jc w:val="center"/>
              <w:rPr>
                <w:b/>
                <w:b/>
                <w:sz w:val="20"/>
                <w:szCs w:val="20"/>
              </w:rPr>
            </w:pPr>
            <w:r>
              <w:rPr>
                <w:b/>
                <w:kern w:val="0"/>
                <w:sz w:val="20"/>
                <w:szCs w:val="20"/>
                <w:lang w:val="ru-RU" w:bidi="ar-SA"/>
              </w:rPr>
              <w:t>№</w:t>
            </w:r>
          </w:p>
          <w:p>
            <w:pPr>
              <w:pStyle w:val="Normal"/>
              <w:widowControl w:val="false"/>
              <w:suppressAutoHyphens w:val="true"/>
              <w:spacing w:before="0" w:after="0"/>
              <w:jc w:val="center"/>
              <w:rPr>
                <w:b/>
                <w:b/>
                <w:sz w:val="20"/>
                <w:szCs w:val="20"/>
              </w:rPr>
            </w:pPr>
            <w:r>
              <w:rPr>
                <w:b/>
                <w:kern w:val="0"/>
                <w:sz w:val="20"/>
                <w:szCs w:val="20"/>
                <w:lang w:val="ru-RU" w:bidi="ar-SA"/>
              </w:rPr>
              <w:t>п/п</w:t>
            </w:r>
          </w:p>
        </w:tc>
        <w:tc>
          <w:tcPr>
            <w:tcW w:w="2645" w:type="dxa"/>
            <w:tcBorders/>
          </w:tcPr>
          <w:p>
            <w:pPr>
              <w:pStyle w:val="Normal"/>
              <w:widowControl w:val="false"/>
              <w:suppressAutoHyphens w:val="true"/>
              <w:spacing w:before="0" w:after="0"/>
              <w:jc w:val="center"/>
              <w:rPr>
                <w:b/>
                <w:b/>
                <w:sz w:val="20"/>
                <w:szCs w:val="20"/>
              </w:rPr>
            </w:pPr>
            <w:r>
              <w:rPr>
                <w:b/>
                <w:kern w:val="0"/>
                <w:sz w:val="20"/>
                <w:szCs w:val="20"/>
                <w:lang w:val="ru-RU" w:bidi="ar-SA"/>
              </w:rPr>
              <w:t>Наименование</w:t>
            </w:r>
          </w:p>
        </w:tc>
        <w:tc>
          <w:tcPr>
            <w:tcW w:w="1449" w:type="dxa"/>
            <w:tcBorders>
              <w:right w:val="nil"/>
            </w:tcBorders>
          </w:tcPr>
          <w:p>
            <w:pPr>
              <w:pStyle w:val="Normal"/>
              <w:widowControl w:val="false"/>
              <w:suppressAutoHyphens w:val="true"/>
              <w:spacing w:before="0" w:after="0"/>
              <w:jc w:val="center"/>
              <w:rPr>
                <w:b/>
                <w:b/>
                <w:sz w:val="20"/>
                <w:szCs w:val="20"/>
              </w:rPr>
            </w:pPr>
            <w:r>
              <w:rPr>
                <w:b/>
                <w:kern w:val="0"/>
                <w:sz w:val="20"/>
                <w:szCs w:val="20"/>
                <w:lang w:val="ru-RU" w:bidi="ar-SA"/>
              </w:rPr>
              <w:t>Страна прохождения</w:t>
            </w:r>
          </w:p>
        </w:tc>
        <w:tc>
          <w:tcPr>
            <w:tcW w:w="1416" w:type="dxa"/>
            <w:tcBorders/>
          </w:tcPr>
          <w:p>
            <w:pPr>
              <w:pStyle w:val="Normal"/>
              <w:widowControl w:val="false"/>
              <w:suppressAutoHyphens w:val="true"/>
              <w:spacing w:before="0" w:after="0"/>
              <w:jc w:val="center"/>
              <w:rPr>
                <w:b/>
                <w:b/>
                <w:sz w:val="20"/>
                <w:szCs w:val="20"/>
              </w:rPr>
            </w:pPr>
            <w:r>
              <w:rPr>
                <w:b/>
                <w:kern w:val="0"/>
                <w:sz w:val="20"/>
                <w:szCs w:val="20"/>
                <w:lang w:val="ru-RU" w:bidi="ar-SA"/>
              </w:rPr>
              <w:t>Единица измерения</w:t>
            </w:r>
          </w:p>
        </w:tc>
        <w:tc>
          <w:tcPr>
            <w:tcW w:w="851" w:type="dxa"/>
            <w:tcBorders/>
          </w:tcPr>
          <w:p>
            <w:pPr>
              <w:pStyle w:val="Normal"/>
              <w:widowControl w:val="false"/>
              <w:suppressAutoHyphens w:val="true"/>
              <w:spacing w:before="0" w:after="0"/>
              <w:jc w:val="center"/>
              <w:rPr>
                <w:b/>
                <w:b/>
                <w:sz w:val="20"/>
                <w:szCs w:val="20"/>
              </w:rPr>
            </w:pPr>
            <w:r>
              <w:rPr>
                <w:b/>
                <w:kern w:val="0"/>
                <w:sz w:val="20"/>
                <w:szCs w:val="20"/>
                <w:lang w:val="ru-RU" w:bidi="ar-SA"/>
              </w:rPr>
              <w:t>Кол-во</w:t>
            </w:r>
          </w:p>
        </w:tc>
        <w:tc>
          <w:tcPr>
            <w:tcW w:w="852" w:type="dxa"/>
            <w:tcBorders/>
          </w:tcPr>
          <w:p>
            <w:pPr>
              <w:pStyle w:val="Normal"/>
              <w:widowControl w:val="false"/>
              <w:suppressAutoHyphens w:val="true"/>
              <w:spacing w:before="0" w:after="0"/>
              <w:jc w:val="center"/>
              <w:rPr>
                <w:b/>
                <w:b/>
                <w:sz w:val="20"/>
                <w:szCs w:val="20"/>
              </w:rPr>
            </w:pPr>
            <w:r>
              <w:rPr>
                <w:b/>
                <w:kern w:val="0"/>
                <w:sz w:val="20"/>
                <w:szCs w:val="20"/>
                <w:lang w:val="ru-RU" w:bidi="ar-SA"/>
              </w:rPr>
              <w:t>Цена за единицу,</w:t>
            </w:r>
          </w:p>
          <w:p>
            <w:pPr>
              <w:pStyle w:val="Normal"/>
              <w:widowControl w:val="false"/>
              <w:suppressAutoHyphens w:val="true"/>
              <w:spacing w:before="0" w:after="0"/>
              <w:jc w:val="center"/>
              <w:rPr>
                <w:b/>
                <w:b/>
                <w:sz w:val="20"/>
                <w:szCs w:val="20"/>
              </w:rPr>
            </w:pPr>
            <w:r>
              <w:rPr>
                <w:b/>
                <w:kern w:val="0"/>
                <w:sz w:val="20"/>
                <w:szCs w:val="20"/>
                <w:lang w:val="ru-RU" w:bidi="ar-SA"/>
              </w:rPr>
              <w:t>руб.</w:t>
            </w:r>
          </w:p>
        </w:tc>
        <w:tc>
          <w:tcPr>
            <w:tcW w:w="738" w:type="dxa"/>
            <w:tcBorders/>
          </w:tcPr>
          <w:p>
            <w:pPr>
              <w:pStyle w:val="Normal"/>
              <w:widowControl w:val="false"/>
              <w:suppressAutoHyphens w:val="true"/>
              <w:spacing w:before="0" w:after="0"/>
              <w:jc w:val="center"/>
              <w:rPr>
                <w:b/>
                <w:b/>
                <w:sz w:val="20"/>
                <w:szCs w:val="20"/>
              </w:rPr>
            </w:pPr>
            <w:r>
              <w:rPr>
                <w:b/>
                <w:kern w:val="0"/>
                <w:sz w:val="20"/>
                <w:szCs w:val="20"/>
                <w:lang w:val="ru-RU" w:bidi="ar-SA"/>
              </w:rPr>
              <w:t>НДС %</w:t>
            </w:r>
          </w:p>
        </w:tc>
        <w:tc>
          <w:tcPr>
            <w:tcW w:w="5360" w:type="dxa"/>
            <w:tcBorders/>
          </w:tcPr>
          <w:p>
            <w:pPr>
              <w:pStyle w:val="Normal"/>
              <w:widowControl w:val="false"/>
              <w:suppressAutoHyphens w:val="true"/>
              <w:spacing w:before="0" w:after="0"/>
              <w:jc w:val="center"/>
              <w:rPr>
                <w:b/>
                <w:b/>
                <w:sz w:val="20"/>
                <w:szCs w:val="20"/>
              </w:rPr>
            </w:pPr>
            <w:r>
              <w:rPr>
                <w:b/>
                <w:kern w:val="0"/>
                <w:sz w:val="20"/>
                <w:szCs w:val="20"/>
                <w:lang w:val="ru-RU" w:bidi="ar-SA"/>
              </w:rPr>
              <w:t>Характеристики товара</w:t>
            </w:r>
          </w:p>
        </w:tc>
        <w:tc>
          <w:tcPr>
            <w:tcW w:w="1460" w:type="dxa"/>
            <w:tcBorders/>
          </w:tcPr>
          <w:p>
            <w:pPr>
              <w:pStyle w:val="Normal"/>
              <w:widowControl w:val="false"/>
              <w:suppressAutoHyphens w:val="true"/>
              <w:spacing w:before="0" w:after="0"/>
              <w:jc w:val="center"/>
              <w:rPr>
                <w:b/>
                <w:b/>
                <w:sz w:val="20"/>
                <w:szCs w:val="20"/>
              </w:rPr>
            </w:pPr>
            <w:r>
              <w:rPr>
                <w:b/>
                <w:kern w:val="0"/>
                <w:sz w:val="20"/>
                <w:szCs w:val="20"/>
                <w:lang w:val="ru-RU" w:bidi="ar-SA"/>
              </w:rPr>
              <w:t>Стоимость,</w:t>
            </w:r>
          </w:p>
          <w:p>
            <w:pPr>
              <w:pStyle w:val="Normal"/>
              <w:widowControl w:val="false"/>
              <w:suppressAutoHyphens w:val="true"/>
              <w:spacing w:before="0" w:after="0"/>
              <w:jc w:val="center"/>
              <w:rPr>
                <w:b/>
                <w:b/>
                <w:sz w:val="20"/>
                <w:szCs w:val="20"/>
              </w:rPr>
            </w:pPr>
            <w:r>
              <w:rPr>
                <w:b/>
                <w:kern w:val="0"/>
                <w:sz w:val="20"/>
                <w:szCs w:val="20"/>
                <w:lang w:val="ru-RU" w:bidi="ar-SA"/>
              </w:rPr>
              <w:t>руб.</w:t>
            </w:r>
          </w:p>
        </w:tc>
      </w:tr>
      <w:tr>
        <w:trPr>
          <w:trHeight w:val="265" w:hRule="atLeast"/>
        </w:trPr>
        <w:tc>
          <w:tcPr>
            <w:tcW w:w="526" w:type="dxa"/>
            <w:tcBorders/>
            <w:vAlign w:val="center"/>
          </w:tcPr>
          <w:p>
            <w:pPr>
              <w:pStyle w:val="Normal"/>
              <w:widowControl w:val="false"/>
              <w:suppressAutoHyphens w:val="true"/>
              <w:spacing w:before="0" w:after="0"/>
              <w:jc w:val="left"/>
              <w:rPr>
                <w:sz w:val="20"/>
                <w:szCs w:val="20"/>
              </w:rPr>
            </w:pPr>
            <w:r>
              <w:rPr>
                <w:kern w:val="0"/>
                <w:sz w:val="20"/>
                <w:szCs w:val="20"/>
                <w:lang w:val="ru-RU" w:bidi="ar-SA"/>
              </w:rPr>
              <w:t>1</w:t>
            </w:r>
          </w:p>
        </w:tc>
        <w:tc>
          <w:tcPr>
            <w:tcW w:w="2645" w:type="dxa"/>
            <w:tcBorders/>
            <w:vAlign w:val="center"/>
          </w:tcPr>
          <w:p>
            <w:pPr>
              <w:pStyle w:val="Style18"/>
              <w:widowControl w:val="false"/>
              <w:numPr>
                <w:ilvl w:val="0"/>
                <w:numId w:val="0"/>
              </w:numPr>
              <w:suppressAutoHyphens w:val="true"/>
              <w:spacing w:before="0" w:after="0"/>
              <w:jc w:val="center"/>
              <w:outlineLvl w:val="0"/>
              <w:rPr>
                <w:b w:val="false"/>
                <w:b w:val="false"/>
                <w:bCs w:val="false"/>
                <w:kern w:val="0"/>
                <w:lang w:val="ru-RU" w:bidi="ar-SA"/>
              </w:rPr>
            </w:pPr>
            <w:r>
              <w:rPr>
                <w:b w:val="false"/>
                <w:bCs w:val="false"/>
                <w:kern w:val="0"/>
                <w:sz w:val="20"/>
                <w:szCs w:val="20"/>
                <w:shd w:fill="FFFFFF" w:val="clear"/>
                <w:lang w:val="ru-RU" w:eastAsia="en-US" w:bidi="ar-SA"/>
              </w:rPr>
              <w:t xml:space="preserve">Стенд </w:t>
            </w:r>
            <w:r>
              <w:rPr>
                <w:b w:val="false"/>
                <w:bCs w:val="false"/>
                <w:kern w:val="0"/>
                <w:sz w:val="20"/>
                <w:szCs w:val="20"/>
                <w:shd w:fill="FFFFFF" w:val="clear"/>
                <w:lang w:val="en-US" w:eastAsia="en-US" w:bidi="ar-SA"/>
              </w:rPr>
              <w:t>Roll up</w:t>
            </w:r>
          </w:p>
        </w:tc>
        <w:tc>
          <w:tcPr>
            <w:tcW w:w="1449" w:type="dxa"/>
            <w:tcBorders>
              <w:right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r>
          </w:p>
        </w:tc>
        <w:tc>
          <w:tcPr>
            <w:tcW w:w="1416" w:type="dxa"/>
            <w:tcBorders/>
            <w:vAlign w:val="center"/>
          </w:tcPr>
          <w:p>
            <w:pPr>
              <w:pStyle w:val="Style18"/>
              <w:widowControl w:val="false"/>
              <w:suppressAutoHyphens w:val="true"/>
              <w:spacing w:before="0" w:after="0"/>
              <w:jc w:val="center"/>
              <w:rPr>
                <w:sz w:val="20"/>
                <w:szCs w:val="20"/>
              </w:rPr>
            </w:pPr>
            <w:r>
              <w:rPr>
                <w:kern w:val="0"/>
                <w:sz w:val="20"/>
                <w:szCs w:val="20"/>
                <w:lang w:val="ru-RU" w:bidi="ar-SA"/>
              </w:rPr>
              <w:t>штука</w:t>
            </w:r>
          </w:p>
        </w:tc>
        <w:tc>
          <w:tcPr>
            <w:tcW w:w="851" w:type="dxa"/>
            <w:tcBorders/>
            <w:vAlign w:val="center"/>
          </w:tcPr>
          <w:p>
            <w:pPr>
              <w:pStyle w:val="Normal"/>
              <w:widowControl w:val="false"/>
              <w:suppressAutoHyphens w:val="true"/>
              <w:spacing w:before="0" w:after="0"/>
              <w:jc w:val="center"/>
              <w:rPr>
                <w:sz w:val="20"/>
                <w:szCs w:val="20"/>
              </w:rPr>
            </w:pPr>
            <w:r>
              <w:rPr>
                <w:kern w:val="0"/>
                <w:sz w:val="20"/>
                <w:szCs w:val="20"/>
                <w:lang w:val="ru-RU" w:bidi="ar-SA"/>
              </w:rPr>
              <w:t>4</w:t>
            </w:r>
          </w:p>
        </w:tc>
        <w:tc>
          <w:tcPr>
            <w:tcW w:w="852" w:type="dxa"/>
            <w:tcBorders/>
            <w:vAlign w:val="center"/>
          </w:tcPr>
          <w:p>
            <w:pPr>
              <w:pStyle w:val="Normal"/>
              <w:widowControl w:val="false"/>
              <w:suppressAutoHyphens w:val="true"/>
              <w:spacing w:before="0" w:after="0"/>
              <w:jc w:val="center"/>
              <w:rPr>
                <w:sz w:val="20"/>
                <w:szCs w:val="20"/>
              </w:rPr>
            </w:pPr>
            <w:r>
              <w:rPr>
                <w:kern w:val="0"/>
                <w:sz w:val="22"/>
                <w:szCs w:val="20"/>
                <w:lang w:val="ru-RU" w:bidi="ar-SA"/>
              </w:rPr>
            </w:r>
          </w:p>
        </w:tc>
        <w:tc>
          <w:tcPr>
            <w:tcW w:w="738" w:type="dxa"/>
            <w:tcBorders/>
            <w:vAlign w:val="center"/>
          </w:tcPr>
          <w:p>
            <w:pPr>
              <w:pStyle w:val="Normal"/>
              <w:widowControl w:val="false"/>
              <w:suppressAutoHyphens w:val="true"/>
              <w:spacing w:before="0" w:after="0"/>
              <w:jc w:val="center"/>
              <w:rPr>
                <w:sz w:val="20"/>
                <w:szCs w:val="20"/>
              </w:rPr>
            </w:pPr>
            <w:r>
              <w:rPr>
                <w:kern w:val="0"/>
                <w:sz w:val="22"/>
                <w:szCs w:val="20"/>
                <w:lang w:val="ru-RU" w:bidi="ar-SA"/>
              </w:rPr>
            </w:r>
          </w:p>
        </w:tc>
        <w:tc>
          <w:tcPr>
            <w:tcW w:w="5360" w:type="dxa"/>
            <w:tcBorders/>
            <w:vAlign w:val="center"/>
          </w:tcPr>
          <w:p>
            <w:pPr>
              <w:pStyle w:val="Normal"/>
              <w:widowControl w:val="false"/>
              <w:suppressAutoHyphens w:val="true"/>
              <w:spacing w:before="0" w:after="0"/>
              <w:jc w:val="left"/>
              <w:rPr>
                <w:kern w:val="0"/>
                <w:sz w:val="20"/>
                <w:szCs w:val="20"/>
                <w:lang w:val="ru-RU" w:bidi="ar-SA"/>
              </w:rPr>
            </w:pPr>
            <w:r>
              <w:rPr>
                <w:kern w:val="0"/>
                <w:sz w:val="20"/>
                <w:szCs w:val="20"/>
                <w:lang w:val="ru-RU" w:bidi="ar-SA"/>
              </w:rPr>
              <w:t>- размер: 1м х 2м</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 особенности конструкции:</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усиленная и расширенная опорная база в</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форме капли, прочная утолщенная</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вертикальная опора, усиленная зажимной</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верхней планкой и прочной двойной</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сумкой-чехлом с уплотнителем</w:t>
            </w:r>
          </w:p>
        </w:tc>
        <w:tc>
          <w:tcPr>
            <w:tcW w:w="1460" w:type="dxa"/>
            <w:tcBorders/>
            <w:vAlign w:val="center"/>
          </w:tcPr>
          <w:p>
            <w:pPr>
              <w:pStyle w:val="Normal"/>
              <w:widowControl w:val="false"/>
              <w:suppressAutoHyphens w:val="true"/>
              <w:spacing w:before="0" w:after="0"/>
              <w:jc w:val="center"/>
              <w:rPr>
                <w:sz w:val="20"/>
                <w:szCs w:val="20"/>
              </w:rPr>
            </w:pPr>
            <w:r>
              <w:rPr>
                <w:kern w:val="0"/>
                <w:sz w:val="22"/>
                <w:szCs w:val="20"/>
                <w:lang w:val="ru-RU" w:bidi="ar-SA"/>
              </w:rPr>
            </w:r>
          </w:p>
        </w:tc>
      </w:tr>
      <w:tr>
        <w:trPr>
          <w:trHeight w:val="265" w:hRule="atLeast"/>
        </w:trPr>
        <w:tc>
          <w:tcPr>
            <w:tcW w:w="526" w:type="dxa"/>
            <w:tcBorders>
              <w:top w:val="nil"/>
            </w:tcBorders>
            <w:vAlign w:val="center"/>
          </w:tcPr>
          <w:p>
            <w:pPr>
              <w:pStyle w:val="Normal"/>
              <w:widowControl w:val="false"/>
              <w:suppressAutoHyphens w:val="true"/>
              <w:spacing w:before="0" w:after="0"/>
              <w:jc w:val="left"/>
              <w:rPr>
                <w:sz w:val="20"/>
                <w:szCs w:val="20"/>
              </w:rPr>
            </w:pPr>
            <w:r>
              <w:rPr>
                <w:kern w:val="0"/>
                <w:sz w:val="20"/>
                <w:szCs w:val="20"/>
                <w:lang w:val="ru-RU" w:bidi="ar-SA"/>
              </w:rPr>
              <w:t>2</w:t>
            </w:r>
          </w:p>
        </w:tc>
        <w:tc>
          <w:tcPr>
            <w:tcW w:w="2645" w:type="dxa"/>
            <w:tcBorders>
              <w:top w:val="nil"/>
            </w:tcBorders>
            <w:vAlign w:val="center"/>
          </w:tcPr>
          <w:p>
            <w:pPr>
              <w:pStyle w:val="Style18"/>
              <w:widowControl w:val="false"/>
              <w:numPr>
                <w:ilvl w:val="0"/>
                <w:numId w:val="0"/>
              </w:numPr>
              <w:suppressAutoHyphens w:val="true"/>
              <w:spacing w:before="0" w:after="0"/>
              <w:jc w:val="center"/>
              <w:outlineLvl w:val="0"/>
              <w:rPr>
                <w:b w:val="false"/>
                <w:b w:val="false"/>
                <w:bCs w:val="false"/>
                <w:kern w:val="0"/>
                <w:sz w:val="20"/>
                <w:szCs w:val="20"/>
                <w:shd w:fill="FFFFFF" w:val="clear"/>
                <w:lang w:val="ru-RU" w:bidi="ar-SA"/>
              </w:rPr>
            </w:pPr>
            <w:r>
              <w:rPr>
                <w:b w:val="false"/>
                <w:bCs w:val="false"/>
                <w:kern w:val="0"/>
                <w:sz w:val="20"/>
                <w:szCs w:val="20"/>
                <w:shd w:fill="FFFFFF" w:val="clear"/>
                <w:lang w:val="ru-RU" w:bidi="ar-SA"/>
              </w:rPr>
              <w:t xml:space="preserve">Баннер для стенда </w:t>
            </w:r>
            <w:r>
              <w:rPr>
                <w:b w:val="false"/>
                <w:bCs w:val="false"/>
                <w:kern w:val="0"/>
                <w:sz w:val="20"/>
                <w:szCs w:val="20"/>
                <w:shd w:fill="FFFFFF" w:val="clear"/>
                <w:lang w:val="en-US" w:bidi="ar-SA"/>
              </w:rPr>
              <w:t>Roll Up</w:t>
            </w:r>
          </w:p>
        </w:tc>
        <w:tc>
          <w:tcPr>
            <w:tcW w:w="1449" w:type="dxa"/>
            <w:tcBorders>
              <w:top w:val="nil"/>
              <w:right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r>
          </w:p>
        </w:tc>
        <w:tc>
          <w:tcPr>
            <w:tcW w:w="1416" w:type="dxa"/>
            <w:tcBorders>
              <w:top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t>штука</w:t>
            </w:r>
          </w:p>
        </w:tc>
        <w:tc>
          <w:tcPr>
            <w:tcW w:w="851"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t>4</w:t>
            </w:r>
          </w:p>
        </w:tc>
        <w:tc>
          <w:tcPr>
            <w:tcW w:w="852"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738"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5360" w:type="dxa"/>
            <w:tcBorders>
              <w:top w:val="nil"/>
            </w:tcBorders>
            <w:vAlign w:val="center"/>
          </w:tcPr>
          <w:p>
            <w:pPr>
              <w:pStyle w:val="Normal"/>
              <w:widowControl w:val="false"/>
              <w:suppressAutoHyphens w:val="true"/>
              <w:spacing w:before="0" w:after="0"/>
              <w:jc w:val="left"/>
              <w:rPr>
                <w:kern w:val="0"/>
                <w:sz w:val="20"/>
                <w:szCs w:val="20"/>
                <w:lang w:val="ru-RU" w:bidi="ar-SA"/>
              </w:rPr>
            </w:pPr>
            <w:r>
              <w:rPr>
                <w:kern w:val="0"/>
                <w:sz w:val="20"/>
                <w:szCs w:val="20"/>
                <w:lang w:val="ru-RU" w:bidi="ar-SA"/>
              </w:rPr>
              <w:t>- размер: 1м х 2м</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 плотность: не менее 520 гр/м2</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 обработка: обрезка в край</w:t>
            </w:r>
          </w:p>
        </w:tc>
        <w:tc>
          <w:tcPr>
            <w:tcW w:w="1460"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r>
      <w:tr>
        <w:trPr>
          <w:trHeight w:val="265" w:hRule="atLeast"/>
        </w:trPr>
        <w:tc>
          <w:tcPr>
            <w:tcW w:w="526" w:type="dxa"/>
            <w:tcBorders>
              <w:top w:val="nil"/>
            </w:tcBorders>
            <w:vAlign w:val="center"/>
          </w:tcPr>
          <w:p>
            <w:pPr>
              <w:pStyle w:val="Normal"/>
              <w:widowControl w:val="false"/>
              <w:suppressAutoHyphens w:val="true"/>
              <w:spacing w:before="0" w:after="0"/>
              <w:jc w:val="left"/>
              <w:rPr>
                <w:sz w:val="20"/>
                <w:szCs w:val="20"/>
              </w:rPr>
            </w:pPr>
            <w:r>
              <w:rPr>
                <w:kern w:val="0"/>
                <w:sz w:val="20"/>
                <w:szCs w:val="20"/>
                <w:lang w:val="ru-RU" w:bidi="ar-SA"/>
              </w:rPr>
              <w:t>3</w:t>
            </w:r>
          </w:p>
        </w:tc>
        <w:tc>
          <w:tcPr>
            <w:tcW w:w="2645" w:type="dxa"/>
            <w:tcBorders>
              <w:top w:val="nil"/>
            </w:tcBorders>
            <w:vAlign w:val="center"/>
          </w:tcPr>
          <w:p>
            <w:pPr>
              <w:pStyle w:val="Style18"/>
              <w:widowControl w:val="false"/>
              <w:numPr>
                <w:ilvl w:val="0"/>
                <w:numId w:val="0"/>
              </w:numPr>
              <w:suppressAutoHyphens w:val="true"/>
              <w:spacing w:before="0" w:after="0"/>
              <w:jc w:val="center"/>
              <w:outlineLvl w:val="0"/>
              <w:rPr>
                <w:b w:val="false"/>
                <w:b w:val="false"/>
                <w:bCs w:val="false"/>
                <w:kern w:val="0"/>
                <w:sz w:val="20"/>
                <w:szCs w:val="20"/>
                <w:shd w:fill="FFFFFF" w:val="clear"/>
                <w:lang w:val="ru-RU" w:bidi="ar-SA"/>
              </w:rPr>
            </w:pPr>
            <w:r>
              <w:rPr>
                <w:b w:val="false"/>
                <w:bCs w:val="false"/>
                <w:kern w:val="0"/>
                <w:sz w:val="20"/>
                <w:szCs w:val="20"/>
                <w:shd w:fill="FFFFFF" w:val="clear"/>
                <w:lang w:val="ru-RU" w:bidi="ar-SA"/>
              </w:rPr>
              <w:t xml:space="preserve">Флагшток парус </w:t>
            </w:r>
          </w:p>
        </w:tc>
        <w:tc>
          <w:tcPr>
            <w:tcW w:w="1449" w:type="dxa"/>
            <w:tcBorders>
              <w:top w:val="nil"/>
              <w:right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r>
          </w:p>
        </w:tc>
        <w:tc>
          <w:tcPr>
            <w:tcW w:w="1416" w:type="dxa"/>
            <w:tcBorders>
              <w:top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t>штука</w:t>
            </w:r>
          </w:p>
        </w:tc>
        <w:tc>
          <w:tcPr>
            <w:tcW w:w="851"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t>1</w:t>
            </w:r>
          </w:p>
        </w:tc>
        <w:tc>
          <w:tcPr>
            <w:tcW w:w="852"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738"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5360" w:type="dxa"/>
            <w:tcBorders>
              <w:top w:val="nil"/>
            </w:tcBorders>
            <w:vAlign w:val="center"/>
          </w:tcPr>
          <w:p>
            <w:pPr>
              <w:pStyle w:val="Normal"/>
              <w:widowControl w:val="false"/>
              <w:suppressAutoHyphens w:val="true"/>
              <w:spacing w:before="0" w:after="0"/>
              <w:jc w:val="left"/>
              <w:rPr>
                <w:kern w:val="0"/>
                <w:sz w:val="20"/>
                <w:szCs w:val="20"/>
                <w:lang w:val="ru-RU" w:bidi="ar-SA"/>
              </w:rPr>
            </w:pPr>
            <w:r>
              <w:rPr>
                <w:kern w:val="0"/>
                <w:sz w:val="20"/>
                <w:szCs w:val="20"/>
                <w:lang w:val="ru-RU" w:bidi="ar-SA"/>
              </w:rPr>
              <w:t>- размер: 2,5м (высота)</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 особенности: квадрат с плиткой</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40х40 "8 кирпичей"</w:t>
            </w:r>
          </w:p>
        </w:tc>
        <w:tc>
          <w:tcPr>
            <w:tcW w:w="1460"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r>
      <w:tr>
        <w:trPr>
          <w:trHeight w:val="265" w:hRule="atLeast"/>
        </w:trPr>
        <w:tc>
          <w:tcPr>
            <w:tcW w:w="526" w:type="dxa"/>
            <w:tcBorders>
              <w:top w:val="nil"/>
            </w:tcBorders>
            <w:vAlign w:val="center"/>
          </w:tcPr>
          <w:p>
            <w:pPr>
              <w:pStyle w:val="Normal"/>
              <w:widowControl w:val="false"/>
              <w:suppressAutoHyphens w:val="true"/>
              <w:spacing w:before="0" w:after="0"/>
              <w:jc w:val="left"/>
              <w:rPr>
                <w:sz w:val="20"/>
                <w:szCs w:val="20"/>
              </w:rPr>
            </w:pPr>
            <w:r>
              <w:rPr>
                <w:kern w:val="0"/>
                <w:sz w:val="20"/>
                <w:szCs w:val="20"/>
                <w:lang w:val="ru-RU" w:bidi="ar-SA"/>
              </w:rPr>
              <w:t>4</w:t>
            </w:r>
          </w:p>
        </w:tc>
        <w:tc>
          <w:tcPr>
            <w:tcW w:w="2645" w:type="dxa"/>
            <w:tcBorders>
              <w:top w:val="nil"/>
            </w:tcBorders>
            <w:vAlign w:val="center"/>
          </w:tcPr>
          <w:p>
            <w:pPr>
              <w:pStyle w:val="Style18"/>
              <w:widowControl w:val="false"/>
              <w:numPr>
                <w:ilvl w:val="0"/>
                <w:numId w:val="0"/>
              </w:numPr>
              <w:suppressAutoHyphens w:val="true"/>
              <w:spacing w:before="0" w:after="0"/>
              <w:jc w:val="center"/>
              <w:outlineLvl w:val="0"/>
              <w:rPr>
                <w:b w:val="false"/>
                <w:b w:val="false"/>
                <w:bCs w:val="false"/>
                <w:kern w:val="0"/>
                <w:sz w:val="20"/>
                <w:szCs w:val="20"/>
                <w:shd w:fill="FFFFFF" w:val="clear"/>
                <w:lang w:val="ru-RU" w:bidi="ar-SA"/>
              </w:rPr>
            </w:pPr>
            <w:r>
              <w:rPr>
                <w:b w:val="false"/>
                <w:bCs w:val="false"/>
                <w:kern w:val="0"/>
                <w:sz w:val="20"/>
                <w:szCs w:val="20"/>
                <w:shd w:fill="FFFFFF" w:val="clear"/>
                <w:lang w:val="ru-RU" w:bidi="ar-SA"/>
              </w:rPr>
              <w:t xml:space="preserve">Флаг-парус </w:t>
            </w:r>
          </w:p>
          <w:p>
            <w:pPr>
              <w:pStyle w:val="Style18"/>
              <w:widowControl w:val="false"/>
              <w:numPr>
                <w:ilvl w:val="0"/>
                <w:numId w:val="0"/>
              </w:numPr>
              <w:suppressAutoHyphens w:val="true"/>
              <w:spacing w:before="0" w:after="0"/>
              <w:jc w:val="center"/>
              <w:outlineLvl w:val="0"/>
              <w:rPr>
                <w:b w:val="false"/>
                <w:b w:val="false"/>
                <w:bCs w:val="false"/>
                <w:kern w:val="0"/>
                <w:sz w:val="20"/>
                <w:szCs w:val="20"/>
                <w:shd w:fill="FFFFFF" w:val="clear"/>
                <w:lang w:val="ru-RU" w:bidi="ar-SA"/>
              </w:rPr>
            </w:pPr>
            <w:r>
              <w:rPr>
                <w:b w:val="false"/>
                <w:bCs w:val="false"/>
                <w:kern w:val="0"/>
                <w:sz w:val="20"/>
                <w:szCs w:val="20"/>
                <w:shd w:fill="FFFFFF" w:val="clear"/>
                <w:lang w:val="ru-RU" w:bidi="ar-SA"/>
              </w:rPr>
            </w:r>
          </w:p>
        </w:tc>
        <w:tc>
          <w:tcPr>
            <w:tcW w:w="1449" w:type="dxa"/>
            <w:tcBorders>
              <w:top w:val="nil"/>
              <w:right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r>
          </w:p>
        </w:tc>
        <w:tc>
          <w:tcPr>
            <w:tcW w:w="1416" w:type="dxa"/>
            <w:tcBorders>
              <w:top w:val="nil"/>
            </w:tcBorders>
            <w:vAlign w:val="center"/>
          </w:tcPr>
          <w:p>
            <w:pPr>
              <w:pStyle w:val="Style18"/>
              <w:widowControl w:val="false"/>
              <w:suppressAutoHyphens w:val="true"/>
              <w:spacing w:before="0" w:after="0"/>
              <w:jc w:val="center"/>
              <w:rPr>
                <w:sz w:val="20"/>
                <w:szCs w:val="20"/>
              </w:rPr>
            </w:pPr>
            <w:r>
              <w:rPr>
                <w:kern w:val="0"/>
                <w:sz w:val="20"/>
                <w:szCs w:val="20"/>
                <w:lang w:val="ru-RU" w:bidi="ar-SA"/>
              </w:rPr>
              <w:t>штука</w:t>
            </w:r>
          </w:p>
        </w:tc>
        <w:tc>
          <w:tcPr>
            <w:tcW w:w="851"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t>1</w:t>
            </w:r>
          </w:p>
        </w:tc>
        <w:tc>
          <w:tcPr>
            <w:tcW w:w="852"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738"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c>
          <w:tcPr>
            <w:tcW w:w="5360" w:type="dxa"/>
            <w:tcBorders>
              <w:top w:val="nil"/>
            </w:tcBorders>
            <w:vAlign w:val="center"/>
          </w:tcPr>
          <w:p>
            <w:pPr>
              <w:pStyle w:val="Normal"/>
              <w:widowControl w:val="false"/>
              <w:suppressAutoHyphens w:val="true"/>
              <w:spacing w:before="0" w:after="0"/>
              <w:jc w:val="left"/>
              <w:rPr>
                <w:kern w:val="0"/>
                <w:sz w:val="20"/>
                <w:szCs w:val="20"/>
                <w:lang w:val="ru-RU" w:bidi="ar-SA"/>
              </w:rPr>
            </w:pPr>
            <w:r>
              <w:rPr>
                <w:kern w:val="0"/>
                <w:sz w:val="20"/>
                <w:szCs w:val="20"/>
                <w:lang w:val="ru-RU" w:bidi="ar-SA"/>
              </w:rPr>
              <w:t>- размер: 2 м. (высота) х 0,63 м (ширина)</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t>- материал: полиэфирный шелк</w:t>
            </w:r>
          </w:p>
        </w:tc>
        <w:tc>
          <w:tcPr>
            <w:tcW w:w="1460" w:type="dxa"/>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r>
          </w:p>
        </w:tc>
      </w:tr>
      <w:tr>
        <w:trPr>
          <w:trHeight w:val="502" w:hRule="atLeast"/>
        </w:trPr>
        <w:tc>
          <w:tcPr>
            <w:tcW w:w="13837" w:type="dxa"/>
            <w:gridSpan w:val="8"/>
            <w:tcBorders>
              <w:top w:val="nil"/>
            </w:tcBorders>
            <w:vAlign w:val="center"/>
          </w:tcPr>
          <w:p>
            <w:pPr>
              <w:pStyle w:val="Normal"/>
              <w:widowControl w:val="false"/>
              <w:suppressAutoHyphens w:val="true"/>
              <w:spacing w:before="0" w:after="0"/>
              <w:jc w:val="center"/>
              <w:rPr>
                <w:sz w:val="20"/>
                <w:szCs w:val="20"/>
              </w:rPr>
            </w:pPr>
            <w:r>
              <w:rPr>
                <w:kern w:val="0"/>
                <w:sz w:val="20"/>
                <w:szCs w:val="20"/>
                <w:lang w:val="ru-RU" w:bidi="ar-SA"/>
              </w:rPr>
              <w:t>ИТОГО</w:t>
            </w:r>
          </w:p>
        </w:tc>
        <w:tc>
          <w:tcPr>
            <w:tcW w:w="1460" w:type="dxa"/>
            <w:tcBorders>
              <w:top w:val="nil"/>
            </w:tcBorders>
            <w:vAlign w:val="center"/>
          </w:tcPr>
          <w:p>
            <w:pPr>
              <w:pStyle w:val="Normal"/>
              <w:widowControl w:val="false"/>
              <w:suppressAutoHyphens w:val="true"/>
              <w:spacing w:before="0" w:after="0"/>
              <w:jc w:val="left"/>
              <w:rPr>
                <w:sz w:val="20"/>
                <w:szCs w:val="20"/>
              </w:rPr>
            </w:pPr>
            <w:r>
              <w:rPr>
                <w:kern w:val="0"/>
                <w:sz w:val="22"/>
                <w:szCs w:val="20"/>
                <w:lang w:val="ru-RU" w:bidi="ar-SA"/>
              </w:rPr>
            </w:r>
          </w:p>
        </w:tc>
      </w:tr>
    </w:tbl>
    <w:p>
      <w:pPr>
        <w:pStyle w:val="Normal"/>
        <w:rPr>
          <w:b/>
          <w:b/>
          <w:sz w:val="20"/>
          <w:szCs w:val="20"/>
        </w:rPr>
      </w:pPr>
      <w:r>
        <w:rPr>
          <w:sz w:val="20"/>
          <w:szCs w:val="20"/>
        </w:rPr>
        <w:t>*заполняется по итогу проведения закупки в соответствии с заявкой участника</w:t>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1"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bookmarkStart w:id="0" w:name="_GoBack"/>
            <w:bookmarkStart w:id="1" w:name="_GoBack1"/>
            <w:bookmarkStart w:id="2" w:name="_GoBack"/>
            <w:bookmarkStart w:id="3" w:name="_GoBack1"/>
            <w:bookmarkEnd w:id="2"/>
            <w:bookmarkEnd w:id="3"/>
          </w:p>
        </w:tc>
      </w:tr>
    </w:tbl>
    <w:p>
      <w:pPr>
        <w:sectPr>
          <w:footerReference w:type="default" r:id="rId5"/>
          <w:type w:val="nextPage"/>
          <w:pgSz w:orient="landscape" w:w="16838" w:h="11906"/>
          <w:pgMar w:left="1134" w:right="1134" w:gutter="0" w:header="0" w:top="709" w:footer="709" w:bottom="851"/>
          <w:pgNumType w:fmt="decimal"/>
          <w:formProt w:val="false"/>
          <w:textDirection w:val="lrTb"/>
          <w:docGrid w:type="default" w:linePitch="360" w:charSpace="0"/>
        </w:sectPr>
      </w:pPr>
    </w:p>
    <w:p>
      <w:pPr>
        <w:pStyle w:val="Normal"/>
        <w:spacing w:lineRule="auto" w:line="259" w:before="0" w:after="160"/>
        <w:contextualSpacing/>
        <w:jc w:val="right"/>
        <w:rPr/>
      </w:pPr>
      <w:bookmarkStart w:id="4" w:name="_GoBack2"/>
      <w:bookmarkStart w:id="5" w:name="_GoBack11"/>
      <w:bookmarkEnd w:id="4"/>
      <w:bookmarkEnd w:id="5"/>
      <w:r>
        <w:rPr/>
        <w:t>Приложение № 2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_______202</w:t>
      </w:r>
      <w:r>
        <w:rPr>
          <w:rFonts w:cs="Times New Roman" w:ascii="Times New Roman" w:hAnsi="Times New Roman"/>
          <w:sz w:val="24"/>
          <w:szCs w:val="24"/>
        </w:rPr>
        <w:t>6</w:t>
      </w:r>
      <w:r>
        <w:rPr>
          <w:rFonts w:cs="Times New Roman" w:ascii="Times New Roman" w:hAnsi="Times New Roman"/>
          <w:sz w:val="24"/>
          <w:szCs w:val="24"/>
        </w:rPr>
        <w:t xml:space="preserve">  № _______</w:t>
      </w:r>
    </w:p>
    <w:p>
      <w:pPr>
        <w:pStyle w:val="Normal"/>
        <w:jc w:val="right"/>
        <w:rPr/>
      </w:pPr>
      <w:r>
        <w:rPr/>
      </w:r>
    </w:p>
    <w:p>
      <w:pPr>
        <w:pStyle w:val="Normal"/>
        <w:jc w:val="center"/>
        <w:rPr>
          <w:b/>
          <w:b/>
        </w:rPr>
      </w:pPr>
      <w:r>
        <w:rPr>
          <w:b/>
        </w:rPr>
        <w:t>Техническое задание</w:t>
      </w:r>
    </w:p>
    <w:p>
      <w:pPr>
        <w:pStyle w:val="Normal"/>
        <w:jc w:val="both"/>
        <w:rPr/>
      </w:pPr>
      <w:r>
        <w:rPr/>
        <w:t xml:space="preserve"> </w:t>
      </w:r>
    </w:p>
    <w:p>
      <w:pPr>
        <w:pStyle w:val="Normal"/>
        <w:jc w:val="both"/>
        <w:rPr/>
      </w:pPr>
      <w:r>
        <w:rPr/>
        <w:t>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w:t>
      </w:r>
      <w:r>
        <w:rPr>
          <w:shd w:fill="auto" w:val="clear"/>
        </w:rPr>
        <w:t xml:space="preserve">ть упаковку, предотвращающую его порчу при транспортировке. </w:t>
      </w:r>
    </w:p>
    <w:p>
      <w:pPr>
        <w:pStyle w:val="Normal"/>
        <w:jc w:val="both"/>
        <w:rPr>
          <w:highlight w:val="none"/>
          <w:shd w:fill="auto" w:val="clear"/>
        </w:rPr>
      </w:pPr>
      <w:r>
        <w:rPr>
          <w:shd w:fill="auto" w:val="clear"/>
        </w:rPr>
        <w:t>2. Адрес поставки: г. Санкт-Петербург, вн.тер.г. муниципальный округ Южно-Приморский, ул Рихарда Зорге, д.1 литера А</w:t>
      </w:r>
    </w:p>
    <w:p>
      <w:pPr>
        <w:pStyle w:val="Normal"/>
        <w:jc w:val="both"/>
        <w:rPr/>
      </w:pPr>
      <w:r>
        <w:rPr/>
        <w:t>3. Сопроводительные документы: Товарная (товарно-транспортная) накладная, счет, счет-фактура (если Поставщик является плательщиком НДС)</w:t>
      </w:r>
    </w:p>
    <w:p>
      <w:pPr>
        <w:pStyle w:val="Normal"/>
        <w:jc w:val="both"/>
        <w:rPr>
          <w:b/>
          <w:b/>
          <w:shd w:fill="FFFFFF" w:val="clear"/>
        </w:rPr>
      </w:pPr>
      <w:r>
        <w:rPr/>
        <w:t xml:space="preserve">4. </w:t>
      </w:r>
      <w:r>
        <w:rPr>
          <w:b/>
        </w:rPr>
        <w:t>Срок постав</w:t>
      </w:r>
      <w:r>
        <w:rPr>
          <w:b/>
          <w:shd w:fill="FFFFFF" w:val="clear"/>
        </w:rPr>
        <w:t>ки:в течение 1 дня рабочего с момента заключения контракта.</w:t>
      </w:r>
    </w:p>
    <w:p>
      <w:pPr>
        <w:pStyle w:val="Normal"/>
        <w:jc w:val="both"/>
        <w:rPr/>
      </w:pPr>
      <w:r>
        <w:rPr/>
        <w:t>5</w:t>
      </w:r>
      <w:r>
        <w:rPr/>
        <w:t>. Порядок приемки: В соответствии с Контрактом</w:t>
      </w:r>
    </w:p>
    <w:p>
      <w:pPr>
        <w:pStyle w:val="Normal"/>
        <w:jc w:val="both"/>
        <w:rPr/>
      </w:pPr>
      <w:r>
        <w:rPr/>
        <w:t>6</w:t>
      </w:r>
      <w:r>
        <w:rPr/>
        <w:t>. Документ о приемке: Акт приема-передачи Товара</w:t>
      </w:r>
    </w:p>
    <w:p>
      <w:pPr>
        <w:pStyle w:val="Normal"/>
        <w:jc w:val="both"/>
        <w:rPr/>
      </w:pPr>
      <w:r>
        <w:rPr/>
        <w:t>7.</w:t>
      </w:r>
      <w:r>
        <w:rPr/>
        <w:t xml:space="preserve"> Срок приемки: в течение 5 рабочих дней.</w:t>
      </w:r>
    </w:p>
    <w:p>
      <w:pPr>
        <w:pStyle w:val="Normal"/>
        <w:jc w:val="both"/>
        <w:rPr/>
      </w:pPr>
      <w:r>
        <w:rPr/>
        <w:t>8</w:t>
      </w:r>
      <w:r>
        <w:rPr/>
        <w:t>. Срок замены некачественного Товара: не более 5 рабочих дней.</w:t>
      </w:r>
    </w:p>
    <w:p>
      <w:pPr>
        <w:pStyle w:val="Normal"/>
        <w:jc w:val="both"/>
        <w:rPr/>
      </w:pPr>
      <w:r>
        <w:rPr/>
        <w:t>9</w:t>
      </w:r>
      <w:r>
        <w:rPr/>
        <w:t>. Срок полезного использования товара по назначению: не менее 12 месяцев.</w:t>
      </w:r>
    </w:p>
    <w:p>
      <w:pPr>
        <w:pStyle w:val="Normal"/>
        <w:jc w:val="both"/>
        <w:rPr/>
      </w:pPr>
      <w:r>
        <w:rPr/>
      </w:r>
    </w:p>
    <w:p>
      <w:pPr>
        <w:pStyle w:val="Normal"/>
        <w:jc w:val="both"/>
        <w:rPr/>
      </w:pPr>
      <w:r>
        <w:rPr/>
      </w:r>
    </w:p>
    <w:p>
      <w:pPr>
        <w:pStyle w:val="Normal"/>
        <w:jc w:val="both"/>
        <w:rPr/>
      </w:pPr>
      <w:r>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pPr>
            <w:r>
              <w:rPr/>
              <w:t>От Заказчика:</w:t>
            </w:r>
          </w:p>
          <w:p>
            <w:pPr>
              <w:pStyle w:val="Normal"/>
              <w:widowControl w:val="false"/>
              <w:jc w:val="both"/>
              <w:rPr/>
            </w:pPr>
            <w:r>
              <w:rPr/>
              <w:t>Главный врач</w:t>
            </w:r>
          </w:p>
          <w:p>
            <w:pPr>
              <w:pStyle w:val="Normal"/>
              <w:widowControl w:val="false"/>
              <w:jc w:val="both"/>
              <w:rPr/>
            </w:pPr>
            <w:r>
              <w:rPr/>
              <w:t>СПб ГБУЗ «Городская поликлиника № 106»</w:t>
            </w:r>
          </w:p>
          <w:p>
            <w:pPr>
              <w:pStyle w:val="Normal"/>
              <w:widowControl w:val="false"/>
              <w:jc w:val="both"/>
              <w:rPr/>
            </w:pPr>
            <w:r>
              <w:rPr/>
              <w:t>В.Г. Кунин</w:t>
            </w:r>
          </w:p>
        </w:tc>
        <w:tc>
          <w:tcPr>
            <w:tcW w:w="4891" w:type="dxa"/>
            <w:tcBorders/>
            <w:shd w:color="auto" w:fill="auto" w:val="clear"/>
          </w:tcPr>
          <w:p>
            <w:pPr>
              <w:pStyle w:val="Normal"/>
              <w:widowControl w:val="false"/>
              <w:rPr/>
            </w:pPr>
            <w:r>
              <w:rPr/>
              <w:t>От Поставщика</w:t>
            </w:r>
          </w:p>
          <w:p>
            <w:pPr>
              <w:pStyle w:val="Normal"/>
              <w:widowControl w:val="false"/>
              <w:rPr>
                <w:sz w:val="20"/>
              </w:rPr>
            </w:pPr>
            <w:r>
              <w:rPr>
                <w:sz w:val="20"/>
              </w:rPr>
            </w:r>
          </w:p>
        </w:tc>
      </w:tr>
    </w:tbl>
    <w:p>
      <w:pPr>
        <w:pStyle w:val="Normal"/>
        <w:spacing w:lineRule="auto" w:line="259" w:before="0" w:after="160"/>
        <w:contextualSpacing/>
        <w:rPr/>
      </w:pPr>
      <w:r>
        <w:rPr/>
      </w:r>
    </w:p>
    <w:p>
      <w:pPr>
        <w:pStyle w:val="Normal"/>
        <w:jc w:val="both"/>
        <w:rPr/>
      </w:pPr>
      <w:r>
        <w:rPr/>
      </w:r>
      <w:bookmarkStart w:id="6" w:name="_GoBack111"/>
      <w:bookmarkStart w:id="7" w:name="_GoBack111"/>
      <w:bookmarkEnd w:id="7"/>
    </w:p>
    <w:p>
      <w:pPr>
        <w:pStyle w:val="Normal"/>
        <w:jc w:val="both"/>
        <w:rPr/>
      </w:pPr>
      <w:r>
        <w:rPr/>
      </w:r>
    </w:p>
    <w:sectPr>
      <w:footerReference w:type="default" r:id="rId6"/>
      <w:type w:val="nextPage"/>
      <w:pgSz w:w="11906" w:h="16838"/>
      <w:pgMar w:left="709" w:right="851"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33981411"/>
    </w:sdtPr>
    <w:sdtContent>
      <w:p>
        <w:pPr>
          <w:pStyle w:val="Style24"/>
          <w:jc w:val="right"/>
          <w:rPr/>
        </w:pPr>
        <w:r>
          <w:rPr/>
          <w:fldChar w:fldCharType="begin"/>
        </w:r>
        <w:r>
          <w:rPr/>
          <w:instrText xml:space="preserve"> PAGE </w:instrText>
        </w:r>
        <w:r>
          <w:rPr/>
          <w:fldChar w:fldCharType="separate"/>
        </w:r>
        <w:r>
          <w:rPr/>
          <w:t>7</w:t>
        </w:r>
        <w:r>
          <w:rPr/>
          <w:fldChar w:fldCharType="end"/>
        </w:r>
      </w:p>
      <w:p>
        <w:pPr>
          <w:pStyle w:val="Style24"/>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6938170"/>
    </w:sdtPr>
    <w:sdtContent>
      <w:p>
        <w:pPr>
          <w:pStyle w:val="Style24"/>
          <w:jc w:val="right"/>
          <w:rPr/>
        </w:pPr>
        <w:r>
          <w:rPr/>
          <w:fldChar w:fldCharType="begin"/>
        </w:r>
        <w:r>
          <w:rPr/>
          <w:instrText xml:space="preserve"> PAGE </w:instrText>
        </w:r>
        <w:r>
          <w:rPr/>
          <w:fldChar w:fldCharType="separate"/>
        </w:r>
        <w:r>
          <w:rPr/>
          <w:t>8</w:t>
        </w:r>
        <w:r>
          <w:rPr/>
          <w:fldChar w:fldCharType="end"/>
        </w:r>
      </w:p>
      <w:p>
        <w:pPr>
          <w:pStyle w:val="Style24"/>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95849121"/>
    </w:sdtPr>
    <w:sdtContent>
      <w:p>
        <w:pPr>
          <w:pStyle w:val="Style24"/>
          <w:jc w:val="right"/>
          <w:rPr/>
        </w:pPr>
        <w:r>
          <w:rPr/>
          <w:fldChar w:fldCharType="begin"/>
        </w:r>
        <w:r>
          <w:rPr/>
          <w:instrText xml:space="preserve"> PAGE </w:instrText>
        </w:r>
        <w:r>
          <w:rPr/>
          <w:fldChar w:fldCharType="separate"/>
        </w:r>
        <w:r>
          <w:rPr/>
          <w:t>9</w:t>
        </w:r>
        <w:r>
          <w:rPr/>
          <w:fldChar w:fldCharType="end"/>
        </w:r>
      </w:p>
      <w:p>
        <w:pPr>
          <w:pStyle w:val="Style24"/>
          <w:rPr/>
        </w:pPr>
        <w:r>
          <w:rPr/>
        </w:r>
      </w:p>
    </w:sdtContent>
  </w:sdt>
</w:ft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eastAsia="ru-RU" w:val="ru-RU" w:bidi="ar-SA"/>
    </w:rPr>
  </w:style>
  <w:style w:type="paragraph" w:styleId="1" w:customStyle="1">
    <w:name w:val="Heading 1"/>
    <w:basedOn w:val="Normal"/>
    <w:next w:val="Style18"/>
    <w:qFormat/>
    <w:rsid w:val="00335c1e"/>
    <w:pPr>
      <w:keepNext w:val="true"/>
      <w:spacing w:before="240" w:after="120"/>
      <w:outlineLvl w:val="0"/>
    </w:pPr>
    <w:rPr>
      <w:rFonts w:ascii="Liberation Serif" w:hAnsi="Liberation Serif" w:eastAsia="Segoe UI" w:cs="Tahoma"/>
      <w:b/>
      <w:bCs/>
      <w:kern w:val="2"/>
      <w:sz w:val="48"/>
      <w:szCs w:val="48"/>
      <w:lang w:eastAsia="zh-CN" w:bidi="hi-IN"/>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4" w:customStyle="1">
    <w:name w:val="Ниж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5">
    <w:name w:val="Hyperlink"/>
    <w:rsid w:val="00c141e1"/>
    <w:rPr>
      <w:rFonts w:cs="Times New Roman"/>
      <w:color w:val="0000FF"/>
      <w:u w:val="single"/>
    </w:rPr>
  </w:style>
  <w:style w:type="character" w:styleId="Style16" w:customStyle="1">
    <w:name w:val="Текст выноски Знак"/>
    <w:basedOn w:val="DefaultParagraphFont"/>
    <w:link w:val="BalloonText"/>
    <w:uiPriority w:val="99"/>
    <w:semiHidden/>
    <w:qFormat/>
    <w:rsid w:val="00f72d0f"/>
    <w:rPr>
      <w:rFonts w:ascii="Tahoma" w:hAnsi="Tahoma" w:eastAsia="Times New Roman" w:cs="Tahoma"/>
      <w:sz w:val="16"/>
      <w:szCs w:val="16"/>
      <w:lang w:eastAsia="ru-RU"/>
    </w:rPr>
  </w:style>
  <w:style w:type="paragraph" w:styleId="Style17" w:customStyle="1">
    <w:name w:val="Заголовок"/>
    <w:basedOn w:val="Normal"/>
    <w:next w:val="Style18"/>
    <w:qFormat/>
    <w:rsid w:val="00335c1e"/>
    <w:pPr>
      <w:keepNext w:val="true"/>
      <w:spacing w:before="240" w:after="120"/>
    </w:pPr>
    <w:rPr>
      <w:rFonts w:ascii="Liberation Sans" w:hAnsi="Liberation Sans" w:eastAsia="Microsoft YaHei" w:cs="Arial Unicode MS"/>
      <w:sz w:val="28"/>
      <w:szCs w:val="28"/>
    </w:rPr>
  </w:style>
  <w:style w:type="paragraph" w:styleId="Style18">
    <w:name w:val="Body Text"/>
    <w:basedOn w:val="Normal"/>
    <w:rsid w:val="00335c1e"/>
    <w:pPr>
      <w:spacing w:lineRule="auto" w:line="276" w:before="0" w:after="140"/>
    </w:pPr>
    <w:rPr/>
  </w:style>
  <w:style w:type="paragraph" w:styleId="Style19">
    <w:name w:val="List"/>
    <w:basedOn w:val="Style18"/>
    <w:rsid w:val="00335c1e"/>
    <w:pPr/>
    <w:rPr>
      <w:rFonts w:cs="Arial Unicode MS"/>
    </w:rPr>
  </w:style>
  <w:style w:type="paragraph" w:styleId="Style20" w:customStyle="1">
    <w:name w:val="Caption"/>
    <w:basedOn w:val="Normal"/>
    <w:qFormat/>
    <w:rsid w:val="00335c1e"/>
    <w:pPr>
      <w:suppressLineNumbers/>
      <w:spacing w:before="120" w:after="120"/>
    </w:pPr>
    <w:rPr>
      <w:rFonts w:cs="Arial Unicode MS"/>
      <w:i/>
      <w:iCs/>
    </w:rPr>
  </w:style>
  <w:style w:type="paragraph" w:styleId="Style21">
    <w:name w:val="Указатель"/>
    <w:basedOn w:val="Normal"/>
    <w:qFormat/>
    <w:pPr>
      <w:suppressLineNumbers/>
    </w:pPr>
    <w:rPr>
      <w:rFonts w:cs="Arial Unicode MS"/>
      <w:lang w:val="zxx" w:eastAsia="zxx" w:bidi="zxx"/>
    </w:rPr>
  </w:style>
  <w:style w:type="paragraph" w:styleId="Indexheading">
    <w:name w:val="index heading"/>
    <w:basedOn w:val="Normal"/>
    <w:qFormat/>
    <w:rsid w:val="00335c1e"/>
    <w:pPr>
      <w:suppressLineNumbers/>
    </w:pPr>
    <w:rPr>
      <w:rFonts w:cs="Arial Unicode MS"/>
    </w:rPr>
  </w:style>
  <w:style w:type="paragraph" w:styleId="ListParagraph">
    <w:name w:val="List Paragraph"/>
    <w:basedOn w:val="Normal"/>
    <w:uiPriority w:val="34"/>
    <w:qFormat/>
    <w:rsid w:val="00794920"/>
    <w:pPr>
      <w:spacing w:lineRule="auto" w:line="259" w:before="0" w:after="16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Style22" w:customStyle="1">
    <w:name w:val="Колонтитул"/>
    <w:basedOn w:val="Normal"/>
    <w:qFormat/>
    <w:rsid w:val="00335c1e"/>
    <w:pPr/>
    <w:rPr/>
  </w:style>
  <w:style w:type="paragraph" w:styleId="Style23" w:customStyle="1">
    <w:name w:val="Header"/>
    <w:basedOn w:val="Normal"/>
    <w:link w:val="Style13"/>
    <w:uiPriority w:val="99"/>
    <w:unhideWhenUsed/>
    <w:rsid w:val="00c55e72"/>
    <w:pPr>
      <w:tabs>
        <w:tab w:val="clear" w:pos="708"/>
        <w:tab w:val="center" w:pos="4677" w:leader="none"/>
        <w:tab w:val="right" w:pos="9355" w:leader="none"/>
      </w:tabs>
    </w:pPr>
    <w:rPr/>
  </w:style>
  <w:style w:type="paragraph" w:styleId="Style24" w:customStyle="1">
    <w:name w:val="Footer"/>
    <w:basedOn w:val="Normal"/>
    <w:link w:val="Style14"/>
    <w:uiPriority w:val="99"/>
    <w:unhideWhenUsed/>
    <w:rsid w:val="00c55e72"/>
    <w:pPr>
      <w:tabs>
        <w:tab w:val="clear" w:pos="708"/>
        <w:tab w:val="center" w:pos="4677" w:leader="none"/>
        <w:tab w:val="right" w:pos="9355" w:leader="none"/>
      </w:tabs>
    </w:pPr>
    <w:rPr/>
  </w:style>
  <w:style w:type="paragraph" w:styleId="BalloonText">
    <w:name w:val="Balloon Text"/>
    <w:basedOn w:val="Normal"/>
    <w:link w:val="Style16"/>
    <w:uiPriority w:val="99"/>
    <w:semiHidden/>
    <w:unhideWhenUsed/>
    <w:qFormat/>
    <w:rsid w:val="00f72d0f"/>
    <w:pPr/>
    <w:rPr>
      <w:rFonts w:ascii="Tahoma" w:hAnsi="Tahoma" w:cs="Tahoma"/>
      <w:sz w:val="16"/>
      <w:szCs w:val="16"/>
    </w:rPr>
  </w:style>
  <w:style w:type="paragraph" w:styleId="Style25" w:customStyle="1">
    <w:name w:val="Содержимое таблицы"/>
    <w:basedOn w:val="Normal"/>
    <w:qFormat/>
    <w:rsid w:val="00335c1e"/>
    <w:pPr>
      <w:widowControl w:val="false"/>
      <w:suppressLineNumbers/>
    </w:pPr>
    <w:rPr/>
  </w:style>
  <w:style w:type="paragraph" w:styleId="Style26" w:customStyle="1">
    <w:name w:val="Заголовок таблицы"/>
    <w:basedOn w:val="Style25"/>
    <w:qFormat/>
    <w:rsid w:val="00335c1e"/>
    <w:pPr>
      <w:jc w:val="center"/>
    </w:pPr>
    <w:rPr>
      <w:b/>
      <w:bCs/>
    </w:rPr>
  </w:style>
  <w:style w:type="paragraph" w:styleId="11">
    <w:name w:val="Обычный1"/>
    <w:qFormat/>
    <w:pPr>
      <w:widowControl/>
      <w:tabs>
        <w:tab w:val="left" w:pos="708" w:leader="none"/>
      </w:tabs>
      <w:suppressAutoHyphens w:val="true"/>
      <w:bidi w:val="0"/>
      <w:spacing w:lineRule="atLeast" w:line="100" w:before="0" w:after="0"/>
      <w:jc w:val="left"/>
    </w:pPr>
    <w:rPr>
      <w:rFonts w:eastAsia="Calibri" w:ascii="Calibri" w:hAnsi="Calibri" w:cs="" w:asciiTheme="minorHAnsi" w:cstheme="minorBidi" w:eastAsiaTheme="minorHAnsi" w:hAnsiTheme="minorHAnsi"/>
      <w:color w:val="auto"/>
      <w:kern w:val="0"/>
      <w:sz w:val="24"/>
      <w:szCs w:val="24"/>
      <w:lang w:eastAsia="ar-SA" w:val="ru-RU"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0">
    <w:name w:val="Table Grid"/>
    <w:basedOn w:val="a1"/>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dTable1Light">
    <w:name w:val="Grid Table 1 Light"/>
    <w:basedOn w:val="a1"/>
    <w:uiPriority w:val="46"/>
    <w:rsid w:val="004b7622"/>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z@p106.org.ru" TargetMode="External"/><Relationship Id="rId3" Type="http://schemas.openxmlformats.org/officeDocument/2006/relationships/hyperlink" Target="mailto:p106@zdrav.spb.r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927D2-AB6C-4A95-B333-34EC561A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LibreOffice/7.4.2.3$Windows_X86_64 LibreOffice_project/382eef1f22670f7f4118c8c2dd222ec7ad009daf</Application>
  <AppVersion>15.0000</AppVersion>
  <Pages>9</Pages>
  <Words>3302</Words>
  <Characters>23058</Characters>
  <CharactersWithSpaces>26278</CharactersWithSpaces>
  <Paragraphs>211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2025-08-18T08:39:00Z</dcterms:created>
  <dc:creator>Сергеев Алексей Борисович</dc:creator>
  <dc:description/>
  <dc:language>ru-RU</dc:language>
  <cp:lastModifiedBy/>
  <dcterms:modified xsi:type="dcterms:W3CDTF">2026-07-02T13:51:28Z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