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t>В настоящей закупке установлены требования к участнику закупки.</w:t>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ind w:firstLine="708"/>
        <w:jc w:val="both"/>
        <w:rPr>
          <w:rFonts w:ascii="Times New Roman" w:hAnsi="Times New Roman"/>
          <w:b/>
          <w:bCs/>
          <w:sz w:val="24"/>
          <w:szCs w:val="24"/>
        </w:rPr>
      </w:pPr>
      <w:r>
        <w:rPr>
          <w:rFonts w:ascii="Times New Roman" w:hAnsi="Times New Roman"/>
          <w:b/>
          <w:bCs/>
          <w:sz w:val="24"/>
          <w:szCs w:val="24"/>
        </w:rPr>
        <w:t>Подавая оферту, Участник закупки подтверждает соответствие указанным требованиям.</w:t>
      </w:r>
    </w:p>
    <w:p>
      <w:pPr>
        <w:pStyle w:val="Normal"/>
        <w:keepNext w:val="true"/>
        <w:keepLines/>
        <w:spacing w:lineRule="auto" w:line="240" w:before="0" w:after="0"/>
        <w:ind w:firstLine="708"/>
        <w:jc w:val="both"/>
        <w:rPr>
          <w:rFonts w:ascii="Times New Roman" w:hAnsi="Times New Roman"/>
          <w:bCs/>
          <w:sz w:val="24"/>
          <w:szCs w:val="24"/>
        </w:rPr>
      </w:pPr>
      <w:r>
        <w:rPr>
          <w:rFonts w:ascii="Times New Roman" w:hAnsi="Times New Roman"/>
          <w:b/>
          <w:bCs/>
          <w:sz w:val="24"/>
          <w:szCs w:val="24"/>
        </w:rPr>
        <w:t>При выявлении несоответствия участника указанным требованиям, заявка подлежит отклонению</w:t>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t>Требование к участнику закупки</w:t>
      </w:r>
    </w:p>
    <w:p>
      <w:pPr>
        <w:pStyle w:val="Normal"/>
        <w:keepNext w:val="true"/>
        <w:keepLines/>
        <w:spacing w:lineRule="auto" w:line="240" w:before="0" w:after="0"/>
        <w:jc w:val="center"/>
        <w:rPr>
          <w:rFonts w:ascii="Times New Roman" w:hAnsi="Times New Roman"/>
          <w:b/>
          <w:bCs/>
          <w:sz w:val="24"/>
          <w:szCs w:val="24"/>
        </w:rPr>
      </w:pPr>
      <w:r>
        <w:rPr>
          <w:rFonts w:ascii="Times New Roman" w:hAnsi="Times New Roman"/>
          <w:b/>
          <w:bCs/>
          <w:sz w:val="24"/>
          <w:szCs w:val="24"/>
        </w:rPr>
      </w:r>
    </w:p>
    <w:p>
      <w:pPr>
        <w:pStyle w:val="ListParagraph"/>
        <w:numPr>
          <w:ilvl w:val="1"/>
          <w:numId w:val="1"/>
        </w:numPr>
        <w:tabs>
          <w:tab w:val="clear" w:pos="708"/>
          <w:tab w:val="left" w:pos="0" w:leader="none"/>
        </w:tabs>
        <w:spacing w:lineRule="auto" w:line="240" w:before="0" w:after="0"/>
        <w:ind w:firstLine="65" w:left="31"/>
        <w:contextualSpacing/>
        <w:jc w:val="both"/>
        <w:rPr>
          <w:rFonts w:ascii="Times New Roman" w:hAnsi="Times New Roman"/>
          <w:sz w:val="24"/>
          <w:szCs w:val="24"/>
        </w:rPr>
      </w:pPr>
      <w:r>
        <w:rPr>
          <w:rFonts w:ascii="Times New Roman" w:hAnsi="Times New Roman"/>
          <w:sz w:val="24"/>
          <w:szCs w:val="24"/>
        </w:rPr>
        <w:t xml:space="preserve">Соответствие </w:t>
      </w:r>
      <w:hyperlink r:id="rId2">
        <w:r>
          <w:rPr>
            <w:rStyle w:val="Style7"/>
            <w:rFonts w:ascii="Times New Roman" w:hAnsi="Times New Roman"/>
            <w:sz w:val="24"/>
            <w:szCs w:val="24"/>
          </w:rPr>
          <w:t>требованиям</w:t>
        </w:r>
      </w:hyperlink>
      <w:r>
        <w:rPr>
          <w:rFonts w:ascii="Times New Roman" w:hAnsi="Times New Roman"/>
          <w:sz w:val="24"/>
          <w:szCs w:val="24"/>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ListParagraph"/>
        <w:numPr>
          <w:ilvl w:val="1"/>
          <w:numId w:val="1"/>
        </w:numPr>
        <w:tabs>
          <w:tab w:val="clear" w:pos="708"/>
          <w:tab w:val="left" w:pos="0" w:leader="none"/>
        </w:tabs>
        <w:spacing w:lineRule="auto" w:line="240" w:before="0" w:after="0"/>
        <w:ind w:firstLine="65" w:left="31"/>
        <w:contextualSpacing/>
        <w:jc w:val="both"/>
        <w:rPr>
          <w:rFonts w:ascii="Times New Roman" w:hAnsi="Times New Roman"/>
          <w:sz w:val="24"/>
          <w:szCs w:val="24"/>
        </w:rPr>
      </w:pPr>
      <w:r>
        <w:rPr>
          <w:rFonts w:ascii="Times New Roman" w:hAnsi="Times New Roman"/>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ListParagraph"/>
        <w:numPr>
          <w:ilvl w:val="1"/>
          <w:numId w:val="1"/>
        </w:numPr>
        <w:tabs>
          <w:tab w:val="clear" w:pos="708"/>
          <w:tab w:val="left" w:pos="0" w:leader="none"/>
        </w:tabs>
        <w:spacing w:lineRule="auto" w:line="240" w:before="0" w:after="0"/>
        <w:ind w:hanging="0" w:left="31"/>
        <w:contextualSpacing/>
        <w:jc w:val="both"/>
        <w:rPr>
          <w:rFonts w:ascii="Times New Roman" w:hAnsi="Times New Roman"/>
          <w:sz w:val="24"/>
          <w:szCs w:val="24"/>
          <w:lang w:eastAsia="en-US"/>
        </w:rPr>
      </w:pPr>
      <w:r>
        <w:rPr>
          <w:rFonts w:ascii="Times New Roman" w:hAnsi="Times New Roman"/>
          <w:sz w:val="24"/>
          <w:szCs w:val="24"/>
        </w:rPr>
        <w:t xml:space="preserve">Неприостановление деятельности участника закупки в порядке, установленном </w:t>
      </w:r>
      <w:hyperlink r:id="rId3">
        <w:r>
          <w:rPr>
            <w:rStyle w:val="Style7"/>
            <w:rFonts w:ascii="Times New Roman" w:hAnsi="Times New Roman"/>
            <w:sz w:val="24"/>
            <w:szCs w:val="24"/>
          </w:rPr>
          <w:t>Кодексом</w:t>
        </w:r>
      </w:hyperlink>
      <w:r>
        <w:rPr>
          <w:rFonts w:ascii="Times New Roman" w:hAnsi="Times New Roman"/>
          <w:sz w:val="24"/>
          <w:szCs w:val="24"/>
        </w:rPr>
        <w:t xml:space="preserve"> Российской Федерации об административных правонарушениях, на дату подачи заявки на участие в закупке;</w:t>
      </w:r>
    </w:p>
    <w:p>
      <w:pPr>
        <w:pStyle w:val="ListParagraph"/>
        <w:numPr>
          <w:ilvl w:val="1"/>
          <w:numId w:val="1"/>
        </w:numPr>
        <w:tabs>
          <w:tab w:val="clear" w:pos="708"/>
          <w:tab w:val="left" w:pos="0" w:leader="none"/>
        </w:tabs>
        <w:spacing w:lineRule="auto" w:line="240" w:before="0" w:after="0"/>
        <w:ind w:hanging="0" w:left="31"/>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4">
        <w:r>
          <w:rPr>
            <w:rStyle w:val="Style7"/>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5">
        <w:r>
          <w:rPr>
            <w:rStyle w:val="Style7"/>
            <w:rFonts w:ascii="Times New Roman" w:hAnsi="Times New Roman"/>
            <w:sz w:val="24"/>
            <w:szCs w:val="24"/>
            <w:lang w:eastAsia="en-US"/>
          </w:rPr>
          <w:t>законодательством</w:t>
        </w:r>
      </w:hyperlink>
      <w:r>
        <w:rPr>
          <w:rFonts w:ascii="Times New Roman" w:hAnsi="Times New Roman"/>
          <w:sz w:val="24"/>
          <w:szCs w:val="24"/>
          <w:lang w:eastAsia="en-US"/>
        </w:rPr>
        <w:t xml:space="preserve"> Российской Федерации </w:t>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ListParagraph"/>
        <w:numPr>
          <w:ilvl w:val="1"/>
          <w:numId w:val="1"/>
        </w:numPr>
        <w:tabs>
          <w:tab w:val="clear" w:pos="708"/>
          <w:tab w:val="left" w:pos="0" w:leader="none"/>
        </w:tabs>
        <w:spacing w:lineRule="auto" w:line="240" w:before="0" w:after="0"/>
        <w:ind w:hanging="31" w:left="31"/>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6">
        <w:r>
          <w:rPr>
            <w:rStyle w:val="Style7"/>
            <w:rFonts w:ascii="Times New Roman" w:hAnsi="Times New Roman"/>
            <w:sz w:val="24"/>
            <w:szCs w:val="24"/>
            <w:lang w:eastAsia="en-US"/>
          </w:rPr>
          <w:t>статьями 289</w:t>
        </w:r>
      </w:hyperlink>
      <w:r>
        <w:rPr>
          <w:rFonts w:ascii="Times New Roman" w:hAnsi="Times New Roman"/>
          <w:sz w:val="24"/>
          <w:szCs w:val="24"/>
          <w:lang w:eastAsia="en-US"/>
        </w:rPr>
        <w:t xml:space="preserve">, </w:t>
      </w:r>
      <w:hyperlink r:id="rId7">
        <w:r>
          <w:rPr>
            <w:rStyle w:val="Style7"/>
            <w:rFonts w:ascii="Times New Roman" w:hAnsi="Times New Roman"/>
            <w:sz w:val="24"/>
            <w:szCs w:val="24"/>
            <w:lang w:eastAsia="en-US"/>
          </w:rPr>
          <w:t>290</w:t>
        </w:r>
      </w:hyperlink>
      <w:r>
        <w:rPr>
          <w:rFonts w:ascii="Times New Roman" w:hAnsi="Times New Roman"/>
          <w:sz w:val="24"/>
          <w:szCs w:val="24"/>
          <w:lang w:eastAsia="en-US"/>
        </w:rPr>
        <w:t xml:space="preserve">, </w:t>
      </w:r>
      <w:hyperlink r:id="rId8">
        <w:r>
          <w:rPr>
            <w:rStyle w:val="Style7"/>
            <w:rFonts w:ascii="Times New Roman" w:hAnsi="Times New Roman"/>
            <w:sz w:val="24"/>
            <w:szCs w:val="24"/>
            <w:lang w:eastAsia="en-US"/>
          </w:rPr>
          <w:t>291</w:t>
        </w:r>
      </w:hyperlink>
      <w:r>
        <w:rPr>
          <w:rFonts w:ascii="Times New Roman" w:hAnsi="Times New Roman"/>
          <w:sz w:val="24"/>
          <w:szCs w:val="24"/>
          <w:lang w:eastAsia="en-US"/>
        </w:rPr>
        <w:t xml:space="preserve">, </w:t>
      </w:r>
      <w:hyperlink r:id="rId9">
        <w:r>
          <w:rPr>
            <w:rStyle w:val="Style7"/>
            <w:rFonts w:ascii="Times New Roman" w:hAnsi="Times New Roman"/>
            <w:sz w:val="24"/>
            <w:szCs w:val="24"/>
            <w:lang w:eastAsia="en-US"/>
          </w:rPr>
          <w:t>291.1</w:t>
        </w:r>
      </w:hyperlink>
      <w:r>
        <w:rPr>
          <w:rFonts w:ascii="Times New Roman" w:hAnsi="Times New Roman"/>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0">
        <w:r>
          <w:rPr>
            <w:rStyle w:val="Style7"/>
            <w:rFonts w:ascii="Times New Roman" w:hAnsi="Times New Roman"/>
            <w:sz w:val="24"/>
            <w:szCs w:val="24"/>
            <w:lang w:eastAsia="en-US"/>
          </w:rPr>
          <w:t>статьей 19.28</w:t>
        </w:r>
      </w:hyperlink>
      <w:r>
        <w:rPr>
          <w:rFonts w:ascii="Times New Roman" w:hAnsi="Times New Roman"/>
          <w:sz w:val="24"/>
          <w:szCs w:val="24"/>
          <w:lang w:eastAsia="en-US"/>
        </w:rPr>
        <w:t xml:space="preserve"> Кодекса Российской Федерации об административных правонарушениях;</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w:t>
        <w:br/>
        <w:t xml:space="preserve">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br/>
        <w:t>в уставном капитале хозяйственного общества;</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bookmarkStart w:id="0" w:name="Point"/>
      <w:r>
        <w:rPr>
          <w:rFonts w:ascii="Times New Roman"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bookmarkEnd w:id="0"/>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rPr>
        <w:t xml:space="preserve">Если в связи с исполнением договора заказчик приобретает права на результаты интеллектуальной деятельности, за исключением случаев заключения договоров </w:t>
        <w:br/>
        <w:t xml:space="preserve">на создание произведений литературы или искусства, исполнения, на финансирование проката или показа национального фильма, Заказчик устанавливает следующие требования к Участникам закупки: </w:t>
      </w:r>
      <w:r>
        <w:rPr>
          <w:rFonts w:ascii="Times New Roman" w:hAnsi="Times New Roman"/>
          <w:sz w:val="24"/>
          <w:szCs w:val="24"/>
          <w:lang w:eastAsia="en-US"/>
        </w:rPr>
        <w:t>Обладание участником закупки исключительными правами на результаты интеллектуальной деятельности.</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статьей 5 Федерального закона № 223-ФЗ.</w:t>
      </w:r>
    </w:p>
    <w:p>
      <w:pPr>
        <w:pStyle w:val="ListParagraph"/>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Федеральным законом от 05.04.2013 № 44-ФЗ.</w:t>
      </w:r>
    </w:p>
    <w:p>
      <w:pPr>
        <w:pStyle w:val="ListParagraph"/>
        <w:keepNext w:val="true"/>
        <w:keepLines/>
        <w:numPr>
          <w:ilvl w:val="1"/>
          <w:numId w:val="1"/>
        </w:numPr>
        <w:tabs>
          <w:tab w:val="clear" w:pos="708"/>
          <w:tab w:val="left" w:pos="0" w:leader="none"/>
        </w:tabs>
        <w:spacing w:lineRule="auto" w:line="240" w:before="0" w:after="0"/>
        <w:ind w:hanging="0" w:left="0"/>
        <w:contextualSpacing/>
        <w:jc w:val="both"/>
        <w:rPr>
          <w:rFonts w:ascii="Times New Roman" w:hAnsi="Times New Roman"/>
          <w:bCs/>
          <w:sz w:val="24"/>
          <w:szCs w:val="24"/>
        </w:rPr>
      </w:pPr>
      <w:r>
        <w:rPr>
          <w:rFonts w:ascii="Times New Roman" w:hAnsi="Times New Roman"/>
          <w:sz w:val="24"/>
          <w:szCs w:val="24"/>
          <w:lang w:eastAsia="en-US"/>
        </w:rPr>
        <w:t>Участниками закупки не могут быть юридические или физические лица, которые признаны иностранными агентами согласно Федеральному закону от 14.07.2022 № 255-ФЗ "О контроле за деятельностью лиц, находящихся под иностранным влиянием"</w:t>
      </w:r>
    </w:p>
    <w:p>
      <w:pPr>
        <w:pStyle w:val="ListParagraph"/>
        <w:keepNext w:val="true"/>
        <w:keepLines/>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rFonts w:ascii="Times New Roman" w:hAnsi="Times New Roman"/>
          <w:sz w:val="24"/>
          <w:szCs w:val="24"/>
          <w:lang w:eastAsia="en-U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ListParagraph"/>
        <w:keepNext w:val="true"/>
        <w:keepLines/>
        <w:numPr>
          <w:ilvl w:val="1"/>
          <w:numId w:val="1"/>
        </w:numPr>
        <w:tabs>
          <w:tab w:val="clear" w:pos="708"/>
          <w:tab w:val="left" w:pos="0" w:leader="none"/>
        </w:tabs>
        <w:spacing w:lineRule="auto" w:line="240" w:before="0" w:after="0"/>
        <w:ind w:hanging="0" w:left="0"/>
        <w:contextualSpacing/>
        <w:jc w:val="both"/>
        <w:rPr>
          <w:rFonts w:ascii="Times New Roman" w:hAnsi="Times New Roman"/>
          <w:sz w:val="24"/>
          <w:szCs w:val="24"/>
          <w:lang w:eastAsia="en-US"/>
        </w:rPr>
      </w:pPr>
      <w:r>
        <w:rPr/>
        <w:t xml:space="preserve"> </w:t>
      </w:r>
      <w:r>
        <w:rPr>
          <w:rFonts w:ascii="Times New Roman" w:hAnsi="Times New Roman"/>
          <w:sz w:val="24"/>
          <w:szCs w:val="24"/>
          <w:lang w:eastAsia="en-US"/>
        </w:rPr>
        <w:t>Победитель отсутствует в «Реестре работодателей, у которых выявлены факты нелегальной занятости», формируемый Федеральной службой по труду и занятости.</w:t>
      </w:r>
      <w:r>
        <w:rPr>
          <w:spacing w:val="-6"/>
          <w:sz w:val="24"/>
          <w:szCs w:val="24"/>
        </w:rPr>
        <w:t xml:space="preserve"> (</w:t>
      </w:r>
      <w:hyperlink r:id="rId11">
        <w:r>
          <w:rPr>
            <w:rStyle w:val="Hyperlink"/>
            <w:spacing w:val="-6"/>
            <w:sz w:val="24"/>
            <w:szCs w:val="24"/>
          </w:rPr>
          <w:t>https://rostrud.gov.ru/reyestr/reestr-rabotodateley/</w:t>
        </w:r>
      </w:hyperlink>
      <w:r>
        <w:rPr>
          <w:spacing w:val="-6"/>
          <w:sz w:val="24"/>
          <w:szCs w:val="24"/>
        </w:rPr>
        <w:t xml:space="preserve"> )</w:t>
      </w:r>
    </w:p>
    <w:p>
      <w:pPr>
        <w:pStyle w:val="ListParagraph"/>
        <w:numPr>
          <w:ilvl w:val="1"/>
          <w:numId w:val="1"/>
        </w:numPr>
        <w:ind w:hanging="0" w:left="0"/>
        <w:jc w:val="both"/>
        <w:rPr>
          <w:rFonts w:ascii="Times New Roman" w:hAnsi="Times New Roman"/>
          <w:color w:val="000000"/>
          <w:sz w:val="24"/>
        </w:rPr>
      </w:pPr>
      <w:r>
        <w:rPr>
          <w:rFonts w:ascii="Times New Roman" w:hAnsi="Times New Roman"/>
          <w:color w:val="000000"/>
          <w:sz w:val="24"/>
        </w:rPr>
        <w:t xml:space="preserve">Победитель должен иметь статус «соответствует» при проверке посредством сервисов автоматизированного анализа (оценки) финансово-хозяйственного состояния и иной информации, характеризующей деятельность </w:t>
      </w:r>
      <w:bookmarkStart w:id="1" w:name="_GoBack"/>
      <w:bookmarkEnd w:id="1"/>
      <w:r>
        <w:rPr>
          <w:rFonts w:ascii="Times New Roman" w:hAnsi="Times New Roman"/>
          <w:color w:val="000000"/>
          <w:sz w:val="24"/>
        </w:rPr>
        <w:t>юридических лиц и индивидуальных предпринимателей на сайте ФНС РФ (</w:t>
      </w:r>
      <w:hyperlink r:id="rId12">
        <w:r>
          <w:rPr>
            <w:rStyle w:val="Hyperlink"/>
            <w:rFonts w:ascii="Times New Roman" w:hAnsi="Times New Roman"/>
            <w:color w:val="000000"/>
            <w:sz w:val="24"/>
          </w:rPr>
          <w:t>https://service.nalog.ru/scoring/</w:t>
        </w:r>
      </w:hyperlink>
      <w:r>
        <w:rPr>
          <w:rStyle w:val="Hyperlink"/>
          <w:rFonts w:ascii="Times New Roman" w:hAnsi="Times New Roman"/>
          <w:color w:val="000000"/>
          <w:sz w:val="24"/>
        </w:rPr>
        <w:t xml:space="preserve"> </w:t>
      </w:r>
      <w:r>
        <w:rPr>
          <w:rFonts w:ascii="Times New Roman" w:hAnsi="Times New Roman"/>
          <w:color w:val="000000"/>
          <w:sz w:val="24"/>
        </w:rPr>
        <w:t>). Указанный пункт действует в отношении закупок, где НМЦД договора свыше 500 тыс. руб.</w:t>
      </w:r>
    </w:p>
    <w:p>
      <w:pPr>
        <w:pStyle w:val="ListParagraph"/>
        <w:widowControl/>
        <w:numPr>
          <w:ilvl w:val="0"/>
          <w:numId w:val="0"/>
        </w:numPr>
        <w:suppressAutoHyphens w:val="true"/>
        <w:bidi w:val="0"/>
        <w:ind w:hanging="0" w:left="0"/>
        <w:jc w:val="both"/>
        <w:rPr>
          <w:rFonts w:ascii="Times New Roman" w:hAnsi="Times New Roman" w:eastAsia="Calibri" w:cs="Times New Roman"/>
          <w:color w:val="000000"/>
          <w:kern w:val="0"/>
          <w:sz w:val="24"/>
          <w:szCs w:val="22"/>
          <w:lang w:val="ru-RU" w:bidi="ar-SA"/>
        </w:rPr>
      </w:pPr>
      <w:r>
        <w:rPr>
          <w:rFonts w:eastAsia="Calibri" w:cs="Times New Roman" w:ascii="Times New Roman" w:hAnsi="Times New Roman"/>
          <w:color w:val="000000"/>
          <w:kern w:val="0"/>
          <w:sz w:val="24"/>
          <w:szCs w:val="22"/>
          <w:lang w:val="ru-RU" w:bidi="ar-SA"/>
        </w:rPr>
        <w:t xml:space="preserve">1.16. </w:t>
      </w:r>
      <w:r>
        <w:rPr>
          <w:rFonts w:ascii="Times New Roman" w:hAnsi="Times New Roman"/>
          <w:b w:val="false"/>
          <w:i w:val="false"/>
          <w:strike w:val="false"/>
          <w:dstrike w:val="false"/>
          <w:outline w:val="false"/>
          <w:shadow w:val="false"/>
          <w:color w:val="000000"/>
          <w:sz w:val="24"/>
          <w:u w:val="none"/>
          <w:em w:val="none"/>
        </w:rPr>
        <w:t xml:space="preserve">Для товаров поз. 2,3 Требований к функциональным характеристикам (потребительским свойствам), качественным характеристикам Товара (Приложение №2 к проекту договора) участник в составе заявки должен предоставить копию регистрационного удостоверения медицинского изделия, либо реквизиты такого удостоверения.                </w:t>
      </w:r>
    </w:p>
    <w:p>
      <w:pPr>
        <w:pStyle w:val="Normal"/>
        <w:widowControl/>
        <w:numPr>
          <w:ilvl w:val="0"/>
          <w:numId w:val="0"/>
        </w:numPr>
        <w:suppressAutoHyphens w:val="true"/>
        <w:bidi w:val="0"/>
        <w:ind w:hanging="0" w:left="0"/>
        <w:jc w:val="both"/>
        <w:rPr>
          <w:rFonts w:ascii="Times New Roman" w:hAnsi="Times New Roman" w:eastAsia="Calibri" w:cs="Times New Roman"/>
          <w:color w:val="000000"/>
          <w:kern w:val="0"/>
          <w:sz w:val="24"/>
          <w:szCs w:val="22"/>
          <w:lang w:val="ru-RU" w:bidi="ar-SA"/>
        </w:rPr>
      </w:pPr>
      <w:r>
        <w:rPr>
          <w:rFonts w:eastAsia="Calibri" w:cs="Times New Roman" w:ascii="Times New Roman" w:hAnsi="Times New Roman"/>
          <w:color w:val="000000"/>
          <w:kern w:val="0"/>
          <w:sz w:val="24"/>
          <w:szCs w:val="22"/>
          <w:lang w:val="ru-RU" w:bidi="ar-SA"/>
        </w:rPr>
      </w:r>
    </w:p>
    <w:p>
      <w:pPr>
        <w:pStyle w:val="ListParagraph"/>
        <w:widowControl/>
        <w:numPr>
          <w:ilvl w:val="0"/>
          <w:numId w:val="0"/>
        </w:numPr>
        <w:suppressAutoHyphens w:val="true"/>
        <w:bidi w:val="0"/>
        <w:ind w:hanging="0" w:left="0"/>
        <w:jc w:val="both"/>
        <w:rPr>
          <w:rFonts w:ascii="Times New Roman" w:hAnsi="Times New Roman" w:eastAsia="Calibri" w:cs="Times New Roman"/>
          <w:color w:val="000000"/>
          <w:kern w:val="0"/>
          <w:sz w:val="24"/>
          <w:szCs w:val="22"/>
          <w:lang w:val="ru-RU" w:bidi="ar-SA"/>
        </w:rPr>
      </w:pPr>
      <w:r>
        <w:rPr>
          <w:rFonts w:eastAsia="Calibri" w:cs="Times New Roman" w:ascii="Times New Roman" w:hAnsi="Times New Roman"/>
          <w:color w:val="000000"/>
          <w:kern w:val="0"/>
          <w:sz w:val="24"/>
          <w:szCs w:val="22"/>
          <w:lang w:val="ru-RU" w:bidi="ar-SA"/>
        </w:rPr>
      </w:r>
    </w:p>
    <w:p>
      <w:pPr>
        <w:pStyle w:val="ListParagraph"/>
        <w:widowControl/>
        <w:numPr>
          <w:ilvl w:val="0"/>
          <w:numId w:val="0"/>
        </w:numPr>
        <w:suppressAutoHyphens w:val="true"/>
        <w:bidi w:val="0"/>
        <w:spacing w:before="0" w:after="160"/>
        <w:ind w:hanging="0" w:left="0"/>
        <w:contextualSpacing/>
        <w:jc w:val="both"/>
        <w:rPr>
          <w:rFonts w:ascii="Times New Roman" w:hAnsi="Times New Roman" w:eastAsia="Calibri" w:cs="Times New Roman"/>
          <w:color w:val="000000"/>
          <w:kern w:val="0"/>
          <w:sz w:val="24"/>
          <w:szCs w:val="22"/>
          <w:lang w:val="ru-RU" w:bidi="ar-SA"/>
        </w:rPr>
      </w:pPr>
      <w:r>
        <w:rPr>
          <w:rFonts w:eastAsia="Calibri" w:cs="Times New Roman" w:ascii="Times New Roman" w:hAnsi="Times New Roman"/>
          <w:color w:val="000000"/>
          <w:kern w:val="0"/>
          <w:sz w:val="24"/>
          <w:szCs w:val="22"/>
          <w:lang w:val="ru-RU" w:bidi="ar-SA"/>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Arial">
    <w:charset w:val="01"/>
    <w:family w:val="swiss"/>
    <w:pitch w:val="default"/>
  </w:font>
  <w:font w:name="PT Astra Serif">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d2332"/>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Heading1">
    <w:name w:val="heading 1"/>
    <w:basedOn w:val="Normal"/>
    <w:next w:val="Normal"/>
    <w:link w:val="1"/>
    <w:qFormat/>
    <w:rsid w:val="00d26196"/>
    <w:pPr>
      <w:keepNext w:val="true"/>
      <w:numPr>
        <w:ilvl w:val="0"/>
        <w:numId w:val="2"/>
      </w:numPr>
      <w:spacing w:lineRule="auto" w:line="240" w:before="0" w:after="0"/>
      <w:ind w:left="1120" w:right="25"/>
      <w:jc w:val="center"/>
      <w:outlineLvl w:val="0"/>
    </w:pPr>
    <w:rPr>
      <w:rFonts w:ascii="Times New Roman" w:hAnsi="Times New Roman" w:eastAsia="Times New Roman"/>
      <w:b/>
      <w:sz w:val="20"/>
      <w:szCs w:val="20"/>
      <w:lang w:val="en-US" w:eastAsia="zh-CN"/>
    </w:rPr>
  </w:style>
  <w:style w:type="paragraph" w:styleId="Heading2">
    <w:name w:val="heading 2"/>
    <w:basedOn w:val="Normal"/>
    <w:next w:val="Normal"/>
    <w:link w:val="2"/>
    <w:qFormat/>
    <w:rsid w:val="00d26196"/>
    <w:pPr>
      <w:keepNext w:val="true"/>
      <w:numPr>
        <w:ilvl w:val="1"/>
        <w:numId w:val="2"/>
      </w:numPr>
      <w:spacing w:lineRule="auto" w:line="240" w:before="0" w:after="0"/>
      <w:ind w:right="25"/>
      <w:jc w:val="center"/>
      <w:outlineLvl w:val="1"/>
    </w:pPr>
    <w:rPr>
      <w:rFonts w:ascii="Arial" w:hAnsi="Arial" w:eastAsia="Times New Roman" w:cs="Arial"/>
      <w:b/>
      <w:szCs w:val="20"/>
      <w:lang w:eastAsia="zh-CN"/>
    </w:rPr>
  </w:style>
  <w:style w:type="character" w:styleId="DefaultParagraphFont" w:default="1">
    <w:name w:val="Default Paragraph Font"/>
    <w:uiPriority w:val="1"/>
    <w:semiHidden/>
    <w:unhideWhenUsed/>
    <w:qFormat/>
    <w:rPr/>
  </w:style>
  <w:style w:type="character" w:styleId="Style12" w:customStyle="1">
    <w:name w:val="Абзац списка Знак"/>
    <w:link w:val="ListParagraph"/>
    <w:uiPriority w:val="34"/>
    <w:qFormat/>
    <w:rsid w:val="004d2332"/>
    <w:rPr>
      <w:rFonts w:ascii="Calibri" w:hAnsi="Calibri" w:eastAsia="Calibri" w:cs="Times New Roman"/>
      <w:lang w:eastAsia="ru-RU"/>
    </w:rPr>
  </w:style>
  <w:style w:type="character" w:styleId="Strong">
    <w:name w:val="Strong"/>
    <w:qFormat/>
    <w:rsid w:val="00304c49"/>
    <w:rPr>
      <w:b/>
      <w:bCs/>
    </w:rPr>
  </w:style>
  <w:style w:type="character" w:styleId="1" w:customStyle="1">
    <w:name w:val="Заголовок 1 Знак"/>
    <w:basedOn w:val="DefaultParagraphFont"/>
    <w:qFormat/>
    <w:rsid w:val="00d26196"/>
    <w:rPr>
      <w:rFonts w:ascii="Times New Roman" w:hAnsi="Times New Roman" w:eastAsia="Times New Roman" w:cs="Times New Roman"/>
      <w:b/>
      <w:sz w:val="20"/>
      <w:szCs w:val="20"/>
      <w:lang w:val="en-US" w:eastAsia="zh-CN"/>
    </w:rPr>
  </w:style>
  <w:style w:type="character" w:styleId="2" w:customStyle="1">
    <w:name w:val="Заголовок 2 Знак"/>
    <w:basedOn w:val="DefaultParagraphFont"/>
    <w:qFormat/>
    <w:rsid w:val="00d26196"/>
    <w:rPr>
      <w:rFonts w:ascii="Arial" w:hAnsi="Arial" w:eastAsia="Times New Roman" w:cs="Arial"/>
      <w:b/>
      <w:szCs w:val="20"/>
      <w:lang w:eastAsia="zh-CN"/>
    </w:rPr>
  </w:style>
  <w:style w:type="character" w:styleId="Hyperlink">
    <w:name w:val="Hyperlink"/>
    <w:rsid w:val="00d26196"/>
    <w:rPr>
      <w:color w:val="0000FF"/>
      <w:u w:val="single"/>
    </w:rPr>
  </w:style>
  <w:style w:type="paragraph" w:styleId="Style13">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pPr>
      <w:spacing w:before="0" w:after="140"/>
    </w:pPr>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14">
    <w:name w:val="Указатель"/>
    <w:basedOn w:val="Normal"/>
    <w:qFormat/>
    <w:pPr>
      <w:suppressLineNumbers/>
    </w:pPr>
    <w:rPr>
      <w:rFonts w:ascii="PT Astra Serif" w:hAnsi="PT Astra Serif" w:cs="FreeSans"/>
    </w:rPr>
  </w:style>
  <w:style w:type="paragraph" w:styleId="user" w:customStyle="1">
    <w:name w:val="Заголовок (user)"/>
    <w:basedOn w:val="Normal"/>
    <w:next w:val="BodyText"/>
    <w:qFormat/>
    <w:pPr>
      <w:keepNext w:val="true"/>
      <w:spacing w:before="240" w:after="120"/>
    </w:pPr>
    <w:rPr>
      <w:rFonts w:ascii="PT Astra Serif" w:hAnsi="PT Astra Serif" w:eastAsia="Noto Sans CJK SC" w:cs="FreeSans"/>
      <w:sz w:val="28"/>
      <w:szCs w:val="28"/>
    </w:rPr>
  </w:style>
  <w:style w:type="paragraph" w:styleId="user1" w:customStyle="1">
    <w:name w:val="Указатель (user)"/>
    <w:basedOn w:val="Normal"/>
    <w:qFormat/>
    <w:pPr>
      <w:suppressLineNumbers/>
    </w:pPr>
    <w:rPr>
      <w:rFonts w:ascii="PT Astra Serif" w:hAnsi="PT Astra Serif" w:cs="FreeSans"/>
    </w:rPr>
  </w:style>
  <w:style w:type="paragraph" w:styleId="Title">
    <w:name w:val="Title"/>
    <w:basedOn w:val="Normal"/>
    <w:next w:val="BodyText"/>
    <w:qFormat/>
    <w:pPr>
      <w:keepNext w:val="true"/>
      <w:spacing w:before="240" w:after="120"/>
    </w:pPr>
    <w:rPr>
      <w:rFonts w:ascii="PT Astra Serif" w:hAnsi="PT Astra Serif" w:eastAsia="Noto Sans CJK SC" w:cs="FreeSans"/>
      <w:sz w:val="28"/>
      <w:szCs w:val="28"/>
    </w:rPr>
  </w:style>
  <w:style w:type="paragraph" w:styleId="IndexHeading">
    <w:name w:val="index heading"/>
    <w:basedOn w:val="Normal"/>
    <w:qFormat/>
    <w:pPr>
      <w:suppressLineNumbers/>
    </w:pPr>
    <w:rPr>
      <w:rFonts w:ascii="PT Astra Serif" w:hAnsi="PT Astra Serif" w:cs="FreeSans"/>
    </w:rPr>
  </w:style>
  <w:style w:type="paragraph" w:styleId="ListParagraph">
    <w:name w:val="List Paragraph"/>
    <w:basedOn w:val="Normal"/>
    <w:link w:val="Style12"/>
    <w:uiPriority w:val="34"/>
    <w:qFormat/>
    <w:rsid w:val="004d2332"/>
    <w:pPr>
      <w:spacing w:lineRule="auto" w:line="259" w:before="0" w:after="160"/>
      <w:ind w:left="720"/>
      <w:contextualSpacing/>
    </w:pPr>
    <w:rPr>
      <w:lang w:eastAsia="ru-RU"/>
    </w:rPr>
  </w:style>
  <w:style w:type="numbering" w:styleId="user2" w:customStyle="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5CD84740809D7D9A91474D4A1F80E3048E231FF8B95ABE15BB1EAF6E70259F97101AEDC219F0E5F59328B816344A38B323A9852878ElB50J" TargetMode="External"/><Relationship Id="rId3" Type="http://schemas.openxmlformats.org/officeDocument/2006/relationships/hyperlink" Target="consultantplus://offline/ref=95CD84740809D7D9A91474D4A1F80E3048E231FB8D95ABE15BB1EAF6E70259F97101AED8219B03005C279AD96F45BD953026845085l85CJ" TargetMode="External"/><Relationship Id="rId4" Type="http://schemas.openxmlformats.org/officeDocument/2006/relationships/hyperlink" Target="consultantplus://offline/ref=95CD84740809D7D9A91474D4A1F80E3048E436F48B95ABE15BB1EAF6E70259F97101AEDC219B0B5F59328B816344A38B323A9852878ElB50J" TargetMode="External"/><Relationship Id="rId5" Type="http://schemas.openxmlformats.org/officeDocument/2006/relationships/hyperlink" Target="consultantplus://offline/ref=95CD84740809D7D9A91474D4A1F80E3048E436F48B95ABE15BB1EAF6E70259F97101AEDC21990C5F59328B816344A38B323A9852878ElB50J" TargetMode="External"/><Relationship Id="rId6" Type="http://schemas.openxmlformats.org/officeDocument/2006/relationships/hyperlink" Target="consultantplus://offline/ref=95CD84740809D7D9A91474D4A1F80E3048E230F58893ABE15BB1EAF6E70259F97101AEDC2098005D0A689B852A10AE9432268652998EB020l451J" TargetMode="External"/><Relationship Id="rId7" Type="http://schemas.openxmlformats.org/officeDocument/2006/relationships/hyperlink" Target="consultantplus://offline/ref=95CD84740809D7D9A91474D4A1F80E3048E230F58893ABE15BB1EAF6E70259F97101AEDF209C0C5F59328B816344A38B323A9852878ElB50J" TargetMode="External"/><Relationship Id="rId8" Type="http://schemas.openxmlformats.org/officeDocument/2006/relationships/hyperlink" Target="consultantplus://offline/ref=95CD84740809D7D9A91474D4A1F80E3048E230F58893ABE15BB1EAF6E70259F97101AEDF209E0A5F59328B816344A38B323A9852878ElB50J" TargetMode="External"/><Relationship Id="rId9" Type="http://schemas.openxmlformats.org/officeDocument/2006/relationships/hyperlink" Target="consultantplus://offline/ref=95CD84740809D7D9A91474D4A1F80E3048E230F58893ABE15BB1EAF6E70259F97101AEDF20910E5F59328B816344A38B323A9852878ElB50J" TargetMode="External"/><Relationship Id="rId10" Type="http://schemas.openxmlformats.org/officeDocument/2006/relationships/hyperlink" Target="consultantplus://offline/ref=95CD84740809D7D9A91474D4A1F80E3048E231FB8D95ABE15BB1EAF6E70259F97101AEDF269B085F59328B816344A38B323A9852878ElB50J" TargetMode="External"/><Relationship Id="rId11" Type="http://schemas.openxmlformats.org/officeDocument/2006/relationships/hyperlink" Target="https://rostrud.gov.ru/reyestr/reestr-rabotodateley/" TargetMode="External"/><Relationship Id="rId12" Type="http://schemas.openxmlformats.org/officeDocument/2006/relationships/hyperlink" Target="https://service.nalog.ru/scoring/" TargetMode="Externa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LibreOffice/25.2.6.2$Linux_X86_64 LibreOffice_project/520$Build-2</Application>
  <AppVersion>15.0000</AppVersion>
  <Pages>3</Pages>
  <Words>828</Words>
  <Characters>6262</Characters>
  <CharactersWithSpaces>7076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2026-02-17T11:57:00Z</dcterms:created>
  <dc:creator>Патронников Дмитрий Эдуардович</dc:creator>
  <dc:description/>
  <dc:language>ru-RU</dc:language>
  <cp:lastModifiedBy/>
  <dcterms:modified xsi:type="dcterms:W3CDTF">2026-07-02T14:27:50Z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