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rPr>
          <w:b/>
        </w:rPr>
      </w:pPr>
      <w:r>
        <w:rPr>
          <w:b/>
        </w:rPr>
        <w:t xml:space="preserve">КОНТРАКТ № </w:t>
      </w:r>
    </w:p>
    <w:p>
      <w:pPr>
        <w:jc w:val="both"/>
      </w:pPr>
      <w:r>
        <w:t>г. Санкт- Петербург                                                                                от «   »  июля 2026 г.</w:t>
      </w:r>
    </w:p>
    <w:p>
      <w:pPr>
        <w:jc w:val="both"/>
      </w:pPr>
    </w:p>
    <w:p>
      <w:pPr>
        <w:jc w:val="both"/>
        <w:rPr>
          <w:sz w:val="22"/>
          <w:szCs w:val="22"/>
        </w:rPr>
      </w:pPr>
    </w:p>
    <w:p>
      <w:pPr>
        <w:jc w:val="both"/>
        <w:rPr>
          <w:rStyle w:val="20"/>
          <w:rFonts w:ascii="Times New Roman" w:hAnsi="Times New Roman" w:cs="Times New Roman"/>
          <w:color w:val="000000" w:themeColor="text1"/>
          <w:sz w:val="24"/>
          <w:szCs w:val="24"/>
        </w:rPr>
      </w:pPr>
      <w:r>
        <w:rPr>
          <w:color w:val="000000" w:themeColor="text1"/>
        </w:rPr>
        <w:t xml:space="preserve">ГОСУДАРСТВЕННОЕ </w:t>
      </w:r>
      <w:r>
        <w:rPr>
          <w:rStyle w:val="20"/>
          <w:rFonts w:ascii="Times New Roman" w:hAnsi="Times New Roman" w:cs="Times New Roman"/>
          <w:color w:val="000000" w:themeColor="text1"/>
          <w:sz w:val="24"/>
          <w:szCs w:val="24"/>
        </w:rPr>
        <w:t>БЮДЖЕТНОЕ ДОШКОЛЬНОЕ ОБРАЗОВАТЕЛЬНОЕ УЧРЕЖДЕНИЕ ДЕТСКИЙ САД № 80 МОСКОВСКОГО РАЙОНА САНКТ-ПЕТЕРБУРГА, именуемое в дальнейшем «Заказчик», в лице Заведующий Федорова Надежда Александровна, действующего на основании Устава, с одной стороны и </w:t>
      </w:r>
      <w:r>
        <w:t>_______, именуемый в дальнейшем «Поставщик», в лице ____, действующего на основании _____</w:t>
      </w:r>
      <w:r>
        <w:rPr>
          <w:rStyle w:val="20"/>
          <w:rFonts w:ascii="Times New Roman" w:hAnsi="Times New Roman" w:cs="Times New Roman"/>
          <w:color w:val="000000" w:themeColor="text1"/>
          <w:sz w:val="24"/>
          <w:szCs w:val="24"/>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pPr>
        <w:jc w:val="both"/>
      </w:pPr>
    </w:p>
    <w:p>
      <w:pPr>
        <w:jc w:val="center"/>
        <w:rPr>
          <w:b/>
        </w:rPr>
      </w:pPr>
      <w:r>
        <w:rPr>
          <w:b/>
        </w:rPr>
        <w:t>1. Предмет контракта</w:t>
      </w:r>
    </w:p>
    <w:p>
      <w:pPr>
        <w:ind w:firstLine="708"/>
        <w:jc w:val="both"/>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jc w:val="both"/>
      </w:pPr>
      <w:r>
        <w:t xml:space="preserve">Идентификационный код </w:t>
      </w:r>
      <w:r>
        <w:rPr>
          <w:sz w:val="22"/>
          <w:szCs w:val="22"/>
        </w:rPr>
        <w:t>закупки:</w:t>
      </w:r>
      <w:r>
        <w:rPr>
          <w:color w:val="333333"/>
          <w:sz w:val="22"/>
          <w:szCs w:val="22"/>
          <w:shd w:val="clear" w:color="auto" w:fill="FFFFFF"/>
        </w:rPr>
        <w:t xml:space="preserve"> </w:t>
      </w:r>
    </w:p>
    <w:p>
      <w:pPr>
        <w:jc w:val="both"/>
      </w:pPr>
    </w:p>
    <w:p>
      <w:pPr>
        <w:jc w:val="center"/>
        <w:rPr>
          <w:b/>
        </w:rPr>
      </w:pPr>
      <w:r>
        <w:rPr>
          <w:b/>
        </w:rPr>
        <w:t>2. Цена Контракта и порядок расчетов</w:t>
      </w:r>
    </w:p>
    <w:p>
      <w:pPr>
        <w:ind w:firstLine="708"/>
        <w:jc w:val="both"/>
      </w:pPr>
      <w:r>
        <w:t>2.1. Цена контракта составляет ____ рублей __ копеек (____ рублей __копеек), НДС/</w:t>
      </w:r>
      <w:r>
        <w:rPr>
          <w:color w:val="000000"/>
        </w:rPr>
        <w:t xml:space="preserve">НДС не облагается в соответствии с пунктом 2 статьи 346.11 </w:t>
      </w:r>
      <w:r>
        <w:rPr>
          <w:rFonts w:eastAsia="Calibri"/>
        </w:rPr>
        <w:t>Налогового Кодекса Российской Федерации</w:t>
      </w:r>
      <w:r>
        <w:t>, и определена в Спецификации (Приложение № 1 к Контракту), являющейся неотъемлемой частью Контракта.</w:t>
      </w:r>
    </w:p>
    <w:p>
      <w:pPr>
        <w:ind w:firstLine="708"/>
        <w:jc w:val="both"/>
      </w:pPr>
      <w:r>
        <w:t xml:space="preserve">Источник финансирования: Внебюджетные средства. Средства бюджетных учреждений.  Код вида расходов 244 </w:t>
      </w:r>
    </w:p>
    <w:p>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ind w:firstLine="708"/>
        <w:jc w:val="both"/>
      </w:pPr>
      <w: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pPr>
        <w:jc w:val="both"/>
      </w:pPr>
    </w:p>
    <w:p>
      <w:pPr>
        <w:jc w:val="center"/>
        <w:rPr>
          <w:b/>
        </w:rPr>
      </w:pPr>
      <w:r>
        <w:rPr>
          <w:b/>
        </w:rPr>
        <w:t>3. Порядок поставки Товара</w:t>
      </w:r>
    </w:p>
    <w:p>
      <w:pPr>
        <w:ind w:firstLine="708"/>
        <w:jc w:val="both"/>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p>
    <w:p>
      <w:pPr>
        <w:ind w:firstLine="708"/>
        <w:jc w:val="both"/>
      </w:pPr>
      <w:r>
        <w:t>3.2. Поставка Товара осуществляется по адресу, указанному в Техническом задании (приложение № 2 к Контракту).</w:t>
      </w:r>
    </w:p>
    <w:p>
      <w:pPr>
        <w:ind w:firstLine="708"/>
        <w:jc w:val="both"/>
      </w:pPr>
      <w:r>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ind w:firstLine="708"/>
        <w:jc w:val="both"/>
      </w:pPr>
      <w:r>
        <w:t xml:space="preserve">3.5. Срок поставки Товара указывается в Техническом задании (приложение </w:t>
      </w:r>
      <w:r>
        <w:br/>
        <w:t>№ 2 к Контракту).</w:t>
      </w:r>
    </w:p>
    <w:p>
      <w:pPr>
        <w:jc w:val="center"/>
      </w:pPr>
    </w:p>
    <w:p>
      <w:pPr>
        <w:jc w:val="center"/>
        <w:rPr>
          <w:b/>
        </w:rPr>
      </w:pPr>
      <w:r>
        <w:rPr>
          <w:b/>
        </w:rPr>
        <w:t>4. Порядок приемки Товара</w:t>
      </w:r>
    </w:p>
    <w:p>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pPr>
        <w:ind w:firstLine="708"/>
        <w:jc w:val="both"/>
      </w:pPr>
      <w:r>
        <w:t>4.2. Срок приемки указан в Техническом задании (приложение № 2 к Контракту).</w:t>
      </w:r>
    </w:p>
    <w:p>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в уведомлении, последний отказывается от приемки и оплаты. Мотивированный отказ направляется Поставщику в письменной форме.</w:t>
      </w:r>
    </w:p>
    <w:p>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ind w:firstLine="708"/>
        <w:jc w:val="both"/>
      </w:pPr>
      <w:r>
        <w:t>4.7. Все расходы, связанные с устранением недостатков, несет Поставщик.</w:t>
      </w:r>
    </w:p>
    <w:p>
      <w:pPr>
        <w:jc w:val="both"/>
      </w:pPr>
    </w:p>
    <w:p>
      <w:pPr>
        <w:jc w:val="center"/>
        <w:rPr>
          <w:b/>
        </w:rPr>
      </w:pPr>
      <w:r>
        <w:rPr>
          <w:b/>
        </w:rPr>
        <w:t>5. Права и обязанности сторон</w:t>
      </w:r>
    </w:p>
    <w:p>
      <w:pPr>
        <w:ind w:firstLine="708"/>
        <w:jc w:val="both"/>
      </w:pPr>
      <w:r>
        <w:t>5.1. Заказчик вправе:</w:t>
      </w:r>
    </w:p>
    <w:p>
      <w:pPr>
        <w:ind w:firstLine="708"/>
        <w:jc w:val="both"/>
      </w:pPr>
      <w:r>
        <w:t xml:space="preserve">5.1.1.Требовать от Поставщика надлежащего исполнения обязательств </w:t>
      </w:r>
      <w:r>
        <w:br/>
        <w:t>в соответствии с Контрактом, а также требовать своевременного устранения выявленных недостатков.</w:t>
      </w:r>
    </w:p>
    <w:p>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ind w:firstLine="708"/>
        <w:jc w:val="both"/>
      </w:pPr>
      <w:r>
        <w:t>5.1.3. Запрашивать у Поставщика информацию о ходе исполнения обязательств по Контракту.</w:t>
      </w:r>
    </w:p>
    <w:p>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ind w:firstLine="708"/>
        <w:jc w:val="both"/>
      </w:pPr>
      <w:r>
        <w:t>5.1.5. Отказаться от приемки Товара в случаях, предусмотренных Контрактом.</w:t>
      </w:r>
    </w:p>
    <w:p>
      <w:pPr>
        <w:ind w:firstLine="708"/>
        <w:jc w:val="both"/>
      </w:pPr>
      <w:r>
        <w:t>5.1.6. В одностороннем порядке отказаться от исполнения Контракта в соответствии с Законом о контрактной системе.</w:t>
      </w:r>
    </w:p>
    <w:p>
      <w:pPr>
        <w:ind w:firstLine="708"/>
        <w:jc w:val="both"/>
      </w:pPr>
      <w:r>
        <w:t>5.2. Заказчик обязан:</w:t>
      </w:r>
    </w:p>
    <w:p>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pPr>
        <w:ind w:firstLine="708"/>
        <w:jc w:val="both"/>
      </w:pPr>
      <w:r>
        <w:lastRenderedPageBreak/>
        <w:t xml:space="preserve">5.2.2. Своевременно оплатить поставленный Товар надлежащего качества </w:t>
      </w:r>
      <w:r>
        <w:br/>
        <w:t>в соответствии с Контрактом.</w:t>
      </w:r>
    </w:p>
    <w:p>
      <w:pPr>
        <w:ind w:firstLine="708"/>
        <w:jc w:val="both"/>
      </w:pPr>
      <w:r>
        <w:t>5.3. Поставщик вправе:</w:t>
      </w:r>
    </w:p>
    <w:p>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pPr>
        <w:ind w:firstLine="708"/>
        <w:jc w:val="both"/>
      </w:pPr>
      <w:r>
        <w:t xml:space="preserve">5.3.2. Запрашивать у Заказчика разъяснения и уточнения относительно Товара </w:t>
      </w:r>
      <w:r>
        <w:br/>
        <w:t>в рамках Контракта.</w:t>
      </w:r>
    </w:p>
    <w:p>
      <w:pPr>
        <w:ind w:firstLine="708"/>
        <w:jc w:val="both"/>
      </w:pPr>
      <w:r>
        <w:t xml:space="preserve">5.3.3. Получать от Заказчика содействие при поставке Товара в соответствии </w:t>
      </w:r>
      <w:r>
        <w:br/>
        <w:t>с условиями Контракта.</w:t>
      </w:r>
    </w:p>
    <w:p>
      <w:pPr>
        <w:ind w:firstLine="708"/>
        <w:jc w:val="both"/>
      </w:pPr>
      <w:r>
        <w:t>5.3.4. Досрочно исполнить обязательства по Контракту с согласия Заказчика.</w:t>
      </w:r>
    </w:p>
    <w:p>
      <w:pPr>
        <w:ind w:firstLine="708"/>
        <w:jc w:val="both"/>
      </w:pPr>
      <w:r>
        <w:t>5.4. Поставщик обязан:</w:t>
      </w:r>
    </w:p>
    <w:p>
      <w:pPr>
        <w:ind w:firstLine="708"/>
        <w:jc w:val="both"/>
      </w:pPr>
      <w:r>
        <w:t>5.4.1. Своевременно и надлежащим образом исполнять обязательства по поставке Товара в соответствии с условиями Контракта.</w:t>
      </w:r>
    </w:p>
    <w:p>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pPr>
        <w:ind w:firstLine="708"/>
        <w:jc w:val="both"/>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и сообщить об этом Заказчику в течение одного рабочего дня после приостановления поставки.</w:t>
      </w:r>
    </w:p>
    <w:p>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ind w:firstLine="708"/>
        <w:jc w:val="both"/>
      </w:pPr>
      <w:r>
        <w:t>5.5. Поставщик гарантирует, что на момент заключения Контракта:</w:t>
      </w:r>
    </w:p>
    <w:p>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pPr>
        <w:ind w:firstLine="708"/>
        <w:jc w:val="both"/>
      </w:pPr>
      <w:r>
        <w:t>5.5.2. Не обременен обязательствами имущественного характера, способными помешать исполнению обязательств по Контракту.</w:t>
      </w:r>
    </w:p>
    <w:p>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ind w:firstLine="708"/>
        <w:jc w:val="both"/>
      </w:pPr>
      <w:r>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ind w:firstLine="708"/>
        <w:jc w:val="both"/>
      </w:pPr>
      <w:r>
        <w:t xml:space="preserve">5.5.7. </w:t>
      </w:r>
      <w:r>
        <w:rPr>
          <w:rFonts w:eastAsiaTheme="minorHAnsi"/>
          <w:lang w:eastAsia="en-US"/>
        </w:rPr>
        <w:t>Поставщик не является иностранным агентом.</w:t>
      </w:r>
    </w:p>
    <w:p>
      <w:pPr>
        <w:ind w:firstLine="708"/>
        <w:jc w:val="both"/>
      </w:pPr>
      <w:r>
        <w:t>5.5.8. У Поставщика отсутствуют ограничения для участия в закупках, установленных законодательством Российской Федерации.</w:t>
      </w:r>
    </w:p>
    <w:p>
      <w:pPr>
        <w:ind w:firstLine="708"/>
        <w:jc w:val="both"/>
      </w:pPr>
    </w:p>
    <w:p>
      <w:pPr>
        <w:jc w:val="center"/>
        <w:rPr>
          <w:b/>
        </w:rPr>
      </w:pPr>
      <w:r>
        <w:rPr>
          <w:b/>
        </w:rPr>
        <w:t>6. Гарантии</w:t>
      </w:r>
    </w:p>
    <w:p>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ind w:firstLine="708"/>
        <w:jc w:val="both"/>
      </w:pPr>
      <w:r>
        <w:t>6.4. Все расходы, связанные с заменой Товара, ненадлежащего качества, осуществляются за счет Поставщика.</w:t>
      </w:r>
    </w:p>
    <w:p>
      <w:pPr>
        <w:jc w:val="center"/>
        <w:rPr>
          <w:b/>
        </w:rPr>
      </w:pPr>
    </w:p>
    <w:p>
      <w:pPr>
        <w:jc w:val="center"/>
        <w:rPr>
          <w:b/>
        </w:rPr>
      </w:pPr>
      <w:r>
        <w:rPr>
          <w:b/>
        </w:rPr>
        <w:t>7. Ответственность сторон</w:t>
      </w:r>
    </w:p>
    <w:p>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ind w:firstLine="708"/>
        <w:jc w:val="both"/>
      </w:pPr>
      <w:r>
        <w:lastRenderedPageBreak/>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w:t>
      </w:r>
    </w:p>
    <w:p>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не может превышать цену Контракта.</w:t>
      </w:r>
    </w:p>
    <w:p>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ind w:firstLine="708"/>
        <w:jc w:val="both"/>
      </w:pPr>
    </w:p>
    <w:p>
      <w:pPr>
        <w:jc w:val="center"/>
        <w:rPr>
          <w:b/>
        </w:rPr>
      </w:pPr>
      <w:r>
        <w:rPr>
          <w:b/>
        </w:rPr>
        <w:t>8. Срок действия, порядок изменения и расторжения Контракта.</w:t>
      </w:r>
    </w:p>
    <w:p>
      <w:pPr>
        <w:ind w:firstLine="708"/>
        <w:jc w:val="both"/>
      </w:pPr>
      <w:r>
        <w:t>8.1. Контракт вступает в силу со дня его подписания Сторонами.</w:t>
      </w:r>
    </w:p>
    <w:p>
      <w:pPr>
        <w:ind w:firstLine="708"/>
        <w:jc w:val="both"/>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p>
    <w:p>
      <w:pPr>
        <w:ind w:firstLine="708"/>
        <w:jc w:val="both"/>
      </w:pPr>
      <w:r>
        <w:t>8.3. Контракт может быть расторгнут:</w:t>
      </w:r>
    </w:p>
    <w:p>
      <w:pPr>
        <w:jc w:val="both"/>
      </w:pPr>
      <w:r>
        <w:t>- по соглашению сторон;</w:t>
      </w:r>
    </w:p>
    <w:p>
      <w:pPr>
        <w:jc w:val="both"/>
      </w:pPr>
      <w:r>
        <w:t>- по решению суда;</w:t>
      </w:r>
    </w:p>
    <w:p>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pPr>
        <w:ind w:firstLine="708"/>
        <w:jc w:val="both"/>
      </w:pPr>
      <w: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pPr>
        <w:autoSpaceDE w:val="0"/>
        <w:autoSpaceDN w:val="0"/>
        <w:adjustRightInd w:val="0"/>
        <w:ind w:firstLine="709"/>
        <w:jc w:val="both"/>
        <w:rPr>
          <w:rFonts w:eastAsia="Calibri"/>
        </w:rPr>
      </w:pPr>
      <w:r>
        <w:rPr>
          <w:color w:val="000000"/>
        </w:rPr>
        <w:lastRenderedPageBreak/>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pPr>
        <w:autoSpaceDE w:val="0"/>
        <w:autoSpaceDN w:val="0"/>
        <w:adjustRightInd w:val="0"/>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autoSpaceDE w:val="0"/>
        <w:autoSpaceDN w:val="0"/>
        <w:adjustRightInd w:val="0"/>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pPr>
        <w:autoSpaceDE w:val="0"/>
        <w:autoSpaceDN w:val="0"/>
        <w:adjustRightInd w:val="0"/>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pPr>
        <w:autoSpaceDE w:val="0"/>
        <w:autoSpaceDN w:val="0"/>
        <w:adjustRightInd w:val="0"/>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autoSpaceDE w:val="0"/>
        <w:autoSpaceDN w:val="0"/>
        <w:adjustRightInd w:val="0"/>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Pr>
          <w:rFonts w:eastAsia="Calibri"/>
        </w:rPr>
        <w:lastRenderedPageBreak/>
        <w:t>(в случае передачи такого решения лицу, имеющему право действовать от имени Заказчика, лично под расписку);</w:t>
      </w:r>
    </w:p>
    <w:p>
      <w:pPr>
        <w:autoSpaceDE w:val="0"/>
        <w:autoSpaceDN w:val="0"/>
        <w:adjustRightInd w:val="0"/>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autoSpaceDE w:val="0"/>
        <w:autoSpaceDN w:val="0"/>
        <w:adjustRightInd w:val="0"/>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jc w:val="center"/>
        <w:rPr>
          <w:b/>
        </w:rPr>
      </w:pPr>
    </w:p>
    <w:p>
      <w:pPr>
        <w:jc w:val="center"/>
        <w:rPr>
          <w:b/>
        </w:rPr>
      </w:pPr>
      <w:r>
        <w:rPr>
          <w:b/>
        </w:rPr>
        <w:t>9. Порядок урегулирования споров</w:t>
      </w:r>
    </w:p>
    <w:p>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jc w:val="center"/>
        <w:rPr>
          <w:b/>
        </w:rPr>
      </w:pPr>
    </w:p>
    <w:p>
      <w:pPr>
        <w:jc w:val="center"/>
        <w:rPr>
          <w:b/>
        </w:rPr>
      </w:pPr>
      <w:r>
        <w:rPr>
          <w:b/>
        </w:rPr>
        <w:t>10. Прочие условия</w:t>
      </w:r>
    </w:p>
    <w:p>
      <w:pPr>
        <w:widowControl w:val="0"/>
        <w:autoSpaceDE w:val="0"/>
        <w:autoSpaceDN w:val="0"/>
        <w:adjustRightInd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pPr>
        <w:ind w:firstLine="708"/>
        <w:jc w:val="both"/>
      </w:pPr>
      <w:r>
        <w:t>10.2. Во всем, что не предусмотрено Контрактом, Стороны руководствуются законодательством Российской Федерации.</w:t>
      </w:r>
    </w:p>
    <w:p>
      <w:pPr>
        <w:ind w:firstLine="708"/>
        <w:jc w:val="both"/>
      </w:pPr>
    </w:p>
    <w:p>
      <w:pPr>
        <w:jc w:val="center"/>
        <w:rPr>
          <w:b/>
        </w:rPr>
      </w:pPr>
      <w:r>
        <w:rPr>
          <w:b/>
        </w:rPr>
        <w:t>11. Приложения</w:t>
      </w:r>
    </w:p>
    <w:p>
      <w:pPr>
        <w:ind w:firstLine="708"/>
        <w:jc w:val="both"/>
      </w:pPr>
      <w:r>
        <w:t>11.1 Неотъемлемой частью Контракта являются:</w:t>
      </w:r>
    </w:p>
    <w:p>
      <w:pPr>
        <w:ind w:left="708" w:firstLine="708"/>
      </w:pPr>
      <w:r>
        <w:t>Приложение № 1 «Спецификация»;</w:t>
      </w:r>
    </w:p>
    <w:p>
      <w:pPr>
        <w:ind w:left="708" w:firstLine="708"/>
      </w:pPr>
      <w:r>
        <w:t>Приложение № 2 «Техническое задание»</w:t>
      </w:r>
    </w:p>
    <w:p>
      <w:pPr>
        <w:ind w:left="708" w:firstLine="708"/>
      </w:pPr>
    </w:p>
    <w:p>
      <w:pPr>
        <w:ind w:left="708" w:firstLine="708"/>
        <w:rPr>
          <w:b/>
        </w:rPr>
      </w:pPr>
      <w:r>
        <w:rPr>
          <w:b/>
        </w:rPr>
        <w:t>12. Реквизиты и подписи сторон</w:t>
      </w:r>
    </w:p>
    <w:p>
      <w:pPr>
        <w:jc w:val="center"/>
        <w:rPr>
          <w:b/>
        </w:rPr>
      </w:pPr>
    </w:p>
    <w:tbl>
      <w:tblPr>
        <w:tblW w:w="9622" w:type="dxa"/>
        <w:tblInd w:w="-470" w:type="dxa"/>
        <w:tblLayout w:type="fixed"/>
        <w:tblCellMar>
          <w:left w:w="70" w:type="dxa"/>
          <w:right w:w="70" w:type="dxa"/>
        </w:tblCellMar>
        <w:tblLook w:val="0000" w:firstRow="0" w:lastRow="0" w:firstColumn="0" w:lastColumn="0" w:noHBand="0" w:noVBand="0"/>
      </w:tblPr>
      <w:tblGrid>
        <w:gridCol w:w="4750"/>
        <w:gridCol w:w="4872"/>
      </w:tblGrid>
      <w:tr>
        <w:trPr>
          <w:trHeight w:val="283"/>
        </w:trPr>
        <w:tc>
          <w:tcPr>
            <w:tcW w:w="4750" w:type="dxa"/>
          </w:tcPr>
          <w:p>
            <w:pPr>
              <w:widowControl w:val="0"/>
              <w:ind w:firstLine="425"/>
              <w:rPr>
                <w:rFonts w:eastAsia="Courier New"/>
                <w:b/>
                <w:color w:val="000000"/>
                <w:sz w:val="20"/>
                <w:szCs w:val="20"/>
                <w:lang w:bidi="ru-RU"/>
              </w:rPr>
            </w:pPr>
            <w:r>
              <w:rPr>
                <w:rFonts w:eastAsia="Courier New"/>
                <w:b/>
                <w:color w:val="000000"/>
                <w:sz w:val="20"/>
                <w:szCs w:val="20"/>
                <w:lang w:bidi="ru-RU"/>
              </w:rPr>
              <w:t>ЗАКАЗЧИК</w:t>
            </w:r>
          </w:p>
          <w:p>
            <w:pPr>
              <w:rPr>
                <w:b/>
                <w:color w:val="000000"/>
                <w:sz w:val="20"/>
                <w:szCs w:val="20"/>
              </w:rPr>
            </w:pPr>
            <w:r>
              <w:rPr>
                <w:b/>
                <w:color w:val="000000"/>
                <w:sz w:val="20"/>
                <w:szCs w:val="20"/>
              </w:rPr>
              <w:t>ГБДОУ детский сад № 80</w:t>
            </w:r>
          </w:p>
          <w:p>
            <w:pPr>
              <w:rPr>
                <w:b/>
                <w:color w:val="000000"/>
                <w:sz w:val="20"/>
                <w:szCs w:val="20"/>
              </w:rPr>
            </w:pPr>
            <w:r>
              <w:rPr>
                <w:b/>
                <w:color w:val="000000"/>
                <w:sz w:val="20"/>
                <w:szCs w:val="20"/>
              </w:rPr>
              <w:t xml:space="preserve">Московского района Санкт-Петербурга </w:t>
            </w:r>
          </w:p>
          <w:p>
            <w:pPr>
              <w:rPr>
                <w:sz w:val="20"/>
              </w:rPr>
            </w:pPr>
            <w:r>
              <w:rPr>
                <w:sz w:val="20"/>
              </w:rPr>
              <w:lastRenderedPageBreak/>
              <w:t>Юридический Адрес:196158 Санкт-Петербург, Пулковское шоссе, дом 34 корп.2, лит.А</w:t>
            </w:r>
          </w:p>
          <w:p>
            <w:pPr>
              <w:rPr>
                <w:sz w:val="20"/>
              </w:rPr>
            </w:pPr>
            <w:r>
              <w:rPr>
                <w:sz w:val="20"/>
              </w:rPr>
              <w:t>Адрес: Санкт-Петербург, Дунайский проспект 7 корпус 5, литер А, ул. Федора Котанова, дом 3, корпус 3, стр.1</w:t>
            </w:r>
            <w:r>
              <w:rPr>
                <w:sz w:val="20"/>
              </w:rPr>
              <w:br/>
              <w:t>Телефон/факс: 373-51-80, 616-47-26</w:t>
            </w:r>
          </w:p>
          <w:p>
            <w:pPr>
              <w:rPr>
                <w:sz w:val="20"/>
              </w:rPr>
            </w:pPr>
            <w:r>
              <w:rPr>
                <w:sz w:val="20"/>
              </w:rPr>
              <w:t>Расч./счет</w:t>
            </w:r>
            <w:r>
              <w:rPr>
                <w:sz w:val="20"/>
              </w:rPr>
              <w:tab/>
              <w:t>40102810945370000005</w:t>
            </w:r>
          </w:p>
          <w:p>
            <w:pPr>
              <w:rPr>
                <w:sz w:val="20"/>
                <w:szCs w:val="20"/>
              </w:rPr>
            </w:pPr>
            <w:r>
              <w:rPr>
                <w:sz w:val="20"/>
                <w:szCs w:val="20"/>
              </w:rPr>
              <w:t xml:space="preserve">ОКЦ № 1 СЗГУ Банка России//УФК по г. Санкт-Петербургу, г Санкт-Петербургу. </w:t>
            </w:r>
          </w:p>
          <w:p>
            <w:pPr>
              <w:rPr>
                <w:sz w:val="20"/>
              </w:rPr>
            </w:pPr>
            <w:r>
              <w:rPr>
                <w:sz w:val="20"/>
              </w:rPr>
              <w:t xml:space="preserve">казн.счет 03224643400000007200                                                                                                   </w:t>
            </w:r>
          </w:p>
          <w:p>
            <w:pPr>
              <w:rPr>
                <w:sz w:val="20"/>
              </w:rPr>
            </w:pPr>
            <w:r>
              <w:rPr>
                <w:sz w:val="20"/>
              </w:rPr>
              <w:t>Лицевой счет</w:t>
            </w:r>
            <w:r>
              <w:rPr>
                <w:sz w:val="20"/>
              </w:rPr>
              <w:tab/>
              <w:t>0591164</w:t>
            </w:r>
          </w:p>
          <w:p>
            <w:pPr>
              <w:rPr>
                <w:sz w:val="20"/>
              </w:rPr>
            </w:pPr>
            <w:r>
              <w:rPr>
                <w:sz w:val="20"/>
              </w:rPr>
              <w:t>ОКПО  79819996</w:t>
            </w:r>
          </w:p>
          <w:p>
            <w:pPr>
              <w:rPr>
                <w:sz w:val="20"/>
              </w:rPr>
            </w:pPr>
            <w:r>
              <w:rPr>
                <w:sz w:val="20"/>
              </w:rPr>
              <w:t>ОГРН</w:t>
            </w:r>
            <w:r>
              <w:rPr>
                <w:sz w:val="20"/>
              </w:rPr>
              <w:tab/>
              <w:t>1067847718718</w:t>
            </w:r>
          </w:p>
          <w:p>
            <w:pPr>
              <w:rPr>
                <w:sz w:val="20"/>
              </w:rPr>
            </w:pPr>
            <w:r>
              <w:rPr>
                <w:sz w:val="20"/>
              </w:rPr>
              <w:t>ИНН</w:t>
            </w:r>
            <w:r>
              <w:rPr>
                <w:sz w:val="20"/>
              </w:rPr>
              <w:tab/>
              <w:t>7810056364</w:t>
            </w:r>
          </w:p>
          <w:p>
            <w:pPr>
              <w:rPr>
                <w:sz w:val="20"/>
              </w:rPr>
            </w:pPr>
            <w:r>
              <w:rPr>
                <w:sz w:val="20"/>
              </w:rPr>
              <w:t>КПП</w:t>
            </w:r>
            <w:r>
              <w:rPr>
                <w:sz w:val="20"/>
              </w:rPr>
              <w:tab/>
              <w:t>781001001</w:t>
            </w:r>
          </w:p>
          <w:p>
            <w:pPr>
              <w:rPr>
                <w:sz w:val="20"/>
              </w:rPr>
            </w:pPr>
            <w:r>
              <w:rPr>
                <w:sz w:val="20"/>
              </w:rPr>
              <w:t>БИК</w:t>
            </w:r>
            <w:r>
              <w:rPr>
                <w:sz w:val="20"/>
              </w:rPr>
              <w:tab/>
              <w:t>014030106</w:t>
            </w:r>
          </w:p>
          <w:p>
            <w:pPr>
              <w:rPr>
                <w:sz w:val="20"/>
                <w:szCs w:val="20"/>
              </w:rPr>
            </w:pPr>
          </w:p>
          <w:p>
            <w:pPr>
              <w:rPr>
                <w:sz w:val="20"/>
                <w:szCs w:val="20"/>
              </w:rPr>
            </w:pPr>
            <w:r>
              <w:rPr>
                <w:sz w:val="20"/>
                <w:szCs w:val="20"/>
              </w:rPr>
              <w:t>Заведующий</w:t>
            </w:r>
          </w:p>
          <w:p>
            <w:pPr>
              <w:rPr>
                <w:sz w:val="20"/>
                <w:szCs w:val="20"/>
              </w:rPr>
            </w:pPr>
          </w:p>
          <w:p>
            <w:pPr>
              <w:rPr>
                <w:sz w:val="20"/>
                <w:szCs w:val="20"/>
              </w:rPr>
            </w:pPr>
            <w:r>
              <w:rPr>
                <w:sz w:val="20"/>
                <w:szCs w:val="20"/>
              </w:rPr>
              <w:t xml:space="preserve"> </w:t>
            </w:r>
          </w:p>
          <w:p>
            <w:pPr>
              <w:rPr>
                <w:sz w:val="20"/>
                <w:szCs w:val="20"/>
              </w:rPr>
            </w:pPr>
            <w:r>
              <w:rPr>
                <w:sz w:val="20"/>
                <w:szCs w:val="20"/>
              </w:rPr>
              <w:t xml:space="preserve"> ____________/ </w:t>
            </w:r>
            <w:r>
              <w:rPr>
                <w:color w:val="000000"/>
                <w:sz w:val="20"/>
                <w:szCs w:val="20"/>
              </w:rPr>
              <w:t>Федорова Н. А.</w:t>
            </w:r>
            <w:r>
              <w:rPr>
                <w:sz w:val="20"/>
                <w:szCs w:val="20"/>
              </w:rPr>
              <w:t xml:space="preserve">/ </w:t>
            </w:r>
          </w:p>
          <w:p>
            <w:pPr>
              <w:widowControl w:val="0"/>
              <w:ind w:firstLine="425"/>
              <w:rPr>
                <w:rFonts w:eastAsia="Courier New"/>
                <w:color w:val="000000"/>
                <w:sz w:val="20"/>
                <w:szCs w:val="20"/>
                <w:lang w:bidi="ru-RU"/>
              </w:rPr>
            </w:pPr>
            <w:r>
              <w:rPr>
                <w:sz w:val="20"/>
                <w:szCs w:val="20"/>
              </w:rPr>
              <w:t>ПОДПИСАНО ЭП</w:t>
            </w:r>
          </w:p>
        </w:tc>
        <w:tc>
          <w:tcPr>
            <w:tcW w:w="4872" w:type="dxa"/>
          </w:tcPr>
          <w:p>
            <w:pPr>
              <w:autoSpaceDE w:val="0"/>
              <w:autoSpaceDN w:val="0"/>
              <w:adjustRightInd w:val="0"/>
              <w:jc w:val="both"/>
              <w:rPr>
                <w:b/>
                <w:sz w:val="20"/>
                <w:szCs w:val="20"/>
              </w:rPr>
            </w:pPr>
            <w:r>
              <w:rPr>
                <w:b/>
                <w:caps/>
                <w:sz w:val="20"/>
                <w:szCs w:val="20"/>
              </w:rPr>
              <w:lastRenderedPageBreak/>
              <w:t xml:space="preserve">ПОСТАВЩИК: </w:t>
            </w: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rPr>
                <w:sz w:val="20"/>
                <w:szCs w:val="20"/>
              </w:rPr>
            </w:pPr>
            <w:r>
              <w:rPr>
                <w:sz w:val="20"/>
                <w:szCs w:val="20"/>
              </w:rPr>
              <w:t>____________/</w:t>
            </w:r>
            <w:r>
              <w:rPr>
                <w:color w:val="000000"/>
                <w:sz w:val="20"/>
                <w:szCs w:val="20"/>
              </w:rPr>
              <w:t xml:space="preserve"> _____./</w:t>
            </w:r>
          </w:p>
          <w:p>
            <w:pPr>
              <w:ind w:right="-82"/>
              <w:rPr>
                <w:sz w:val="20"/>
                <w:szCs w:val="20"/>
              </w:rPr>
            </w:pPr>
            <w:r>
              <w:rPr>
                <w:sz w:val="20"/>
                <w:szCs w:val="20"/>
              </w:rPr>
              <w:t>(ПОДПИСАНО ЭП)</w:t>
            </w:r>
          </w:p>
          <w:p>
            <w:pPr>
              <w:rPr>
                <w:bCs/>
                <w:sz w:val="20"/>
                <w:szCs w:val="20"/>
              </w:rPr>
            </w:pPr>
          </w:p>
        </w:tc>
      </w:tr>
    </w:tbl>
    <w:p>
      <w:pPr>
        <w:spacing w:after="160" w:line="259" w:lineRule="auto"/>
        <w:sectPr>
          <w:pgSz w:w="11906" w:h="16838"/>
          <w:pgMar w:top="1134" w:right="851" w:bottom="1134" w:left="1701" w:header="709" w:footer="709" w:gutter="0"/>
          <w:cols w:space="708"/>
          <w:docGrid w:linePitch="360"/>
        </w:sectPr>
      </w:pPr>
    </w:p>
    <w:p>
      <w:pPr>
        <w:ind w:left="6237"/>
        <w:jc w:val="right"/>
      </w:pPr>
      <w:r>
        <w:lastRenderedPageBreak/>
        <w:t>приложение № 1 к Контракту</w:t>
      </w:r>
    </w:p>
    <w:p>
      <w:pPr>
        <w:pStyle w:val="a4"/>
        <w:ind w:left="-426" w:firstLine="142"/>
        <w:jc w:val="right"/>
      </w:pPr>
      <w:r>
        <w:rPr>
          <w:rFonts w:ascii="Times New Roman" w:hAnsi="Times New Roman" w:cs="Times New Roman"/>
          <w:sz w:val="24"/>
          <w:szCs w:val="24"/>
        </w:rPr>
        <w:t>от «   » июля  2026г. №</w:t>
      </w:r>
      <w:r>
        <w:t xml:space="preserve"> </w:t>
      </w:r>
    </w:p>
    <w:p>
      <w:pPr>
        <w:jc w:val="center"/>
        <w:rPr>
          <w:b/>
        </w:rPr>
      </w:pPr>
      <w:r>
        <w:rPr>
          <w:b/>
        </w:rPr>
        <w:t>СПЕЦИФИКАЦИЯ</w:t>
      </w:r>
    </w:p>
    <w:tbl>
      <w:tblPr>
        <w:tblStyle w:val="a3"/>
        <w:tblW w:w="14884" w:type="dxa"/>
        <w:tblInd w:w="-5" w:type="dxa"/>
        <w:tblLayout w:type="fixed"/>
        <w:tblLook w:val="04A0" w:firstRow="1" w:lastRow="0" w:firstColumn="1" w:lastColumn="0" w:noHBand="0" w:noVBand="1"/>
      </w:tblPr>
      <w:tblGrid>
        <w:gridCol w:w="562"/>
        <w:gridCol w:w="2273"/>
        <w:gridCol w:w="851"/>
        <w:gridCol w:w="850"/>
        <w:gridCol w:w="1134"/>
        <w:gridCol w:w="992"/>
        <w:gridCol w:w="992"/>
        <w:gridCol w:w="5954"/>
        <w:gridCol w:w="1276"/>
      </w:tblGrid>
      <w:tr>
        <w:tc>
          <w:tcPr>
            <w:tcW w:w="562" w:type="dxa"/>
          </w:tcPr>
          <w:p>
            <w:pPr>
              <w:jc w:val="center"/>
              <w:rPr>
                <w:b/>
                <w:sz w:val="20"/>
                <w:szCs w:val="20"/>
              </w:rPr>
            </w:pPr>
            <w:r>
              <w:rPr>
                <w:b/>
                <w:sz w:val="20"/>
                <w:szCs w:val="20"/>
              </w:rPr>
              <w:t>№</w:t>
            </w:r>
          </w:p>
          <w:p>
            <w:pPr>
              <w:jc w:val="center"/>
              <w:rPr>
                <w:b/>
                <w:sz w:val="20"/>
                <w:szCs w:val="20"/>
              </w:rPr>
            </w:pPr>
            <w:r>
              <w:rPr>
                <w:b/>
                <w:sz w:val="20"/>
                <w:szCs w:val="20"/>
              </w:rPr>
              <w:t>п/п</w:t>
            </w:r>
          </w:p>
        </w:tc>
        <w:tc>
          <w:tcPr>
            <w:tcW w:w="2273" w:type="dxa"/>
          </w:tcPr>
          <w:p>
            <w:pPr>
              <w:jc w:val="center"/>
              <w:rPr>
                <w:b/>
                <w:sz w:val="20"/>
                <w:szCs w:val="20"/>
              </w:rPr>
            </w:pPr>
            <w:r>
              <w:rPr>
                <w:b/>
                <w:sz w:val="20"/>
                <w:szCs w:val="20"/>
              </w:rPr>
              <w:t xml:space="preserve">Наименование </w:t>
            </w:r>
          </w:p>
        </w:tc>
        <w:tc>
          <w:tcPr>
            <w:tcW w:w="851" w:type="dxa"/>
          </w:tcPr>
          <w:p>
            <w:pPr>
              <w:jc w:val="center"/>
              <w:rPr>
                <w:b/>
                <w:sz w:val="20"/>
                <w:szCs w:val="20"/>
              </w:rPr>
            </w:pPr>
            <w:r>
              <w:rPr>
                <w:b/>
                <w:sz w:val="20"/>
                <w:szCs w:val="20"/>
              </w:rPr>
              <w:t>Ед.изм.</w:t>
            </w:r>
          </w:p>
        </w:tc>
        <w:tc>
          <w:tcPr>
            <w:tcW w:w="850" w:type="dxa"/>
          </w:tcPr>
          <w:p>
            <w:pPr>
              <w:jc w:val="center"/>
              <w:rPr>
                <w:b/>
                <w:sz w:val="20"/>
                <w:szCs w:val="20"/>
              </w:rPr>
            </w:pPr>
            <w:r>
              <w:rPr>
                <w:b/>
                <w:sz w:val="20"/>
                <w:szCs w:val="20"/>
              </w:rPr>
              <w:t>Кол-во</w:t>
            </w:r>
          </w:p>
        </w:tc>
        <w:tc>
          <w:tcPr>
            <w:tcW w:w="1134" w:type="dxa"/>
          </w:tcPr>
          <w:p>
            <w:pPr>
              <w:jc w:val="center"/>
              <w:rPr>
                <w:b/>
                <w:sz w:val="20"/>
                <w:szCs w:val="20"/>
              </w:rPr>
            </w:pPr>
            <w:r>
              <w:rPr>
                <w:b/>
                <w:sz w:val="20"/>
                <w:szCs w:val="20"/>
              </w:rPr>
              <w:t>Цена за единицу,</w:t>
            </w:r>
          </w:p>
          <w:p>
            <w:pPr>
              <w:jc w:val="center"/>
              <w:rPr>
                <w:b/>
                <w:sz w:val="20"/>
                <w:szCs w:val="20"/>
              </w:rPr>
            </w:pPr>
            <w:r>
              <w:rPr>
                <w:b/>
                <w:sz w:val="20"/>
                <w:szCs w:val="20"/>
              </w:rPr>
              <w:t>руб. без НДС</w:t>
            </w:r>
          </w:p>
        </w:tc>
        <w:tc>
          <w:tcPr>
            <w:tcW w:w="992" w:type="dxa"/>
          </w:tcPr>
          <w:p>
            <w:pPr>
              <w:jc w:val="center"/>
              <w:rPr>
                <w:b/>
                <w:sz w:val="20"/>
                <w:szCs w:val="20"/>
              </w:rPr>
            </w:pPr>
            <w:r>
              <w:rPr>
                <w:b/>
                <w:sz w:val="20"/>
                <w:szCs w:val="20"/>
              </w:rPr>
              <w:t>Страна производитель</w:t>
            </w:r>
          </w:p>
        </w:tc>
        <w:tc>
          <w:tcPr>
            <w:tcW w:w="992" w:type="dxa"/>
          </w:tcPr>
          <w:p>
            <w:pPr>
              <w:jc w:val="center"/>
              <w:rPr>
                <w:b/>
                <w:sz w:val="20"/>
                <w:szCs w:val="20"/>
              </w:rPr>
            </w:pPr>
            <w:r>
              <w:rPr>
                <w:b/>
                <w:sz w:val="20"/>
                <w:szCs w:val="20"/>
              </w:rPr>
              <w:t>Гарантия</w:t>
            </w:r>
          </w:p>
        </w:tc>
        <w:tc>
          <w:tcPr>
            <w:tcW w:w="5954" w:type="dxa"/>
          </w:tcPr>
          <w:p>
            <w:pPr>
              <w:jc w:val="center"/>
              <w:rPr>
                <w:b/>
                <w:sz w:val="20"/>
                <w:szCs w:val="20"/>
              </w:rPr>
            </w:pPr>
            <w:r>
              <w:rPr>
                <w:b/>
                <w:sz w:val="20"/>
                <w:szCs w:val="20"/>
              </w:rPr>
              <w:t>Характеристики товара</w:t>
            </w:r>
          </w:p>
        </w:tc>
        <w:tc>
          <w:tcPr>
            <w:tcW w:w="1276" w:type="dxa"/>
          </w:tcPr>
          <w:p>
            <w:pPr>
              <w:jc w:val="center"/>
              <w:rPr>
                <w:b/>
                <w:sz w:val="20"/>
                <w:szCs w:val="20"/>
              </w:rPr>
            </w:pPr>
            <w:r>
              <w:rPr>
                <w:b/>
                <w:sz w:val="20"/>
                <w:szCs w:val="20"/>
              </w:rPr>
              <w:t>Стоимость,</w:t>
            </w:r>
          </w:p>
          <w:p>
            <w:pPr>
              <w:jc w:val="center"/>
              <w:rPr>
                <w:b/>
                <w:sz w:val="20"/>
                <w:szCs w:val="20"/>
              </w:rPr>
            </w:pPr>
            <w:r>
              <w:rPr>
                <w:b/>
                <w:sz w:val="20"/>
                <w:szCs w:val="20"/>
              </w:rPr>
              <w:t>руб. без НДС</w:t>
            </w:r>
          </w:p>
        </w:tc>
      </w:tr>
      <w:tr>
        <w:tc>
          <w:tcPr>
            <w:tcW w:w="562" w:type="dxa"/>
          </w:tcPr>
          <w:p>
            <w:pPr>
              <w:rPr>
                <w:sz w:val="22"/>
                <w:szCs w:val="22"/>
              </w:rPr>
            </w:pPr>
            <w:r>
              <w:rPr>
                <w:sz w:val="22"/>
                <w:szCs w:val="22"/>
              </w:rPr>
              <w:t>1</w:t>
            </w:r>
          </w:p>
        </w:tc>
        <w:tc>
          <w:tcPr>
            <w:tcW w:w="2273" w:type="dxa"/>
          </w:tcPr>
          <w:p>
            <w:pPr>
              <w:rPr>
                <w:sz w:val="22"/>
                <w:szCs w:val="22"/>
              </w:rPr>
            </w:pPr>
            <w:r>
              <w:rPr>
                <w:sz w:val="22"/>
                <w:szCs w:val="22"/>
              </w:rPr>
              <w:t>Картридж CF259X/057H для Canon MF443/445,</w:t>
            </w:r>
            <w:r>
              <w:rPr>
                <w:sz w:val="22"/>
                <w:szCs w:val="22"/>
              </w:rPr>
              <w:br/>
              <w:t>15000 стр. (с чипом) совместимый</w:t>
            </w:r>
          </w:p>
        </w:tc>
        <w:tc>
          <w:tcPr>
            <w:tcW w:w="851" w:type="dxa"/>
          </w:tcPr>
          <w:p>
            <w:pPr>
              <w:rPr>
                <w:sz w:val="22"/>
                <w:szCs w:val="22"/>
              </w:rPr>
            </w:pPr>
            <w:r>
              <w:rPr>
                <w:sz w:val="22"/>
                <w:szCs w:val="22"/>
              </w:rPr>
              <w:t>шт</w:t>
            </w:r>
          </w:p>
        </w:tc>
        <w:tc>
          <w:tcPr>
            <w:tcW w:w="850" w:type="dxa"/>
            <w:vAlign w:val="center"/>
          </w:tcPr>
          <w:p>
            <w:pPr>
              <w:jc w:val="center"/>
              <w:rPr>
                <w:color w:val="000000"/>
              </w:rPr>
            </w:pPr>
            <w:r>
              <w:rPr>
                <w:color w:val="000000"/>
              </w:rPr>
              <w:t>8</w:t>
            </w:r>
          </w:p>
        </w:tc>
        <w:tc>
          <w:tcPr>
            <w:tcW w:w="1134" w:type="dxa"/>
            <w:vAlign w:val="center"/>
          </w:tcPr>
          <w:p>
            <w:pPr>
              <w:jc w:val="center"/>
              <w:rPr>
                <w:sz w:val="18"/>
                <w:szCs w:val="18"/>
              </w:rPr>
            </w:pPr>
          </w:p>
        </w:tc>
        <w:tc>
          <w:tcPr>
            <w:tcW w:w="992" w:type="dxa"/>
          </w:tcPr>
          <w:p>
            <w:pPr>
              <w:jc w:val="center"/>
              <w:rPr>
                <w:sz w:val="22"/>
                <w:szCs w:val="22"/>
              </w:rPr>
            </w:pPr>
          </w:p>
        </w:tc>
        <w:tc>
          <w:tcPr>
            <w:tcW w:w="992" w:type="dxa"/>
          </w:tcPr>
          <w:p>
            <w:pPr>
              <w:jc w:val="center"/>
              <w:rPr>
                <w:sz w:val="22"/>
                <w:szCs w:val="22"/>
              </w:rPr>
            </w:pPr>
          </w:p>
        </w:tc>
        <w:tc>
          <w:tcPr>
            <w:tcW w:w="5954" w:type="dxa"/>
            <w:vAlign w:val="center"/>
          </w:tcPr>
          <w:p>
            <w:pPr>
              <w:rPr>
                <w:sz w:val="20"/>
                <w:szCs w:val="20"/>
              </w:rPr>
            </w:pPr>
            <w:r>
              <w:rPr>
                <w:sz w:val="20"/>
                <w:szCs w:val="20"/>
              </w:rPr>
              <w:t xml:space="preserve">Тип:-Совместимый </w:t>
            </w:r>
          </w:p>
          <w:p>
            <w:pPr>
              <w:rPr>
                <w:sz w:val="20"/>
                <w:szCs w:val="20"/>
              </w:rPr>
            </w:pPr>
            <w:r>
              <w:rPr>
                <w:sz w:val="20"/>
                <w:szCs w:val="20"/>
              </w:rPr>
              <w:t>Технология печати:-Лазерная</w:t>
            </w:r>
          </w:p>
          <w:p>
            <w:pPr>
              <w:rPr>
                <w:sz w:val="20"/>
                <w:szCs w:val="20"/>
              </w:rPr>
            </w:pPr>
            <w:r>
              <w:rPr>
                <w:sz w:val="20"/>
                <w:szCs w:val="20"/>
              </w:rPr>
              <w:t xml:space="preserve"> Цвет:-Черный</w:t>
            </w:r>
          </w:p>
          <w:p>
            <w:pPr>
              <w:rPr>
                <w:sz w:val="20"/>
                <w:szCs w:val="20"/>
              </w:rPr>
            </w:pPr>
            <w:r>
              <w:rPr>
                <w:sz w:val="20"/>
                <w:szCs w:val="20"/>
              </w:rPr>
              <w:t xml:space="preserve"> Ресурс при 5% заполнении страницы, страница: 15000 стр.</w:t>
            </w:r>
          </w:p>
          <w:p>
            <w:pPr>
              <w:rPr>
                <w:sz w:val="20"/>
                <w:szCs w:val="20"/>
              </w:rPr>
            </w:pPr>
            <w:r>
              <w:rPr>
                <w:sz w:val="20"/>
                <w:szCs w:val="20"/>
              </w:rPr>
              <w:t xml:space="preserve"> Комплектация: - С чипом</w:t>
            </w:r>
          </w:p>
          <w:p>
            <w:pPr>
              <w:rPr>
                <w:sz w:val="20"/>
                <w:szCs w:val="20"/>
              </w:rPr>
            </w:pPr>
            <w:r>
              <w:rPr>
                <w:sz w:val="20"/>
                <w:szCs w:val="20"/>
              </w:rPr>
              <w:t xml:space="preserve"> Совместимость: </w:t>
            </w:r>
            <w:r>
              <w:rPr>
                <w:sz w:val="20"/>
                <w:szCs w:val="20"/>
              </w:rPr>
              <w:t>Canon MF443/445</w:t>
            </w:r>
          </w:p>
        </w:tc>
        <w:tc>
          <w:tcPr>
            <w:tcW w:w="1276" w:type="dxa"/>
            <w:vAlign w:val="center"/>
          </w:tcPr>
          <w:p>
            <w:pPr>
              <w:jc w:val="center"/>
              <w:rPr>
                <w:sz w:val="22"/>
                <w:szCs w:val="22"/>
                <w:lang w:val="en-US"/>
              </w:rPr>
            </w:pPr>
          </w:p>
        </w:tc>
      </w:tr>
      <w:tr>
        <w:tc>
          <w:tcPr>
            <w:tcW w:w="562" w:type="dxa"/>
          </w:tcPr>
          <w:p>
            <w:pPr>
              <w:rPr>
                <w:sz w:val="22"/>
                <w:szCs w:val="22"/>
              </w:rPr>
            </w:pPr>
            <w:r>
              <w:rPr>
                <w:sz w:val="22"/>
                <w:szCs w:val="22"/>
              </w:rPr>
              <w:t>2</w:t>
            </w:r>
          </w:p>
        </w:tc>
        <w:tc>
          <w:tcPr>
            <w:tcW w:w="2273" w:type="dxa"/>
          </w:tcPr>
          <w:p>
            <w:pPr>
              <w:rPr>
                <w:sz w:val="22"/>
                <w:szCs w:val="22"/>
              </w:rPr>
            </w:pPr>
            <w:r>
              <w:rPr>
                <w:sz w:val="22"/>
                <w:szCs w:val="22"/>
              </w:rPr>
              <w:t>Картридж 006R04364 для Xerox C315, 8000 стр.,</w:t>
            </w:r>
            <w:r>
              <w:rPr>
                <w:sz w:val="22"/>
                <w:szCs w:val="22"/>
              </w:rPr>
              <w:br/>
              <w:t>черный, совместимый</w:t>
            </w:r>
          </w:p>
        </w:tc>
        <w:tc>
          <w:tcPr>
            <w:tcW w:w="851" w:type="dxa"/>
          </w:tcPr>
          <w:p>
            <w:pPr>
              <w:rPr>
                <w:sz w:val="22"/>
                <w:szCs w:val="22"/>
              </w:rPr>
            </w:pPr>
            <w:r>
              <w:rPr>
                <w:sz w:val="22"/>
                <w:szCs w:val="22"/>
              </w:rPr>
              <w:t>шт</w:t>
            </w:r>
          </w:p>
        </w:tc>
        <w:tc>
          <w:tcPr>
            <w:tcW w:w="850" w:type="dxa"/>
            <w:vAlign w:val="center"/>
          </w:tcPr>
          <w:p>
            <w:pPr>
              <w:jc w:val="center"/>
              <w:rPr>
                <w:color w:val="000000"/>
              </w:rPr>
            </w:pPr>
            <w:r>
              <w:rPr>
                <w:color w:val="000000"/>
              </w:rPr>
              <w:t>15</w:t>
            </w:r>
          </w:p>
        </w:tc>
        <w:tc>
          <w:tcPr>
            <w:tcW w:w="1134" w:type="dxa"/>
            <w:vAlign w:val="center"/>
          </w:tcPr>
          <w:p>
            <w:pPr>
              <w:jc w:val="center"/>
              <w:rPr>
                <w:sz w:val="18"/>
                <w:szCs w:val="18"/>
              </w:rPr>
            </w:pPr>
          </w:p>
        </w:tc>
        <w:tc>
          <w:tcPr>
            <w:tcW w:w="992" w:type="dxa"/>
          </w:tcPr>
          <w:p>
            <w:pPr>
              <w:jc w:val="center"/>
              <w:rPr>
                <w:sz w:val="22"/>
                <w:szCs w:val="22"/>
              </w:rPr>
            </w:pPr>
          </w:p>
        </w:tc>
        <w:tc>
          <w:tcPr>
            <w:tcW w:w="992" w:type="dxa"/>
          </w:tcPr>
          <w:p>
            <w:pPr>
              <w:jc w:val="center"/>
              <w:rPr>
                <w:sz w:val="22"/>
                <w:szCs w:val="22"/>
              </w:rPr>
            </w:pPr>
          </w:p>
        </w:tc>
        <w:tc>
          <w:tcPr>
            <w:tcW w:w="5954" w:type="dxa"/>
          </w:tcPr>
          <w:p>
            <w:pPr>
              <w:rPr>
                <w:sz w:val="20"/>
                <w:szCs w:val="20"/>
              </w:rPr>
            </w:pPr>
            <w:r>
              <w:rPr>
                <w:sz w:val="20"/>
                <w:szCs w:val="20"/>
              </w:rPr>
              <w:t>Тип: Совместимый</w:t>
            </w:r>
          </w:p>
          <w:p>
            <w:pPr>
              <w:rPr>
                <w:sz w:val="20"/>
                <w:szCs w:val="20"/>
              </w:rPr>
            </w:pPr>
            <w:r>
              <w:rPr>
                <w:sz w:val="20"/>
                <w:szCs w:val="20"/>
              </w:rPr>
              <w:t>Технология печати: Лазерная</w:t>
            </w:r>
          </w:p>
          <w:p>
            <w:pPr>
              <w:rPr>
                <w:sz w:val="20"/>
                <w:szCs w:val="20"/>
              </w:rPr>
            </w:pPr>
            <w:r>
              <w:rPr>
                <w:sz w:val="20"/>
                <w:szCs w:val="20"/>
              </w:rPr>
              <w:t>Цвет: Черный</w:t>
            </w:r>
          </w:p>
          <w:p>
            <w:pPr>
              <w:rPr>
                <w:sz w:val="20"/>
                <w:szCs w:val="20"/>
              </w:rPr>
            </w:pPr>
            <w:r>
              <w:rPr>
                <w:sz w:val="20"/>
                <w:szCs w:val="20"/>
              </w:rPr>
              <w:t>Емкость: Стандартная</w:t>
            </w:r>
          </w:p>
          <w:p>
            <w:pPr>
              <w:rPr>
                <w:sz w:val="20"/>
                <w:szCs w:val="20"/>
              </w:rPr>
            </w:pPr>
            <w:r>
              <w:rPr>
                <w:sz w:val="20"/>
                <w:szCs w:val="20"/>
              </w:rPr>
              <w:t>Ресурс при 5% заполнении страницы, страница: ≥ 8000</w:t>
            </w:r>
          </w:p>
          <w:p>
            <w:pPr>
              <w:rPr>
                <w:sz w:val="20"/>
                <w:szCs w:val="20"/>
              </w:rPr>
            </w:pPr>
            <w:r>
              <w:rPr>
                <w:sz w:val="20"/>
                <w:szCs w:val="20"/>
              </w:rPr>
              <w:t xml:space="preserve">Совместимость: </w:t>
            </w:r>
            <w:r>
              <w:rPr>
                <w:sz w:val="20"/>
                <w:szCs w:val="20"/>
              </w:rPr>
              <w:t>Xerox</w:t>
            </w:r>
            <w:bookmarkStart w:id="0" w:name="_GoBack"/>
            <w:bookmarkEnd w:id="0"/>
            <w:r>
              <w:rPr>
                <w:sz w:val="20"/>
                <w:szCs w:val="20"/>
                <w:lang w:val="en-US"/>
              </w:rPr>
              <w:t xml:space="preserve"> </w:t>
            </w:r>
            <w:r>
              <w:rPr>
                <w:sz w:val="20"/>
                <w:szCs w:val="20"/>
              </w:rPr>
              <w:t>C315</w:t>
            </w:r>
          </w:p>
        </w:tc>
        <w:tc>
          <w:tcPr>
            <w:tcW w:w="1276" w:type="dxa"/>
            <w:vAlign w:val="center"/>
          </w:tcPr>
          <w:p>
            <w:pPr>
              <w:jc w:val="center"/>
              <w:rPr>
                <w:sz w:val="22"/>
                <w:szCs w:val="22"/>
              </w:rPr>
            </w:pPr>
          </w:p>
        </w:tc>
      </w:tr>
      <w:tr>
        <w:tc>
          <w:tcPr>
            <w:tcW w:w="562" w:type="dxa"/>
          </w:tcPr>
          <w:p>
            <w:pPr>
              <w:rPr>
                <w:sz w:val="22"/>
                <w:szCs w:val="22"/>
              </w:rPr>
            </w:pPr>
            <w:r>
              <w:rPr>
                <w:sz w:val="22"/>
                <w:szCs w:val="22"/>
              </w:rPr>
              <w:t>3</w:t>
            </w:r>
          </w:p>
        </w:tc>
        <w:tc>
          <w:tcPr>
            <w:tcW w:w="2273" w:type="dxa"/>
          </w:tcPr>
          <w:p>
            <w:pPr>
              <w:rPr>
                <w:sz w:val="22"/>
                <w:szCs w:val="22"/>
              </w:rPr>
            </w:pPr>
            <w:r>
              <w:rPr>
                <w:sz w:val="22"/>
                <w:szCs w:val="22"/>
              </w:rPr>
              <w:t>Картридж 006R04365 для Xerox C315, 5500 стр.,</w:t>
            </w:r>
            <w:r>
              <w:rPr>
                <w:sz w:val="22"/>
                <w:szCs w:val="22"/>
              </w:rPr>
              <w:br/>
              <w:t>голубой, совместимый</w:t>
            </w:r>
            <w:r>
              <w:rPr>
                <w:sz w:val="22"/>
                <w:szCs w:val="22"/>
              </w:rPr>
              <w:br/>
            </w:r>
            <w:r>
              <w:rPr>
                <w:sz w:val="22"/>
                <w:szCs w:val="22"/>
              </w:rPr>
              <w:br/>
              <w:t>голубой, совместимый</w:t>
            </w:r>
          </w:p>
        </w:tc>
        <w:tc>
          <w:tcPr>
            <w:tcW w:w="851" w:type="dxa"/>
          </w:tcPr>
          <w:p>
            <w:pPr>
              <w:rPr>
                <w:sz w:val="22"/>
                <w:szCs w:val="22"/>
              </w:rPr>
            </w:pPr>
            <w:r>
              <w:rPr>
                <w:sz w:val="22"/>
                <w:szCs w:val="22"/>
              </w:rPr>
              <w:t>шт</w:t>
            </w:r>
          </w:p>
        </w:tc>
        <w:tc>
          <w:tcPr>
            <w:tcW w:w="850" w:type="dxa"/>
            <w:vAlign w:val="center"/>
          </w:tcPr>
          <w:p>
            <w:pPr>
              <w:jc w:val="center"/>
              <w:rPr>
                <w:color w:val="000000"/>
              </w:rPr>
            </w:pPr>
            <w:r>
              <w:rPr>
                <w:color w:val="000000"/>
              </w:rPr>
              <w:t>9</w:t>
            </w:r>
          </w:p>
        </w:tc>
        <w:tc>
          <w:tcPr>
            <w:tcW w:w="1134" w:type="dxa"/>
            <w:vAlign w:val="center"/>
          </w:tcPr>
          <w:p>
            <w:pPr>
              <w:jc w:val="center"/>
              <w:rPr>
                <w:sz w:val="18"/>
                <w:szCs w:val="18"/>
              </w:rPr>
            </w:pPr>
          </w:p>
        </w:tc>
        <w:tc>
          <w:tcPr>
            <w:tcW w:w="992" w:type="dxa"/>
          </w:tcPr>
          <w:p>
            <w:pPr>
              <w:jc w:val="center"/>
              <w:rPr>
                <w:sz w:val="22"/>
                <w:szCs w:val="22"/>
              </w:rPr>
            </w:pPr>
          </w:p>
        </w:tc>
        <w:tc>
          <w:tcPr>
            <w:tcW w:w="992" w:type="dxa"/>
          </w:tcPr>
          <w:p>
            <w:pPr>
              <w:jc w:val="center"/>
              <w:rPr>
                <w:sz w:val="22"/>
                <w:szCs w:val="22"/>
              </w:rPr>
            </w:pPr>
          </w:p>
        </w:tc>
        <w:tc>
          <w:tcPr>
            <w:tcW w:w="5954" w:type="dxa"/>
            <w:vAlign w:val="center"/>
          </w:tcPr>
          <w:p>
            <w:pPr>
              <w:rPr>
                <w:sz w:val="20"/>
                <w:szCs w:val="20"/>
              </w:rPr>
            </w:pPr>
            <w:r>
              <w:rPr>
                <w:sz w:val="20"/>
                <w:szCs w:val="20"/>
              </w:rPr>
              <w:t>Тип: Совместимый</w:t>
            </w:r>
          </w:p>
          <w:p>
            <w:pPr>
              <w:rPr>
                <w:sz w:val="20"/>
                <w:szCs w:val="20"/>
              </w:rPr>
            </w:pPr>
            <w:r>
              <w:rPr>
                <w:sz w:val="20"/>
                <w:szCs w:val="20"/>
              </w:rPr>
              <w:t>Технология печати: Лазерная</w:t>
            </w:r>
          </w:p>
          <w:p>
            <w:pPr>
              <w:rPr>
                <w:sz w:val="20"/>
                <w:szCs w:val="20"/>
              </w:rPr>
            </w:pPr>
            <w:r>
              <w:rPr>
                <w:sz w:val="20"/>
                <w:szCs w:val="20"/>
              </w:rPr>
              <w:t>Цвет: Голубой</w:t>
            </w:r>
          </w:p>
          <w:p>
            <w:pPr>
              <w:rPr>
                <w:sz w:val="20"/>
                <w:szCs w:val="20"/>
              </w:rPr>
            </w:pPr>
            <w:r>
              <w:rPr>
                <w:sz w:val="20"/>
                <w:szCs w:val="20"/>
              </w:rPr>
              <w:t>Емкость: Стандартная</w:t>
            </w:r>
          </w:p>
          <w:p>
            <w:pPr>
              <w:rPr>
                <w:sz w:val="20"/>
                <w:szCs w:val="20"/>
              </w:rPr>
            </w:pPr>
            <w:r>
              <w:rPr>
                <w:sz w:val="20"/>
                <w:szCs w:val="20"/>
              </w:rPr>
              <w:t>Ресурс при 5% заполнении страницы, страница: ≥ 5500</w:t>
            </w:r>
          </w:p>
          <w:p>
            <w:pPr>
              <w:rPr>
                <w:sz w:val="20"/>
                <w:szCs w:val="20"/>
              </w:rPr>
            </w:pPr>
            <w:r>
              <w:rPr>
                <w:sz w:val="20"/>
                <w:szCs w:val="20"/>
              </w:rPr>
              <w:t xml:space="preserve">Совместимость: </w:t>
            </w:r>
            <w:r>
              <w:rPr>
                <w:sz w:val="20"/>
                <w:szCs w:val="20"/>
              </w:rPr>
              <w:t>Xerox C315</w:t>
            </w:r>
          </w:p>
        </w:tc>
        <w:tc>
          <w:tcPr>
            <w:tcW w:w="1276" w:type="dxa"/>
            <w:vAlign w:val="center"/>
          </w:tcPr>
          <w:p>
            <w:pPr>
              <w:jc w:val="center"/>
              <w:rPr>
                <w:sz w:val="22"/>
                <w:szCs w:val="22"/>
              </w:rPr>
            </w:pPr>
          </w:p>
        </w:tc>
      </w:tr>
      <w:tr>
        <w:tc>
          <w:tcPr>
            <w:tcW w:w="562" w:type="dxa"/>
          </w:tcPr>
          <w:p>
            <w:pPr>
              <w:rPr>
                <w:sz w:val="22"/>
                <w:szCs w:val="22"/>
              </w:rPr>
            </w:pPr>
            <w:r>
              <w:rPr>
                <w:sz w:val="22"/>
                <w:szCs w:val="22"/>
              </w:rPr>
              <w:t>4</w:t>
            </w:r>
          </w:p>
        </w:tc>
        <w:tc>
          <w:tcPr>
            <w:tcW w:w="2273" w:type="dxa"/>
          </w:tcPr>
          <w:p>
            <w:pPr>
              <w:rPr>
                <w:sz w:val="22"/>
                <w:szCs w:val="22"/>
              </w:rPr>
            </w:pPr>
            <w:r>
              <w:rPr>
                <w:sz w:val="22"/>
                <w:szCs w:val="22"/>
              </w:rPr>
              <w:t>Картридж 006R04366 для Xerox C315, 5500 стр., пурпурный, совместимый</w:t>
            </w:r>
          </w:p>
        </w:tc>
        <w:tc>
          <w:tcPr>
            <w:tcW w:w="851" w:type="dxa"/>
          </w:tcPr>
          <w:p>
            <w:pPr>
              <w:rPr>
                <w:sz w:val="22"/>
                <w:szCs w:val="22"/>
              </w:rPr>
            </w:pPr>
            <w:r>
              <w:rPr>
                <w:sz w:val="22"/>
                <w:szCs w:val="22"/>
              </w:rPr>
              <w:t>шт</w:t>
            </w:r>
          </w:p>
        </w:tc>
        <w:tc>
          <w:tcPr>
            <w:tcW w:w="850" w:type="dxa"/>
            <w:vAlign w:val="center"/>
          </w:tcPr>
          <w:p>
            <w:pPr>
              <w:jc w:val="center"/>
              <w:rPr>
                <w:color w:val="000000"/>
              </w:rPr>
            </w:pPr>
            <w:r>
              <w:rPr>
                <w:color w:val="000000"/>
              </w:rPr>
              <w:t>9</w:t>
            </w:r>
          </w:p>
        </w:tc>
        <w:tc>
          <w:tcPr>
            <w:tcW w:w="1134" w:type="dxa"/>
            <w:vAlign w:val="center"/>
          </w:tcPr>
          <w:p>
            <w:pPr>
              <w:jc w:val="center"/>
              <w:rPr>
                <w:sz w:val="18"/>
                <w:szCs w:val="18"/>
              </w:rPr>
            </w:pPr>
          </w:p>
        </w:tc>
        <w:tc>
          <w:tcPr>
            <w:tcW w:w="992" w:type="dxa"/>
          </w:tcPr>
          <w:p>
            <w:pPr>
              <w:jc w:val="center"/>
              <w:rPr>
                <w:sz w:val="22"/>
                <w:szCs w:val="22"/>
              </w:rPr>
            </w:pPr>
          </w:p>
        </w:tc>
        <w:tc>
          <w:tcPr>
            <w:tcW w:w="992" w:type="dxa"/>
          </w:tcPr>
          <w:p>
            <w:pPr>
              <w:jc w:val="center"/>
              <w:rPr>
                <w:sz w:val="22"/>
                <w:szCs w:val="22"/>
              </w:rPr>
            </w:pPr>
          </w:p>
        </w:tc>
        <w:tc>
          <w:tcPr>
            <w:tcW w:w="5954" w:type="dxa"/>
            <w:vAlign w:val="center"/>
          </w:tcPr>
          <w:p>
            <w:pPr>
              <w:rPr>
                <w:sz w:val="20"/>
                <w:szCs w:val="20"/>
              </w:rPr>
            </w:pPr>
            <w:r>
              <w:rPr>
                <w:sz w:val="20"/>
                <w:szCs w:val="20"/>
              </w:rPr>
              <w:t>Тип: Совместимый</w:t>
            </w:r>
          </w:p>
          <w:p>
            <w:pPr>
              <w:rPr>
                <w:sz w:val="20"/>
                <w:szCs w:val="20"/>
              </w:rPr>
            </w:pPr>
            <w:r>
              <w:rPr>
                <w:sz w:val="20"/>
                <w:szCs w:val="20"/>
              </w:rPr>
              <w:t>Технология печати: Лазерная</w:t>
            </w:r>
          </w:p>
          <w:p>
            <w:pPr>
              <w:rPr>
                <w:sz w:val="20"/>
                <w:szCs w:val="20"/>
              </w:rPr>
            </w:pPr>
            <w:r>
              <w:rPr>
                <w:sz w:val="20"/>
                <w:szCs w:val="20"/>
              </w:rPr>
              <w:t>Цвет: Пурпурный</w:t>
            </w:r>
          </w:p>
          <w:p>
            <w:pPr>
              <w:rPr>
                <w:sz w:val="20"/>
                <w:szCs w:val="20"/>
              </w:rPr>
            </w:pPr>
            <w:r>
              <w:rPr>
                <w:sz w:val="20"/>
                <w:szCs w:val="20"/>
              </w:rPr>
              <w:t>Емкость: Стандартная</w:t>
            </w:r>
          </w:p>
          <w:p>
            <w:pPr>
              <w:rPr>
                <w:sz w:val="20"/>
                <w:szCs w:val="20"/>
              </w:rPr>
            </w:pPr>
            <w:r>
              <w:rPr>
                <w:sz w:val="20"/>
                <w:szCs w:val="20"/>
              </w:rPr>
              <w:t>Ресурс при 5% заполнении страницы, страница: ≥ 5500</w:t>
            </w:r>
          </w:p>
          <w:p>
            <w:pPr>
              <w:rPr>
                <w:sz w:val="20"/>
                <w:szCs w:val="20"/>
              </w:rPr>
            </w:pPr>
            <w:r>
              <w:rPr>
                <w:sz w:val="20"/>
                <w:szCs w:val="20"/>
              </w:rPr>
              <w:t xml:space="preserve">Совместимость: </w:t>
            </w:r>
            <w:r>
              <w:rPr>
                <w:sz w:val="20"/>
                <w:szCs w:val="20"/>
              </w:rPr>
              <w:t>Xerox</w:t>
            </w:r>
            <w:r>
              <w:rPr>
                <w:sz w:val="20"/>
                <w:szCs w:val="20"/>
                <w:lang w:val="en-US"/>
              </w:rPr>
              <w:t xml:space="preserve"> </w:t>
            </w:r>
            <w:r>
              <w:rPr>
                <w:sz w:val="20"/>
                <w:szCs w:val="20"/>
              </w:rPr>
              <w:t>C315</w:t>
            </w:r>
          </w:p>
        </w:tc>
        <w:tc>
          <w:tcPr>
            <w:tcW w:w="1276" w:type="dxa"/>
            <w:vAlign w:val="center"/>
          </w:tcPr>
          <w:p>
            <w:pPr>
              <w:jc w:val="center"/>
              <w:rPr>
                <w:sz w:val="22"/>
                <w:szCs w:val="22"/>
              </w:rPr>
            </w:pPr>
          </w:p>
        </w:tc>
      </w:tr>
      <w:tr>
        <w:tc>
          <w:tcPr>
            <w:tcW w:w="562" w:type="dxa"/>
          </w:tcPr>
          <w:p>
            <w:pPr>
              <w:rPr>
                <w:sz w:val="22"/>
                <w:szCs w:val="22"/>
              </w:rPr>
            </w:pPr>
            <w:r>
              <w:rPr>
                <w:sz w:val="22"/>
                <w:szCs w:val="22"/>
              </w:rPr>
              <w:t>5</w:t>
            </w:r>
          </w:p>
        </w:tc>
        <w:tc>
          <w:tcPr>
            <w:tcW w:w="2273" w:type="dxa"/>
            <w:vAlign w:val="center"/>
          </w:tcPr>
          <w:p>
            <w:pPr>
              <w:rPr>
                <w:sz w:val="22"/>
                <w:szCs w:val="22"/>
              </w:rPr>
            </w:pPr>
            <w:r>
              <w:rPr>
                <w:sz w:val="22"/>
                <w:szCs w:val="22"/>
              </w:rPr>
              <w:t>Картридж 006R04367 для Xerox C315, 5500 стр.,</w:t>
            </w:r>
            <w:r>
              <w:rPr>
                <w:sz w:val="22"/>
                <w:szCs w:val="22"/>
              </w:rPr>
              <w:br/>
            </w:r>
            <w:r>
              <w:rPr>
                <w:sz w:val="22"/>
                <w:szCs w:val="22"/>
              </w:rPr>
              <w:lastRenderedPageBreak/>
              <w:t>желтый, совместимый</w:t>
            </w:r>
          </w:p>
        </w:tc>
        <w:tc>
          <w:tcPr>
            <w:tcW w:w="851" w:type="dxa"/>
          </w:tcPr>
          <w:p>
            <w:pPr>
              <w:rPr>
                <w:sz w:val="22"/>
                <w:szCs w:val="22"/>
              </w:rPr>
            </w:pPr>
            <w:r>
              <w:rPr>
                <w:sz w:val="22"/>
                <w:szCs w:val="22"/>
              </w:rPr>
              <w:lastRenderedPageBreak/>
              <w:t>шт</w:t>
            </w:r>
          </w:p>
        </w:tc>
        <w:tc>
          <w:tcPr>
            <w:tcW w:w="850" w:type="dxa"/>
            <w:vAlign w:val="center"/>
          </w:tcPr>
          <w:p>
            <w:pPr>
              <w:jc w:val="center"/>
              <w:rPr>
                <w:color w:val="000000"/>
              </w:rPr>
            </w:pPr>
            <w:r>
              <w:rPr>
                <w:color w:val="000000"/>
              </w:rPr>
              <w:t>9</w:t>
            </w:r>
          </w:p>
        </w:tc>
        <w:tc>
          <w:tcPr>
            <w:tcW w:w="1134" w:type="dxa"/>
            <w:vAlign w:val="center"/>
          </w:tcPr>
          <w:p>
            <w:pPr>
              <w:jc w:val="center"/>
              <w:rPr>
                <w:sz w:val="18"/>
                <w:szCs w:val="18"/>
              </w:rPr>
            </w:pPr>
          </w:p>
        </w:tc>
        <w:tc>
          <w:tcPr>
            <w:tcW w:w="992" w:type="dxa"/>
          </w:tcPr>
          <w:p>
            <w:pPr>
              <w:jc w:val="center"/>
              <w:rPr>
                <w:sz w:val="22"/>
                <w:szCs w:val="22"/>
              </w:rPr>
            </w:pPr>
          </w:p>
        </w:tc>
        <w:tc>
          <w:tcPr>
            <w:tcW w:w="992" w:type="dxa"/>
          </w:tcPr>
          <w:p>
            <w:pPr>
              <w:jc w:val="center"/>
              <w:rPr>
                <w:sz w:val="22"/>
                <w:szCs w:val="22"/>
              </w:rPr>
            </w:pPr>
          </w:p>
        </w:tc>
        <w:tc>
          <w:tcPr>
            <w:tcW w:w="5954" w:type="dxa"/>
            <w:vAlign w:val="center"/>
          </w:tcPr>
          <w:p>
            <w:pPr>
              <w:rPr>
                <w:sz w:val="20"/>
                <w:szCs w:val="20"/>
              </w:rPr>
            </w:pPr>
            <w:r>
              <w:rPr>
                <w:sz w:val="20"/>
                <w:szCs w:val="20"/>
              </w:rPr>
              <w:t>Тип: Совместимый</w:t>
            </w:r>
          </w:p>
          <w:p>
            <w:pPr>
              <w:rPr>
                <w:sz w:val="20"/>
                <w:szCs w:val="20"/>
              </w:rPr>
            </w:pPr>
            <w:r>
              <w:rPr>
                <w:sz w:val="20"/>
                <w:szCs w:val="20"/>
              </w:rPr>
              <w:t>Технология печати: Лазерная</w:t>
            </w:r>
          </w:p>
          <w:p>
            <w:pPr>
              <w:rPr>
                <w:sz w:val="20"/>
                <w:szCs w:val="20"/>
              </w:rPr>
            </w:pPr>
            <w:r>
              <w:rPr>
                <w:sz w:val="20"/>
                <w:szCs w:val="20"/>
              </w:rPr>
              <w:t>Цвет: Желтый</w:t>
            </w:r>
          </w:p>
          <w:p>
            <w:pPr>
              <w:rPr>
                <w:sz w:val="20"/>
                <w:szCs w:val="20"/>
              </w:rPr>
            </w:pPr>
            <w:r>
              <w:rPr>
                <w:sz w:val="20"/>
                <w:szCs w:val="20"/>
              </w:rPr>
              <w:t>Емкость: Стандартная</w:t>
            </w:r>
          </w:p>
          <w:p>
            <w:pPr>
              <w:rPr>
                <w:sz w:val="20"/>
                <w:szCs w:val="20"/>
              </w:rPr>
            </w:pPr>
            <w:r>
              <w:rPr>
                <w:sz w:val="20"/>
                <w:szCs w:val="20"/>
              </w:rPr>
              <w:t>Ресурс при 5% заполнении страницы, страница: ≥ 5500</w:t>
            </w:r>
          </w:p>
          <w:p>
            <w:pPr>
              <w:rPr>
                <w:sz w:val="20"/>
                <w:szCs w:val="20"/>
              </w:rPr>
            </w:pPr>
            <w:r>
              <w:rPr>
                <w:sz w:val="20"/>
                <w:szCs w:val="20"/>
              </w:rPr>
              <w:lastRenderedPageBreak/>
              <w:t xml:space="preserve">Совместимость:  </w:t>
            </w:r>
            <w:r>
              <w:rPr>
                <w:sz w:val="20"/>
                <w:szCs w:val="20"/>
              </w:rPr>
              <w:t>Xerox</w:t>
            </w:r>
            <w:r>
              <w:rPr>
                <w:sz w:val="20"/>
                <w:szCs w:val="20"/>
                <w:lang w:val="en-US"/>
              </w:rPr>
              <w:t xml:space="preserve"> </w:t>
            </w:r>
            <w:r>
              <w:rPr>
                <w:sz w:val="20"/>
                <w:szCs w:val="20"/>
              </w:rPr>
              <w:t>C315</w:t>
            </w:r>
          </w:p>
        </w:tc>
        <w:tc>
          <w:tcPr>
            <w:tcW w:w="1276" w:type="dxa"/>
            <w:vAlign w:val="center"/>
          </w:tcPr>
          <w:p>
            <w:pPr>
              <w:jc w:val="center"/>
              <w:rPr>
                <w:sz w:val="22"/>
                <w:szCs w:val="22"/>
              </w:rPr>
            </w:pPr>
          </w:p>
        </w:tc>
      </w:tr>
      <w:tr>
        <w:tc>
          <w:tcPr>
            <w:tcW w:w="13608" w:type="dxa"/>
            <w:gridSpan w:val="8"/>
          </w:tcPr>
          <w:p>
            <w:pPr>
              <w:rPr>
                <w:color w:val="000000" w:themeColor="text1"/>
                <w:sz w:val="16"/>
                <w:szCs w:val="16"/>
                <w:shd w:val="clear" w:color="auto" w:fill="FFFFFF"/>
              </w:rPr>
            </w:pPr>
            <w:r>
              <w:rPr>
                <w:color w:val="000000" w:themeColor="text1"/>
                <w:sz w:val="16"/>
                <w:szCs w:val="16"/>
                <w:shd w:val="clear" w:color="auto" w:fill="FFFFFF"/>
              </w:rPr>
              <w:lastRenderedPageBreak/>
              <w:t>ИТОГО:</w:t>
            </w:r>
          </w:p>
        </w:tc>
        <w:tc>
          <w:tcPr>
            <w:tcW w:w="1276" w:type="dxa"/>
          </w:tcPr>
          <w:p>
            <w:pPr>
              <w:jc w:val="center"/>
              <w:rPr>
                <w:b/>
                <w:sz w:val="22"/>
                <w:szCs w:val="22"/>
              </w:rPr>
            </w:pPr>
          </w:p>
        </w:tc>
      </w:tr>
    </w:tbl>
    <w:p>
      <w:pPr>
        <w:jc w:val="both"/>
      </w:pPr>
      <w:r>
        <w:rPr>
          <w:b/>
        </w:rPr>
        <w:t>Итого (цена Контракта)</w:t>
      </w:r>
      <w:r>
        <w:t xml:space="preserve">: </w:t>
      </w:r>
    </w:p>
    <w:p>
      <w:pPr>
        <w:jc w:val="both"/>
        <w:rPr>
          <w:sz w:val="22"/>
          <w:szCs w:val="22"/>
        </w:rPr>
      </w:pPr>
    </w:p>
    <w:tbl>
      <w:tblPr>
        <w:tblW w:w="0" w:type="auto"/>
        <w:tblInd w:w="108" w:type="dxa"/>
        <w:tblLook w:val="04A0" w:firstRow="1" w:lastRow="0" w:firstColumn="1" w:lastColumn="0" w:noHBand="0" w:noVBand="1"/>
      </w:tblPr>
      <w:tblGrid>
        <w:gridCol w:w="5103"/>
        <w:gridCol w:w="4534"/>
      </w:tblGrid>
      <w:tr>
        <w:trPr>
          <w:trHeight w:val="258"/>
        </w:trPr>
        <w:tc>
          <w:tcPr>
            <w:tcW w:w="5103" w:type="dxa"/>
            <w:tcBorders>
              <w:top w:val="single" w:sz="4" w:space="0" w:color="auto"/>
              <w:left w:val="single" w:sz="4" w:space="0" w:color="auto"/>
              <w:bottom w:val="single" w:sz="4" w:space="0" w:color="auto"/>
              <w:right w:val="single" w:sz="4" w:space="0" w:color="auto"/>
            </w:tcBorders>
            <w:shd w:val="clear" w:color="auto" w:fill="auto"/>
          </w:tcPr>
          <w:p>
            <w:pPr>
              <w:pStyle w:val="a9"/>
              <w:rPr>
                <w:rFonts w:ascii="Times New Roman" w:hAnsi="Times New Roman"/>
                <w:b/>
                <w:color w:val="000000"/>
                <w:sz w:val="20"/>
                <w:szCs w:val="20"/>
              </w:rPr>
            </w:pPr>
            <w:r>
              <w:rPr>
                <w:rFonts w:ascii="Times New Roman" w:hAnsi="Times New Roman"/>
                <w:b/>
                <w:color w:val="000000"/>
                <w:sz w:val="20"/>
                <w:szCs w:val="20"/>
              </w:rPr>
              <w:t>Заказчик</w:t>
            </w:r>
          </w:p>
          <w:p>
            <w:pPr>
              <w:rPr>
                <w:b/>
                <w:color w:val="000000"/>
                <w:sz w:val="20"/>
                <w:szCs w:val="20"/>
              </w:rPr>
            </w:pPr>
            <w:r>
              <w:rPr>
                <w:b/>
                <w:color w:val="000000"/>
                <w:sz w:val="20"/>
                <w:szCs w:val="20"/>
              </w:rPr>
              <w:t>ГБДОУ детский сад № 80</w:t>
            </w:r>
          </w:p>
          <w:p>
            <w:pPr>
              <w:rPr>
                <w:b/>
                <w:color w:val="000000"/>
                <w:sz w:val="20"/>
                <w:szCs w:val="20"/>
              </w:rPr>
            </w:pPr>
            <w:r>
              <w:rPr>
                <w:b/>
                <w:color w:val="000000"/>
                <w:sz w:val="20"/>
                <w:szCs w:val="20"/>
              </w:rPr>
              <w:t xml:space="preserve">Московского района Санкт-Петербурга </w:t>
            </w:r>
          </w:p>
          <w:p>
            <w:pPr>
              <w:pStyle w:val="a9"/>
              <w:rPr>
                <w:rFonts w:ascii="Times New Roman" w:hAnsi="Times New Roman"/>
                <w:b/>
                <w:color w:val="000000"/>
                <w:sz w:val="20"/>
                <w:szCs w:val="20"/>
              </w:rPr>
            </w:pPr>
            <w:r>
              <w:rPr>
                <w:rFonts w:ascii="Times New Roman" w:hAnsi="Times New Roman"/>
                <w:color w:val="000000"/>
                <w:sz w:val="20"/>
                <w:szCs w:val="20"/>
              </w:rPr>
              <w:t>_____________        /Федорова Н. А./</w:t>
            </w:r>
          </w:p>
          <w:p>
            <w:pPr>
              <w:pStyle w:val="ae"/>
              <w:widowControl w:val="0"/>
              <w:ind w:firstLine="480"/>
              <w:rPr>
                <w:color w:val="000000"/>
                <w:sz w:val="20"/>
                <w:szCs w:val="20"/>
              </w:rPr>
            </w:pPr>
            <w:r>
              <w:rPr>
                <w:color w:val="000000"/>
                <w:sz w:val="20"/>
                <w:szCs w:val="20"/>
              </w:rPr>
              <w:t>Подписано ЭП</w:t>
            </w:r>
          </w:p>
        </w:tc>
        <w:tc>
          <w:tcPr>
            <w:tcW w:w="4534" w:type="dxa"/>
            <w:tcBorders>
              <w:top w:val="single" w:sz="4" w:space="0" w:color="auto"/>
              <w:left w:val="single" w:sz="4" w:space="0" w:color="auto"/>
              <w:bottom w:val="single" w:sz="4" w:space="0" w:color="auto"/>
              <w:right w:val="single" w:sz="4" w:space="0" w:color="auto"/>
            </w:tcBorders>
            <w:shd w:val="clear" w:color="auto" w:fill="auto"/>
          </w:tcPr>
          <w:p>
            <w:pPr>
              <w:widowControl w:val="0"/>
              <w:rPr>
                <w:b/>
                <w:color w:val="000000"/>
                <w:sz w:val="20"/>
                <w:szCs w:val="20"/>
              </w:rPr>
            </w:pPr>
            <w:r>
              <w:rPr>
                <w:b/>
                <w:color w:val="000000"/>
                <w:sz w:val="20"/>
                <w:szCs w:val="20"/>
              </w:rPr>
              <w:t>Поставщик</w:t>
            </w:r>
          </w:p>
          <w:p>
            <w:pPr>
              <w:jc w:val="both"/>
              <w:rPr>
                <w:color w:val="000000"/>
                <w:sz w:val="20"/>
                <w:szCs w:val="20"/>
              </w:rPr>
            </w:pPr>
          </w:p>
          <w:p>
            <w:pPr>
              <w:jc w:val="both"/>
              <w:rPr>
                <w:color w:val="000000"/>
                <w:sz w:val="20"/>
                <w:szCs w:val="20"/>
              </w:rPr>
            </w:pPr>
            <w:r>
              <w:rPr>
                <w:color w:val="000000"/>
                <w:sz w:val="20"/>
                <w:szCs w:val="20"/>
              </w:rPr>
              <w:t>_________________/ _____./</w:t>
            </w:r>
          </w:p>
          <w:p>
            <w:pPr>
              <w:widowControl w:val="0"/>
              <w:ind w:firstLine="480"/>
              <w:rPr>
                <w:color w:val="000000"/>
                <w:sz w:val="20"/>
                <w:szCs w:val="20"/>
              </w:rPr>
            </w:pPr>
            <w:r>
              <w:rPr>
                <w:color w:val="000000"/>
                <w:sz w:val="20"/>
                <w:szCs w:val="20"/>
              </w:rPr>
              <w:t>Подписано ЭП</w:t>
            </w:r>
          </w:p>
        </w:tc>
      </w:tr>
    </w:tbl>
    <w:p>
      <w:pPr>
        <w:spacing w:after="160" w:line="259" w:lineRule="auto"/>
        <w:sectPr>
          <w:pgSz w:w="16838" w:h="11906" w:orient="landscape"/>
          <w:pgMar w:top="1701" w:right="1134" w:bottom="851" w:left="1134" w:header="709" w:footer="709" w:gutter="0"/>
          <w:cols w:space="708"/>
          <w:docGrid w:linePitch="360"/>
        </w:sectPr>
      </w:pPr>
      <w:r>
        <w:br w:type="page"/>
      </w:r>
    </w:p>
    <w:p>
      <w:pPr>
        <w:jc w:val="right"/>
        <w:rPr>
          <w:sz w:val="22"/>
          <w:szCs w:val="22"/>
        </w:rPr>
      </w:pPr>
      <w:r>
        <w:rPr>
          <w:sz w:val="22"/>
          <w:szCs w:val="22"/>
        </w:rPr>
        <w:lastRenderedPageBreak/>
        <w:t>Приложение № 2 к Контракту</w:t>
      </w:r>
    </w:p>
    <w:p>
      <w:pPr>
        <w:pStyle w:val="a4"/>
        <w:ind w:left="-426" w:firstLine="142"/>
        <w:jc w:val="right"/>
        <w:rPr>
          <w:rFonts w:ascii="Times New Roman" w:hAnsi="Times New Roman" w:cs="Times New Roman"/>
        </w:rPr>
      </w:pPr>
      <w:r>
        <w:t xml:space="preserve"> </w:t>
      </w:r>
      <w:r>
        <w:rPr>
          <w:rFonts w:ascii="Times New Roman" w:hAnsi="Times New Roman" w:cs="Times New Roman"/>
        </w:rPr>
        <w:t>от «   » июля 2026г. №</w:t>
      </w:r>
      <w:r>
        <w:t xml:space="preserve"> </w:t>
      </w:r>
    </w:p>
    <w:p>
      <w:pPr>
        <w:jc w:val="right"/>
        <w:rPr>
          <w:sz w:val="22"/>
          <w:szCs w:val="22"/>
        </w:rPr>
      </w:pPr>
    </w:p>
    <w:p>
      <w:pPr>
        <w:jc w:val="center"/>
        <w:rPr>
          <w:b/>
          <w:sz w:val="22"/>
          <w:szCs w:val="22"/>
        </w:rPr>
      </w:pPr>
      <w:r>
        <w:rPr>
          <w:b/>
          <w:sz w:val="22"/>
          <w:szCs w:val="22"/>
        </w:rPr>
        <w:t>Техническое задание</w:t>
      </w:r>
    </w:p>
    <w:p>
      <w:pPr>
        <w:jc w:val="both"/>
        <w:rPr>
          <w:sz w:val="22"/>
          <w:szCs w:val="22"/>
        </w:rPr>
      </w:pPr>
      <w:r>
        <w:rPr>
          <w:sz w:val="22"/>
          <w:szCs w:val="22"/>
        </w:rPr>
        <w:t xml:space="preserve"> </w:t>
      </w:r>
    </w:p>
    <w:p>
      <w:pPr>
        <w:rPr>
          <w:sz w:val="22"/>
          <w:szCs w:val="22"/>
        </w:rPr>
      </w:pPr>
      <w:r>
        <w:rPr>
          <w:sz w:val="22"/>
          <w:szCs w:val="22"/>
        </w:rPr>
        <w:t xml:space="preserve">1. Требования к качеству Товара, комплектности, таре, упаковке, маркировке и иные требования: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w:t>
      </w:r>
    </w:p>
    <w:p>
      <w:pPr>
        <w:rPr>
          <w:sz w:val="22"/>
          <w:szCs w:val="22"/>
        </w:rPr>
      </w:pPr>
      <w:r>
        <w:rPr>
          <w:sz w:val="22"/>
          <w:szCs w:val="22"/>
        </w:rPr>
        <w:t xml:space="preserve">2. Адрес поставки: </w:t>
      </w:r>
    </w:p>
    <w:p>
      <w:pPr>
        <w:rPr>
          <w:sz w:val="22"/>
          <w:szCs w:val="22"/>
        </w:rPr>
      </w:pPr>
      <w:r>
        <w:rPr>
          <w:sz w:val="22"/>
          <w:szCs w:val="22"/>
        </w:rPr>
        <w:t>г. Санкт-Петербург, ул. Федора Котанова, д 3, корп. 3, стр. 1</w:t>
      </w:r>
    </w:p>
    <w:p>
      <w:pPr>
        <w:rPr>
          <w:sz w:val="22"/>
          <w:szCs w:val="22"/>
        </w:rPr>
      </w:pPr>
      <w:r>
        <w:rPr>
          <w:sz w:val="22"/>
          <w:szCs w:val="22"/>
        </w:rPr>
        <w:t>3. Сопроводительные документы: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декларации о соответствии требованиям нормативных документов на поставляемые товары, в случаях, установленных законодательством РФ.</w:t>
      </w:r>
    </w:p>
    <w:p>
      <w:pPr>
        <w:rPr>
          <w:sz w:val="22"/>
          <w:szCs w:val="22"/>
        </w:rPr>
      </w:pPr>
      <w:r>
        <w:rPr>
          <w:sz w:val="22"/>
          <w:szCs w:val="22"/>
        </w:rPr>
        <w:t xml:space="preserve">4. Срок поставки: </w:t>
      </w:r>
      <w:r>
        <w:t>в течение 25 рабочих дней с даты подписания контракта сторонами.</w:t>
      </w:r>
    </w:p>
    <w:p>
      <w:pPr>
        <w:rPr>
          <w:sz w:val="22"/>
          <w:szCs w:val="22"/>
        </w:rPr>
      </w:pPr>
      <w:r>
        <w:rPr>
          <w:sz w:val="22"/>
          <w:szCs w:val="22"/>
        </w:rPr>
        <w:t>5. Порядок приемки: Доставка товара осуществляется в рабочее время Заказчика по предварительному согласованию времени доставки с Заказчиком. Доставка товара осуществляется силами Поставщика, с последующей установкой товара. Приемка товара осуществляется уполномоченными представителями Заказчика. В течение 5 рабочих дней с момента передачи товара по акту и товарной накладной Заказчик осуществляет приемку поставленного товара на соответствие его количества, ассортимента и качества, требованиям, установленным в контракте и оформляет результаты такой приемки подписанием накладной.</w:t>
      </w:r>
    </w:p>
    <w:p>
      <w:pPr>
        <w:rPr>
          <w:sz w:val="22"/>
          <w:szCs w:val="22"/>
        </w:rPr>
      </w:pPr>
      <w:r>
        <w:rPr>
          <w:sz w:val="22"/>
          <w:szCs w:val="22"/>
        </w:rPr>
        <w:t>6. Документ о приемке: товарная накладная или универсальный передаточный документ</w:t>
      </w:r>
    </w:p>
    <w:p>
      <w:pPr>
        <w:rPr>
          <w:sz w:val="22"/>
          <w:szCs w:val="22"/>
        </w:rPr>
      </w:pPr>
      <w:r>
        <w:rPr>
          <w:sz w:val="22"/>
          <w:szCs w:val="22"/>
        </w:rPr>
        <w:t>7. Срок приемки: Срок приёмки товаров и оформления ее результатов – до 5 рабочих дней.</w:t>
      </w:r>
    </w:p>
    <w:p>
      <w:pPr>
        <w:rPr>
          <w:sz w:val="22"/>
          <w:szCs w:val="22"/>
        </w:rPr>
      </w:pPr>
      <w:r>
        <w:rPr>
          <w:sz w:val="22"/>
          <w:szCs w:val="22"/>
        </w:rPr>
        <w:t>8. Срок замены некачественного Товара, гарантийный срок на заменяемый товар: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pPr>
        <w:jc w:val="both"/>
      </w:pPr>
    </w:p>
    <w:tbl>
      <w:tblPr>
        <w:tblW w:w="9428" w:type="dxa"/>
        <w:tblInd w:w="70" w:type="dxa"/>
        <w:tblLayout w:type="fixed"/>
        <w:tblCellMar>
          <w:left w:w="70" w:type="dxa"/>
          <w:right w:w="70" w:type="dxa"/>
        </w:tblCellMar>
        <w:tblLook w:val="0000" w:firstRow="0" w:lastRow="0" w:firstColumn="0" w:lastColumn="0" w:noHBand="0" w:noVBand="0"/>
      </w:tblPr>
      <w:tblGrid>
        <w:gridCol w:w="5052"/>
        <w:gridCol w:w="4376"/>
      </w:tblGrid>
      <w:tr>
        <w:trPr>
          <w:cantSplit/>
          <w:trHeight w:val="1710"/>
        </w:trPr>
        <w:tc>
          <w:tcPr>
            <w:tcW w:w="5052" w:type="dxa"/>
          </w:tcPr>
          <w:p>
            <w:pPr>
              <w:pStyle w:val="a9"/>
              <w:rPr>
                <w:rFonts w:ascii="Times New Roman" w:hAnsi="Times New Roman"/>
                <w:b/>
                <w:color w:val="000000"/>
                <w:sz w:val="20"/>
                <w:szCs w:val="20"/>
              </w:rPr>
            </w:pPr>
            <w:r>
              <w:rPr>
                <w:rFonts w:ascii="Times New Roman" w:hAnsi="Times New Roman"/>
                <w:b/>
                <w:color w:val="000000"/>
                <w:sz w:val="20"/>
                <w:szCs w:val="20"/>
              </w:rPr>
              <w:t>Заказчик</w:t>
            </w:r>
          </w:p>
          <w:p>
            <w:pPr>
              <w:rPr>
                <w:b/>
                <w:color w:val="000000"/>
                <w:sz w:val="20"/>
                <w:szCs w:val="20"/>
              </w:rPr>
            </w:pPr>
            <w:r>
              <w:rPr>
                <w:b/>
                <w:color w:val="000000"/>
                <w:sz w:val="20"/>
                <w:szCs w:val="20"/>
              </w:rPr>
              <w:t>ГБДОУ детский сад № 80</w:t>
            </w:r>
          </w:p>
          <w:p>
            <w:pPr>
              <w:rPr>
                <w:b/>
                <w:color w:val="000000"/>
                <w:sz w:val="20"/>
                <w:szCs w:val="20"/>
              </w:rPr>
            </w:pPr>
            <w:r>
              <w:rPr>
                <w:b/>
                <w:color w:val="000000"/>
                <w:sz w:val="20"/>
                <w:szCs w:val="20"/>
              </w:rPr>
              <w:t xml:space="preserve">Московского района Санкт-Петербурга </w:t>
            </w:r>
          </w:p>
          <w:p>
            <w:pPr>
              <w:pStyle w:val="a9"/>
              <w:rPr>
                <w:rFonts w:ascii="Times New Roman" w:hAnsi="Times New Roman"/>
                <w:b/>
                <w:color w:val="000000"/>
                <w:sz w:val="20"/>
                <w:szCs w:val="20"/>
              </w:rPr>
            </w:pPr>
          </w:p>
          <w:p>
            <w:pPr>
              <w:pStyle w:val="a9"/>
              <w:rPr>
                <w:rFonts w:ascii="Times New Roman" w:hAnsi="Times New Roman"/>
                <w:b/>
                <w:color w:val="000000"/>
                <w:sz w:val="20"/>
                <w:szCs w:val="20"/>
              </w:rPr>
            </w:pPr>
            <w:r>
              <w:rPr>
                <w:rFonts w:ascii="Times New Roman" w:hAnsi="Times New Roman"/>
                <w:color w:val="000000"/>
                <w:sz w:val="20"/>
                <w:szCs w:val="20"/>
              </w:rPr>
              <w:t>_____________        /Федорова Н. А./</w:t>
            </w:r>
          </w:p>
          <w:p>
            <w:pPr>
              <w:pStyle w:val="ae"/>
              <w:widowControl w:val="0"/>
              <w:ind w:firstLine="480"/>
              <w:rPr>
                <w:color w:val="000000"/>
                <w:sz w:val="20"/>
                <w:szCs w:val="20"/>
              </w:rPr>
            </w:pPr>
            <w:r>
              <w:rPr>
                <w:color w:val="000000"/>
                <w:sz w:val="20"/>
                <w:szCs w:val="20"/>
              </w:rPr>
              <w:t>Подписано ЭП</w:t>
            </w:r>
          </w:p>
        </w:tc>
        <w:tc>
          <w:tcPr>
            <w:tcW w:w="4376" w:type="dxa"/>
          </w:tcPr>
          <w:p>
            <w:pPr>
              <w:widowControl w:val="0"/>
              <w:rPr>
                <w:b/>
                <w:color w:val="000000"/>
                <w:sz w:val="20"/>
                <w:szCs w:val="20"/>
              </w:rPr>
            </w:pPr>
            <w:r>
              <w:rPr>
                <w:b/>
                <w:color w:val="000000"/>
                <w:sz w:val="20"/>
                <w:szCs w:val="20"/>
              </w:rPr>
              <w:t>Поставщик</w:t>
            </w:r>
          </w:p>
          <w:p>
            <w:pPr>
              <w:jc w:val="both"/>
              <w:rPr>
                <w:color w:val="000000"/>
                <w:sz w:val="20"/>
                <w:szCs w:val="20"/>
              </w:rPr>
            </w:pPr>
          </w:p>
          <w:p>
            <w:pPr>
              <w:jc w:val="both"/>
              <w:rPr>
                <w:color w:val="000000"/>
                <w:sz w:val="20"/>
                <w:szCs w:val="20"/>
              </w:rPr>
            </w:pPr>
          </w:p>
          <w:p>
            <w:pPr>
              <w:jc w:val="both"/>
              <w:rPr>
                <w:color w:val="000000"/>
                <w:sz w:val="20"/>
                <w:szCs w:val="20"/>
              </w:rPr>
            </w:pPr>
            <w:r>
              <w:rPr>
                <w:color w:val="000000"/>
                <w:sz w:val="20"/>
                <w:szCs w:val="20"/>
              </w:rPr>
              <w:t>_________________/ ______./</w:t>
            </w:r>
          </w:p>
          <w:p>
            <w:pPr>
              <w:widowControl w:val="0"/>
              <w:ind w:firstLine="480"/>
              <w:rPr>
                <w:color w:val="000000"/>
                <w:sz w:val="20"/>
                <w:szCs w:val="20"/>
              </w:rPr>
            </w:pPr>
            <w:r>
              <w:rPr>
                <w:color w:val="000000"/>
                <w:sz w:val="20"/>
                <w:szCs w:val="20"/>
              </w:rPr>
              <w:t>Подписано ЭП</w:t>
            </w:r>
          </w:p>
        </w:tc>
      </w:tr>
    </w:tbl>
    <w:p>
      <w:pPr>
        <w:jc w:val="both"/>
      </w:pPr>
    </w:p>
    <w:sectPr>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E86338"/>
    <w:multiLevelType w:val="multilevel"/>
    <w:tmpl w:val="4834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C1708B"/>
    <w:multiLevelType w:val="multilevel"/>
    <w:tmpl w:val="B016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631A0B"/>
    <w:multiLevelType w:val="multilevel"/>
    <w:tmpl w:val="A4A2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FA2820"/>
    <w:multiLevelType w:val="multilevel"/>
    <w:tmpl w:val="30DA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paragraph" w:styleId="a9">
    <w:name w:val="No Spacing"/>
    <w:aliases w:val="для таблиц,Без интервала2,мой,МОЙ,Без интервала 111,МММ,МОЙ МОЙ,Без интервала1,Без интервала21,No Spacing111,Максим,Без интервал,Основной,Основа"/>
    <w:link w:val="aa"/>
    <w:qFormat/>
    <w:pPr>
      <w:spacing w:after="0" w:line="240" w:lineRule="auto"/>
    </w:pPr>
    <w:rPr>
      <w:rFonts w:ascii="Calibri" w:eastAsia="DengXian" w:hAnsi="Calibri" w:cs="Times New Roman"/>
    </w:rPr>
  </w:style>
  <w:style w:type="character" w:customStyle="1" w:styleId="aa">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Максим Знак,Без интервал Знак,Основной Знак,Основа Знак"/>
    <w:link w:val="a9"/>
    <w:qFormat/>
    <w:locked/>
    <w:rPr>
      <w:rFonts w:ascii="Calibri" w:eastAsia="DengXian" w:hAnsi="Calibri" w:cs="Times New Roman"/>
    </w:rPr>
  </w:style>
  <w:style w:type="paragraph" w:styleId="ab">
    <w:name w:val="Balloon Text"/>
    <w:basedOn w:val="a"/>
    <w:link w:val="ac"/>
    <w:uiPriority w:val="99"/>
    <w:semiHidden/>
    <w:unhideWhenUsed/>
    <w:rPr>
      <w:rFonts w:ascii="Segoe UI" w:hAnsi="Segoe UI" w:cs="Segoe UI"/>
      <w:sz w:val="18"/>
      <w:szCs w:val="18"/>
    </w:rPr>
  </w:style>
  <w:style w:type="character" w:customStyle="1" w:styleId="ac">
    <w:name w:val="Текст выноски Знак"/>
    <w:basedOn w:val="a0"/>
    <w:link w:val="ab"/>
    <w:uiPriority w:val="99"/>
    <w:semiHidden/>
    <w:rPr>
      <w:rFonts w:ascii="Segoe UI" w:eastAsia="Times New Roman" w:hAnsi="Segoe UI" w:cs="Segoe UI"/>
      <w:sz w:val="18"/>
      <w:szCs w:val="18"/>
      <w:lang w:eastAsia="ru-RU"/>
    </w:rPr>
  </w:style>
  <w:style w:type="character" w:customStyle="1" w:styleId="10">
    <w:name w:val="Заголовок 1 Знак"/>
    <w:basedOn w:val="a0"/>
    <w:link w:val="1"/>
    <w:uiPriority w:val="9"/>
    <w:rPr>
      <w:rFonts w:ascii="Times New Roman" w:eastAsia="Times New Roman" w:hAnsi="Times New Roman" w:cs="Times New Roman"/>
      <w:b/>
      <w:bCs/>
      <w:kern w:val="36"/>
      <w:sz w:val="48"/>
      <w:szCs w:val="48"/>
      <w:lang w:eastAsia="ru-RU"/>
    </w:rPr>
  </w:style>
  <w:style w:type="character" w:styleId="ad">
    <w:name w:val="Hyperlink"/>
    <w:basedOn w:val="a0"/>
    <w:uiPriority w:val="99"/>
    <w:unhideWhenUsed/>
    <w:rPr>
      <w:color w:val="0563C1" w:themeColor="hyperlink"/>
      <w:u w:val="single"/>
    </w:rPr>
  </w:style>
  <w:style w:type="paragraph" w:styleId="ae">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Список 1"/>
    <w:basedOn w:val="a"/>
    <w:link w:val="11"/>
    <w:pPr>
      <w:jc w:val="both"/>
    </w:pPr>
  </w:style>
  <w:style w:type="character" w:customStyle="1" w:styleId="af">
    <w:name w:val="Основной текст Знак"/>
    <w:basedOn w:val="a0"/>
    <w:uiPriority w:val="99"/>
    <w:semiHidden/>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Список 1 Знак1"/>
    <w:link w:val="ae"/>
    <w:locked/>
    <w:rPr>
      <w:rFonts w:ascii="Times New Roman" w:eastAsia="Times New Roman" w:hAnsi="Times New Roman" w:cs="Times New Roman"/>
      <w:sz w:val="24"/>
      <w:szCs w:val="24"/>
      <w:lang w:eastAsia="ru-RU"/>
    </w:rPr>
  </w:style>
  <w:style w:type="character" w:styleId="af0">
    <w:name w:val="Subtle Emphasis"/>
    <w:uiPriority w:val="19"/>
    <w:qFormat/>
    <w:rPr>
      <w:i/>
      <w:iCs/>
      <w:color w:val="404040"/>
    </w:rPr>
  </w:style>
  <w:style w:type="character" w:styleId="af1">
    <w:name w:val="Strong"/>
    <w:uiPriority w:val="22"/>
    <w:qFormat/>
    <w:rPr>
      <w:b/>
      <w:bCs/>
    </w:rPr>
  </w:style>
  <w:style w:type="character" w:customStyle="1" w:styleId="js-phone-number">
    <w:name w:val="js-phone-number"/>
  </w:style>
  <w:style w:type="character" w:customStyle="1" w:styleId="features-name">
    <w:name w:val="features-name"/>
    <w:basedOn w:val="a0"/>
  </w:style>
  <w:style w:type="character" w:customStyle="1" w:styleId="20">
    <w:name w:val="Заголовок 2 Знак"/>
    <w:basedOn w:val="a0"/>
    <w:link w:val="2"/>
    <w:uiPriority w:val="9"/>
    <w:rPr>
      <w:rFonts w:asciiTheme="majorHAnsi" w:eastAsiaTheme="majorEastAsia" w:hAnsiTheme="majorHAnsi" w:cstheme="majorBidi"/>
      <w:color w:val="2E74B5"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15367">
      <w:bodyDiv w:val="1"/>
      <w:marLeft w:val="0"/>
      <w:marRight w:val="0"/>
      <w:marTop w:val="0"/>
      <w:marBottom w:val="0"/>
      <w:divBdr>
        <w:top w:val="none" w:sz="0" w:space="0" w:color="auto"/>
        <w:left w:val="none" w:sz="0" w:space="0" w:color="auto"/>
        <w:bottom w:val="none" w:sz="0" w:space="0" w:color="auto"/>
        <w:right w:val="none" w:sz="0" w:space="0" w:color="auto"/>
      </w:divBdr>
    </w:div>
    <w:div w:id="340739898">
      <w:bodyDiv w:val="1"/>
      <w:marLeft w:val="0"/>
      <w:marRight w:val="0"/>
      <w:marTop w:val="0"/>
      <w:marBottom w:val="0"/>
      <w:divBdr>
        <w:top w:val="none" w:sz="0" w:space="0" w:color="auto"/>
        <w:left w:val="none" w:sz="0" w:space="0" w:color="auto"/>
        <w:bottom w:val="none" w:sz="0" w:space="0" w:color="auto"/>
        <w:right w:val="none" w:sz="0" w:space="0" w:color="auto"/>
      </w:divBdr>
    </w:div>
    <w:div w:id="530916973">
      <w:bodyDiv w:val="1"/>
      <w:marLeft w:val="0"/>
      <w:marRight w:val="0"/>
      <w:marTop w:val="0"/>
      <w:marBottom w:val="0"/>
      <w:divBdr>
        <w:top w:val="none" w:sz="0" w:space="0" w:color="auto"/>
        <w:left w:val="none" w:sz="0" w:space="0" w:color="auto"/>
        <w:bottom w:val="none" w:sz="0" w:space="0" w:color="auto"/>
        <w:right w:val="none" w:sz="0" w:space="0" w:color="auto"/>
      </w:divBdr>
      <w:divsChild>
        <w:div w:id="1080104609">
          <w:marLeft w:val="0"/>
          <w:marRight w:val="0"/>
          <w:marTop w:val="0"/>
          <w:marBottom w:val="0"/>
          <w:divBdr>
            <w:top w:val="none" w:sz="0" w:space="0" w:color="auto"/>
            <w:left w:val="none" w:sz="0" w:space="0" w:color="auto"/>
            <w:bottom w:val="none" w:sz="0" w:space="0" w:color="auto"/>
            <w:right w:val="none" w:sz="0" w:space="0" w:color="auto"/>
          </w:divBdr>
          <w:divsChild>
            <w:div w:id="178483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95532">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060770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27787910">
      <w:bodyDiv w:val="1"/>
      <w:marLeft w:val="0"/>
      <w:marRight w:val="0"/>
      <w:marTop w:val="0"/>
      <w:marBottom w:val="0"/>
      <w:divBdr>
        <w:top w:val="none" w:sz="0" w:space="0" w:color="auto"/>
        <w:left w:val="none" w:sz="0" w:space="0" w:color="auto"/>
        <w:bottom w:val="none" w:sz="0" w:space="0" w:color="auto"/>
        <w:right w:val="none" w:sz="0" w:space="0" w:color="auto"/>
      </w:divBdr>
    </w:div>
    <w:div w:id="132804902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25114932">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23153812">
      <w:bodyDiv w:val="1"/>
      <w:marLeft w:val="0"/>
      <w:marRight w:val="0"/>
      <w:marTop w:val="0"/>
      <w:marBottom w:val="0"/>
      <w:divBdr>
        <w:top w:val="none" w:sz="0" w:space="0" w:color="auto"/>
        <w:left w:val="none" w:sz="0" w:space="0" w:color="auto"/>
        <w:bottom w:val="none" w:sz="0" w:space="0" w:color="auto"/>
        <w:right w:val="none" w:sz="0" w:space="0" w:color="auto"/>
      </w:divBdr>
    </w:div>
    <w:div w:id="196792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64DAE-5D9D-4F8F-A70F-9F6792F03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11</Pages>
  <Words>4304</Words>
  <Characters>24534</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 Windows</cp:lastModifiedBy>
  <cp:revision>37</cp:revision>
  <cp:lastPrinted>2024-11-26T08:21:00Z</cp:lastPrinted>
  <dcterms:created xsi:type="dcterms:W3CDTF">2024-11-05T06:09:00Z</dcterms:created>
  <dcterms:modified xsi:type="dcterms:W3CDTF">2026-07-03T06:37:00Z</dcterms:modified>
</cp:coreProperties>
</file>