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</w:rPr>
      </w:pPr>
      <w:r>
        <w:rPr>
          <w:b/>
        </w:rPr>
        <w:t>КОНТРАКТ № ____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г. Санкт-Петербург                                                                           «___»____________202</w:t>
      </w:r>
      <w:r>
        <w:rPr/>
        <w:t>6</w:t>
      </w:r>
      <w:r>
        <w:rPr/>
        <w:t>г.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bookmarkStart w:id="0" w:name="_GoBack"/>
      <w:r>
        <w:rPr>
          <w:b/>
        </w:rPr>
        <w:t>Санкт-Петербургское государственное бюдж</w:t>
      </w:r>
      <w:bookmarkEnd w:id="0"/>
      <w:r>
        <w:rPr>
          <w:b/>
        </w:rPr>
        <w:t>етное учреждение «Стройкомплект»</w:t>
      </w:r>
      <w:r>
        <w:rPr/>
        <w:t>, именуемое в дальнейшем «Заказчик», в лице исполняющего обязанности директора Борисова Александра Алексанровича, действующего на основании Устава, с одной стороны и 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1. Предмет контракта</w:t>
      </w:r>
    </w:p>
    <w:p>
      <w:pPr>
        <w:pStyle w:val="Normal"/>
        <w:ind w:firstLine="708"/>
        <w:jc w:val="both"/>
        <w:rPr/>
      </w:pPr>
      <w:r>
        <w:rPr/>
        <w:t>1.1. Поставщик обязуется изготовить, поставить и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>
      <w:pPr>
        <w:pStyle w:val="Normal"/>
        <w:jc w:val="both"/>
        <w:rPr/>
      </w:pPr>
      <w:r>
        <w:rPr/>
        <w:t xml:space="preserve">Идентификационный код закупки </w:t>
      </w:r>
      <w:r>
        <w:rPr>
          <w:color w:val="000000"/>
        </w:rPr>
        <w:t>_________________________.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2. Цена Контракта и порядок расчетов</w:t>
      </w:r>
    </w:p>
    <w:p>
      <w:pPr>
        <w:pStyle w:val="Normal"/>
        <w:ind w:firstLine="708"/>
        <w:jc w:val="both"/>
        <w:rPr/>
      </w:pPr>
      <w:r>
        <w:rPr/>
        <w:t>2.1. Цена контракта составляет____________________________</w:t>
      </w:r>
      <w:r>
        <w:rPr>
          <w:shd w:fill="auto" w:val="clear"/>
        </w:rPr>
        <w:t xml:space="preserve">_рублей </w:t>
      </w:r>
      <w:r>
        <w:rPr>
          <w:color w:val="000000"/>
          <w:shd w:fill="auto" w:val="clear"/>
        </w:rPr>
        <w:t>______</w:t>
      </w:r>
      <w:r>
        <w:rPr>
          <w:shd w:fill="auto" w:val="clear"/>
        </w:rPr>
        <w:t>копеек.</w:t>
      </w:r>
    </w:p>
    <w:p>
      <w:pPr>
        <w:pStyle w:val="Normal"/>
        <w:jc w:val="both"/>
        <w:rPr/>
      </w:pPr>
      <w:r>
        <w:rPr/>
        <w:t>Источник финансирования: _________________</w:t>
      </w:r>
    </w:p>
    <w:p>
      <w:pPr>
        <w:pStyle w:val="Normal"/>
        <w:ind w:firstLine="708"/>
        <w:jc w:val="both"/>
        <w:rPr/>
      </w:pPr>
      <w:r>
        <w:rPr/>
        <w:t>2.2. Цена контракта является твердой и определяется на весь срок исполнения контракта. Цена контракта включает в себя расходы, связанные с изготовлением и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>
      <w:pPr>
        <w:pStyle w:val="Normal"/>
        <w:ind w:firstLine="708"/>
        <w:jc w:val="both"/>
        <w:rPr/>
      </w:pPr>
      <w:r>
        <w:rPr/>
        <w:t>2.3. Оплата производится Заказчиком по факту поставки товара на расчетный счет Поставщика, указанный в Контракте, в течение 7 (семи) рабочих дней с даты подписания Акта приема-передачи Товара. Датой оплаты является дата списания денежных средств со счета Заказчика.</w:t>
      </w:r>
    </w:p>
    <w:p>
      <w:pPr>
        <w:pStyle w:val="Normal"/>
        <w:ind w:firstLine="708"/>
        <w:jc w:val="both"/>
        <w:rPr/>
      </w:pPr>
      <w:r>
        <w:rPr/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3. Порядок поставки Товара</w:t>
      </w:r>
    </w:p>
    <w:p>
      <w:pPr>
        <w:pStyle w:val="Normal"/>
        <w:ind w:firstLine="708"/>
        <w:jc w:val="both"/>
        <w:rPr/>
      </w:pPr>
      <w:r>
        <w:rPr/>
        <w:t xml:space="preserve">3.1 Требования к качеству Товара, комплектности, таре, упаковке, маркировке </w:t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>
      <w:pPr>
        <w:pStyle w:val="Normal"/>
        <w:ind w:firstLine="708"/>
        <w:jc w:val="both"/>
        <w:rPr/>
      </w:pPr>
      <w:r>
        <w:rPr/>
        <w:t>3.2. Поставка Товара осуществляется по адресу, указанному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>
      <w:pPr>
        <w:pStyle w:val="Normal"/>
        <w:ind w:firstLine="708"/>
        <w:jc w:val="both"/>
        <w:rPr/>
      </w:pPr>
      <w:r>
        <w:rPr/>
        <w:t xml:space="preserve">3.5. Срок поставки Товара указывается в Техническом задании (приложение </w:t>
        <w:br/>
        <w:t>№ 2 к Контракту).</w:t>
      </w:r>
    </w:p>
    <w:p>
      <w:pPr>
        <w:pStyle w:val="Normal"/>
        <w:jc w:val="center"/>
        <w:rPr>
          <w:b/>
        </w:rPr>
      </w:pPr>
      <w:r>
        <w:rPr>
          <w:b/>
        </w:rPr>
        <w:t>4. Порядок приемки Товара</w:t>
      </w:r>
    </w:p>
    <w:p>
      <w:pPr>
        <w:pStyle w:val="Normal"/>
        <w:ind w:firstLine="708"/>
        <w:jc w:val="both"/>
        <w:rPr/>
      </w:pPr>
      <w:r>
        <w:rPr/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4.2. Срок приемки указан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>
      <w:pPr>
        <w:pStyle w:val="Normal"/>
        <w:ind w:firstLine="708"/>
        <w:jc w:val="both"/>
        <w:rPr/>
      </w:pPr>
      <w:r>
        <w:rPr/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>
      <w:pPr>
        <w:pStyle w:val="Normal"/>
        <w:ind w:firstLine="708"/>
        <w:jc w:val="both"/>
        <w:rPr/>
      </w:pPr>
      <w:r>
        <w:rPr/>
        <w:t>4.5. Претензии по скрытым недостаткам могут быть заявлены Заказчиком в течение срока полезного использования, гарантийного срока.</w:t>
      </w:r>
    </w:p>
    <w:p>
      <w:pPr>
        <w:pStyle w:val="Normal"/>
        <w:ind w:firstLine="708"/>
        <w:jc w:val="both"/>
        <w:rPr/>
      </w:pPr>
      <w:r>
        <w:rPr/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>
      <w:pPr>
        <w:pStyle w:val="Normal"/>
        <w:ind w:firstLine="708"/>
        <w:jc w:val="both"/>
        <w:rPr/>
      </w:pPr>
      <w:r>
        <w:rPr/>
        <w:t>4.7. Все расходы, связанные с устранением недостатков, несет Поставщик.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5. Права и обязанности сторон</w:t>
      </w:r>
    </w:p>
    <w:p>
      <w:pPr>
        <w:pStyle w:val="Normal"/>
        <w:ind w:firstLine="708"/>
        <w:jc w:val="both"/>
        <w:rPr/>
      </w:pPr>
      <w:r>
        <w:rPr/>
        <w:t>5.1. Заказчик вправе:</w:t>
      </w:r>
    </w:p>
    <w:p>
      <w:pPr>
        <w:pStyle w:val="Normal"/>
        <w:ind w:firstLine="708"/>
        <w:jc w:val="both"/>
        <w:rPr/>
      </w:pPr>
      <w:r>
        <w:rPr/>
        <w:t xml:space="preserve">5.1.1. Требовать от Поставщика надлежащего исполнения обязательств </w:t>
        <w:br/>
        <w:t>в соответствии с Контрактом, а также требовать своевременного устранения выявленных недостатков.</w:t>
      </w:r>
    </w:p>
    <w:p>
      <w:pPr>
        <w:pStyle w:val="Normal"/>
        <w:ind w:firstLine="708"/>
        <w:jc w:val="both"/>
        <w:rPr/>
      </w:pPr>
      <w:r>
        <w:rPr/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>
      <w:pPr>
        <w:pStyle w:val="Normal"/>
        <w:ind w:firstLine="708"/>
        <w:jc w:val="both"/>
        <w:rPr/>
      </w:pPr>
      <w:r>
        <w:rPr/>
        <w:t>5.1.3. Запрашивать у Поставщика информацию о ходе исполнения обязательств по Контракту.</w:t>
      </w:r>
    </w:p>
    <w:p>
      <w:pPr>
        <w:pStyle w:val="Normal"/>
        <w:ind w:firstLine="708"/>
        <w:jc w:val="both"/>
        <w:rPr/>
      </w:pPr>
      <w:r>
        <w:rPr/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>
      <w:pPr>
        <w:pStyle w:val="Normal"/>
        <w:ind w:firstLine="708"/>
        <w:jc w:val="both"/>
        <w:rPr/>
      </w:pPr>
      <w:r>
        <w:rPr/>
        <w:t>5.1.5. Отказаться от приемки Товара в случаях, предусмотренных Контрактом.</w:t>
      </w:r>
    </w:p>
    <w:p>
      <w:pPr>
        <w:pStyle w:val="Normal"/>
        <w:ind w:firstLine="708"/>
        <w:jc w:val="both"/>
        <w:rPr/>
      </w:pPr>
      <w:r>
        <w:rPr/>
        <w:t>5.1.6. В одностороннем порядке отказаться от исполнения Контракта в соответствии с Законом о контрактной системе.</w:t>
      </w:r>
    </w:p>
    <w:p>
      <w:pPr>
        <w:pStyle w:val="Normal"/>
        <w:ind w:firstLine="708"/>
        <w:jc w:val="both"/>
        <w:rPr/>
      </w:pPr>
      <w:r>
        <w:rPr/>
        <w:t>5.2. Заказчик обязан:</w:t>
      </w:r>
    </w:p>
    <w:p>
      <w:pPr>
        <w:pStyle w:val="Normal"/>
        <w:ind w:firstLine="708"/>
        <w:jc w:val="both"/>
        <w:rPr/>
      </w:pPr>
      <w:r>
        <w:rPr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>
      <w:pPr>
        <w:pStyle w:val="Normal"/>
        <w:ind w:firstLine="708"/>
        <w:jc w:val="both"/>
        <w:rPr/>
      </w:pPr>
      <w:r>
        <w:rPr/>
        <w:t xml:space="preserve">5.2.2. Своевременно оплатить поставленный Товар надлежащего качества </w:t>
        <w:br/>
        <w:t>в соответствии с Контрактом.</w:t>
      </w:r>
    </w:p>
    <w:p>
      <w:pPr>
        <w:pStyle w:val="Normal"/>
        <w:ind w:firstLine="708"/>
        <w:jc w:val="both"/>
        <w:rPr/>
      </w:pPr>
      <w:r>
        <w:rPr/>
        <w:t>5.3. Поставщик вправе:</w:t>
      </w:r>
    </w:p>
    <w:p>
      <w:pPr>
        <w:pStyle w:val="Normal"/>
        <w:ind w:firstLine="708"/>
        <w:jc w:val="both"/>
        <w:rPr/>
      </w:pPr>
      <w:r>
        <w:rPr/>
        <w:t xml:space="preserve">5.3.1. Требовать своевременной приемки и оплаты за поставленный Товар </w:t>
        <w:br/>
        <w:t>в соответствии с условиями Контракта.</w:t>
      </w:r>
    </w:p>
    <w:p>
      <w:pPr>
        <w:pStyle w:val="Normal"/>
        <w:ind w:firstLine="708"/>
        <w:jc w:val="both"/>
        <w:rPr/>
      </w:pPr>
      <w:r>
        <w:rPr/>
        <w:t xml:space="preserve">5.3.2. Запрашивать у Заказчика разъяснения и уточнения относительно Товара </w:t>
        <w:br/>
        <w:t>в рамках Контракта.</w:t>
      </w:r>
    </w:p>
    <w:p>
      <w:pPr>
        <w:pStyle w:val="Normal"/>
        <w:ind w:firstLine="708"/>
        <w:jc w:val="both"/>
        <w:rPr/>
      </w:pPr>
      <w:r>
        <w:rPr/>
        <w:t xml:space="preserve">5.3.3. Получать от Заказчика содействие при поставке Товара в соответствии </w:t>
        <w:br/>
        <w:t>с условиями Контракта.</w:t>
      </w:r>
    </w:p>
    <w:p>
      <w:pPr>
        <w:pStyle w:val="Normal"/>
        <w:ind w:firstLine="708"/>
        <w:jc w:val="both"/>
        <w:rPr/>
      </w:pPr>
      <w:r>
        <w:rPr/>
        <w:t>5.3.4. Досрочно исполнить обязательства по Контракту с согласия Заказчика.</w:t>
      </w:r>
    </w:p>
    <w:p>
      <w:pPr>
        <w:pStyle w:val="Normal"/>
        <w:ind w:firstLine="708"/>
        <w:jc w:val="both"/>
        <w:rPr/>
      </w:pPr>
      <w:r>
        <w:rPr/>
        <w:t>5.4. Поставщик обязан:</w:t>
      </w:r>
    </w:p>
    <w:p>
      <w:pPr>
        <w:pStyle w:val="Normal"/>
        <w:ind w:firstLine="708"/>
        <w:jc w:val="both"/>
        <w:rPr/>
      </w:pPr>
      <w:r>
        <w:rPr/>
        <w:t>5.4.1. Своевременно и надлежащим образом исполнять обязательства по поставке Товара в соответствии с условиями Контракта.</w:t>
      </w:r>
    </w:p>
    <w:p>
      <w:pPr>
        <w:pStyle w:val="Normal"/>
        <w:ind w:firstLine="708"/>
        <w:jc w:val="both"/>
        <w:rPr/>
      </w:pPr>
      <w:r>
        <w:rPr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>
      <w:pPr>
        <w:pStyle w:val="Normal"/>
        <w:ind w:firstLine="708"/>
        <w:jc w:val="both"/>
        <w:rPr/>
      </w:pPr>
      <w:r>
        <w:rPr/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>
      <w:pPr>
        <w:pStyle w:val="Normal"/>
        <w:ind w:firstLine="708"/>
        <w:jc w:val="both"/>
        <w:rPr/>
      </w:pPr>
      <w:r>
        <w:rPr/>
        <w:t xml:space="preserve">5.4.4. Приостановить поставку Товара в случае обнаружения не зависящих </w:t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  <w:br/>
        <w:t>и сообщить об этом Заказчику в течение одного рабочего дня после приостановления поставки.</w:t>
      </w:r>
    </w:p>
    <w:p>
      <w:pPr>
        <w:pStyle w:val="Normal"/>
        <w:ind w:firstLine="708"/>
        <w:jc w:val="both"/>
        <w:rPr/>
      </w:pPr>
      <w:r>
        <w:rPr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>
      <w:pPr>
        <w:pStyle w:val="Normal"/>
        <w:ind w:firstLine="708"/>
        <w:jc w:val="both"/>
        <w:rPr/>
      </w:pPr>
      <w:r>
        <w:rPr/>
        <w:t>5.5. Поставщик гарантирует, что на момент заключения Контракта:</w:t>
      </w:r>
    </w:p>
    <w:p>
      <w:pPr>
        <w:pStyle w:val="Normal"/>
        <w:ind w:firstLine="708"/>
        <w:jc w:val="both"/>
        <w:rPr/>
      </w:pPr>
      <w:r>
        <w:rPr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  <w:br/>
        <w:t xml:space="preserve">в бюджеты бюджетной системы Российской Федерации за прошедший финансовый год </w:t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>
      <w:pPr>
        <w:pStyle w:val="Normal"/>
        <w:ind w:firstLine="708"/>
        <w:jc w:val="both"/>
        <w:rPr/>
      </w:pPr>
      <w:r>
        <w:rPr/>
        <w:t>5.5.2. Не обременен обязательствами имущественного характера, способными помешать исполнению обязательств по Контракту.</w:t>
      </w:r>
    </w:p>
    <w:p>
      <w:pPr>
        <w:pStyle w:val="Normal"/>
        <w:ind w:firstLine="708"/>
        <w:jc w:val="both"/>
        <w:rPr/>
      </w:pPr>
      <w:r>
        <w:rPr/>
        <w:t xml:space="preserve">5.5.3. За последние два года не нарушал контрактных (договорных) обязательств </w:t>
        <w:br/>
        <w:t>и не причинял ущерба (либо погасил причиненный ущерб) по аналогичным контрактам (договорам).</w:t>
      </w:r>
    </w:p>
    <w:p>
      <w:pPr>
        <w:pStyle w:val="Normal"/>
        <w:ind w:firstLine="708"/>
        <w:jc w:val="both"/>
        <w:rPr/>
      </w:pPr>
      <w:r>
        <w:rPr/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6. Гарантии</w:t>
      </w:r>
    </w:p>
    <w:p>
      <w:pPr>
        <w:pStyle w:val="Normal"/>
        <w:ind w:firstLine="708"/>
        <w:jc w:val="both"/>
        <w:rPr/>
      </w:pPr>
      <w:r>
        <w:rPr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>
      <w:pPr>
        <w:pStyle w:val="Normal"/>
        <w:ind w:firstLine="708"/>
        <w:jc w:val="both"/>
        <w:rPr/>
      </w:pPr>
      <w:r>
        <w:rPr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6.4. Все расходы, связанные с заменой Товара, ненадлежащего качества, осуществляются за счет Поставщика.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7. Ответственность сторон</w:t>
      </w:r>
    </w:p>
    <w:p>
      <w:pPr>
        <w:pStyle w:val="Normal"/>
        <w:ind w:firstLine="708"/>
        <w:jc w:val="both"/>
        <w:rPr/>
      </w:pPr>
      <w:r>
        <w:rPr/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>
      <w:pPr>
        <w:pStyle w:val="Normal"/>
        <w:ind w:firstLine="708"/>
        <w:jc w:val="both"/>
        <w:rPr/>
      </w:pPr>
      <w:r>
        <w:rPr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>
      <w:pPr>
        <w:pStyle w:val="Normal"/>
        <w:ind w:firstLine="708"/>
        <w:jc w:val="both"/>
        <w:rPr/>
      </w:pPr>
      <w:r>
        <w:rPr/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>
      <w:pPr>
        <w:pStyle w:val="Normal"/>
        <w:ind w:firstLine="708"/>
        <w:jc w:val="both"/>
        <w:rPr/>
      </w:pPr>
      <w:r>
        <w:rPr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>
      <w:pPr>
        <w:pStyle w:val="Normal"/>
        <w:ind w:firstLine="708"/>
        <w:jc w:val="both"/>
        <w:rPr/>
      </w:pPr>
      <w:r>
        <w:rPr/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>
      <w:pPr>
        <w:pStyle w:val="Normal"/>
        <w:ind w:firstLine="708"/>
        <w:jc w:val="both"/>
        <w:rPr/>
      </w:pPr>
      <w:r>
        <w:rPr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>
      <w:pPr>
        <w:pStyle w:val="Normal"/>
        <w:ind w:firstLine="708"/>
        <w:jc w:val="both"/>
        <w:rPr/>
      </w:pPr>
      <w:r>
        <w:rPr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>
      <w:pPr>
        <w:pStyle w:val="Normal"/>
        <w:ind w:firstLine="708"/>
        <w:jc w:val="both"/>
        <w:rPr/>
      </w:pPr>
      <w:r>
        <w:rPr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  <w:br/>
        <w:t>не может превышать цену Контракта.</w:t>
      </w:r>
    </w:p>
    <w:p>
      <w:pPr>
        <w:pStyle w:val="Normal"/>
        <w:ind w:firstLine="708"/>
        <w:jc w:val="both"/>
        <w:rPr/>
      </w:pPr>
      <w:r>
        <w:rPr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pStyle w:val="Normal"/>
        <w:ind w:firstLine="708"/>
        <w:jc w:val="both"/>
        <w:rPr/>
      </w:pPr>
      <w:r>
        <w:rPr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>
      <w:pPr>
        <w:pStyle w:val="Normal"/>
        <w:ind w:firstLine="708"/>
        <w:jc w:val="both"/>
        <w:rPr/>
      </w:pPr>
      <w:r>
        <w:rPr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>
      <w:pPr>
        <w:pStyle w:val="Normal"/>
        <w:ind w:firstLine="708"/>
        <w:jc w:val="both"/>
        <w:rPr/>
      </w:pPr>
      <w:r>
        <w:rPr/>
        <w:t>8.1. Контракт вступает в силу со дня его подписания Сторонами.</w:t>
      </w:r>
    </w:p>
    <w:p>
      <w:pPr>
        <w:pStyle w:val="Normal"/>
        <w:ind w:firstLine="708"/>
        <w:jc w:val="both"/>
        <w:rPr/>
      </w:pPr>
      <w:r>
        <w:rPr/>
        <w:t xml:space="preserve">8.2. </w:t>
      </w:r>
      <w:r>
        <w:rPr>
          <w:rStyle w:val="Layout"/>
          <w:color w:val="000000"/>
        </w:rPr>
        <w:t xml:space="preserve">Контракт действует по </w:t>
      </w:r>
      <w:r>
        <w:rPr/>
        <w:t>31.12.2025. Истечение</w:t>
      </w:r>
      <w:r>
        <w:rPr>
          <w:rStyle w:val="Layout"/>
        </w:rPr>
        <w:t xml:space="preserve"> срока действия настоящего контракта не освобождает Стороны от исполнения обязательств, возникших в период действия контракта, а также от ответственности за его нарушение</w:t>
      </w:r>
      <w:r>
        <w:rPr/>
        <w:t>.</w:t>
      </w:r>
    </w:p>
    <w:p>
      <w:pPr>
        <w:pStyle w:val="Normal"/>
        <w:ind w:firstLine="708"/>
        <w:jc w:val="both"/>
        <w:rPr/>
      </w:pPr>
      <w:r>
        <w:rPr/>
        <w:t>8.3. Контракт может быть расторгнут:</w:t>
      </w:r>
    </w:p>
    <w:p>
      <w:pPr>
        <w:pStyle w:val="Normal"/>
        <w:jc w:val="both"/>
        <w:rPr/>
      </w:pPr>
      <w:r>
        <w:rPr/>
        <w:t>- по соглашению сторон;</w:t>
      </w:r>
    </w:p>
    <w:p>
      <w:pPr>
        <w:pStyle w:val="Normal"/>
        <w:jc w:val="both"/>
        <w:rPr/>
      </w:pPr>
      <w:r>
        <w:rPr/>
        <w:t>- по решению суда;</w:t>
      </w:r>
    </w:p>
    <w:p>
      <w:pPr>
        <w:pStyle w:val="Normal"/>
        <w:jc w:val="both"/>
        <w:rPr/>
      </w:pPr>
      <w:r>
        <w:rPr/>
        <w:t xml:space="preserve">- в случае одностороннего отказа Стороны Контракта от исполнения Контракта </w:t>
        <w:br/>
        <w:t>в соответствии с гражданским законодательством.</w:t>
      </w:r>
    </w:p>
    <w:p>
      <w:pPr>
        <w:pStyle w:val="Normal"/>
        <w:ind w:firstLine="708"/>
        <w:jc w:val="both"/>
        <w:rPr/>
      </w:pPr>
      <w:r>
        <w:rPr/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>
      <w:pPr>
        <w:pStyle w:val="Normal"/>
        <w:ind w:firstLine="708"/>
        <w:jc w:val="both"/>
        <w:rPr/>
      </w:pPr>
      <w:r>
        <w:rPr/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>
      <w:pPr>
        <w:pStyle w:val="Normal"/>
        <w:ind w:firstLine="708"/>
        <w:jc w:val="both"/>
        <w:rPr/>
      </w:pPr>
      <w:r>
        <w:rPr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9. Порядок урегулирования споров</w:t>
      </w:r>
    </w:p>
    <w:p>
      <w:pPr>
        <w:pStyle w:val="Normal"/>
        <w:ind w:firstLine="708"/>
        <w:jc w:val="both"/>
        <w:rPr/>
      </w:pPr>
      <w:r>
        <w:rPr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>
      <w:pPr>
        <w:pStyle w:val="Normal"/>
        <w:ind w:firstLine="708"/>
        <w:jc w:val="both"/>
        <w:rPr/>
      </w:pPr>
      <w:r>
        <w:rPr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>
      <w:pPr>
        <w:pStyle w:val="Normal"/>
        <w:ind w:firstLine="708"/>
        <w:jc w:val="both"/>
        <w:rPr/>
      </w:pPr>
      <w:r>
        <w:rPr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10. Прочие условия</w:t>
      </w:r>
    </w:p>
    <w:p>
      <w:pPr>
        <w:pStyle w:val="Normal"/>
        <w:ind w:firstLine="708"/>
        <w:jc w:val="both"/>
        <w:rPr/>
      </w:pPr>
      <w:r>
        <w:rPr/>
        <w:t xml:space="preserve">10.1. Все уведомления сторон, связанные с исполнением Контракта, направляются </w:t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почты, указанной в разделе 13 Контракта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>
      <w:pPr>
        <w:pStyle w:val="Normal"/>
        <w:ind w:firstLine="708"/>
        <w:jc w:val="both"/>
        <w:rPr/>
      </w:pPr>
      <w:r>
        <w:rPr/>
        <w:t>10.2. Контракт составлен в 2 (двух) экземплярах по одному для каждой из Сторон, имеющих одинаковую юридическую силу.</w:t>
      </w:r>
    </w:p>
    <w:p>
      <w:pPr>
        <w:pStyle w:val="Normal"/>
        <w:ind w:firstLine="708"/>
        <w:jc w:val="both"/>
        <w:rPr/>
      </w:pPr>
      <w:r>
        <w:rPr/>
        <w:t>10.3. Во всем, что не предусмотрено Контрактом, Стороны руководствуются законодательством Российской Федерации.</w:t>
      </w:r>
    </w:p>
    <w:p>
      <w:pPr>
        <w:pStyle w:val="Normal"/>
        <w:ind w:firstLine="708"/>
        <w:jc w:val="center"/>
        <w:rPr>
          <w:b/>
        </w:rPr>
      </w:pPr>
      <w:r>
        <w:rPr>
          <w:b/>
        </w:rPr>
      </w:r>
    </w:p>
    <w:p>
      <w:pPr>
        <w:pStyle w:val="Normal"/>
        <w:ind w:firstLine="708"/>
        <w:jc w:val="center"/>
        <w:rPr>
          <w:b/>
        </w:rPr>
      </w:pPr>
      <w:r>
        <w:rPr>
          <w:b/>
        </w:rPr>
        <w:t>11. Антикоррупционная оговорка</w:t>
      </w:r>
    </w:p>
    <w:p>
      <w:pPr>
        <w:pStyle w:val="Normal"/>
        <w:suppressAutoHyphens w:val="false"/>
        <w:ind w:firstLine="709"/>
        <w:jc w:val="both"/>
        <w:rPr/>
      </w:pPr>
      <w:r>
        <w:rPr>
          <w:color w:val="000000"/>
        </w:rPr>
        <w:t xml:space="preserve"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>
      <w:pPr>
        <w:pStyle w:val="Normal"/>
        <w:suppressAutoHyphens w:val="false"/>
        <w:ind w:firstLine="709"/>
        <w:jc w:val="both"/>
        <w:rPr/>
      </w:pPr>
      <w:r>
        <w:rPr>
          <w:color w:val="00000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>
      <w:pPr>
        <w:pStyle w:val="Normal"/>
        <w:suppressAutoHyphens w:val="false"/>
        <w:ind w:firstLine="709"/>
        <w:jc w:val="both"/>
        <w:rPr/>
      </w:pPr>
      <w:r>
        <w:rPr>
          <w:color w:val="000000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>
      <w:pPr>
        <w:pStyle w:val="Normal"/>
        <w:suppressAutoHyphens w:val="false"/>
        <w:ind w:firstLine="709"/>
        <w:jc w:val="both"/>
        <w:rPr/>
      </w:pPr>
      <w:r>
        <w:rPr>
          <w:color w:val="000000"/>
        </w:rPr>
        <w:t>- не совершать иных действий, нарушающих антикоррупционное законодательство Российской Федерации.</w:t>
      </w:r>
    </w:p>
    <w:p>
      <w:pPr>
        <w:pStyle w:val="Normal"/>
        <w:suppressAutoHyphens w:val="false"/>
        <w:ind w:firstLine="709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12. Приложения</w:t>
      </w:r>
    </w:p>
    <w:p>
      <w:pPr>
        <w:pStyle w:val="Normal"/>
        <w:ind w:firstLine="708"/>
        <w:jc w:val="both"/>
        <w:rPr/>
      </w:pPr>
      <w:r>
        <w:rPr/>
        <w:t>12.1 Неотъемлемой частью Контракта являются:</w:t>
      </w:r>
    </w:p>
    <w:p>
      <w:pPr>
        <w:pStyle w:val="Normal"/>
        <w:ind w:firstLine="708"/>
        <w:jc w:val="both"/>
        <w:rPr/>
      </w:pPr>
      <w:r>
        <w:rPr/>
        <w:t>Приложение № 1 «Спецификация»;</w:t>
      </w:r>
    </w:p>
    <w:p>
      <w:pPr>
        <w:pStyle w:val="Normal"/>
        <w:ind w:firstLine="708"/>
        <w:jc w:val="both"/>
        <w:rPr/>
      </w:pPr>
      <w:r>
        <w:rPr/>
        <w:t>Приложение № 2 «Техническое задание»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13. Реквизиты и подписи сторон</w:t>
      </w:r>
    </w:p>
    <w:p>
      <w:pPr>
        <w:pStyle w:val="Normal"/>
        <w:spacing w:lineRule="auto" w:line="259" w:before="0" w:after="160"/>
        <w:rPr/>
      </w:pPr>
      <w:r>
        <w:rPr/>
      </w:r>
    </w:p>
    <w:tbl>
      <w:tblPr>
        <w:tblW w:w="9810" w:type="dxa"/>
        <w:jc w:val="left"/>
        <w:tblInd w:w="4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0"/>
        <w:gridCol w:w="510"/>
        <w:gridCol w:w="4770"/>
      </w:tblGrid>
      <w:tr>
        <w:trPr>
          <w:trHeight w:val="2989" w:hRule="atLeas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426"/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  <w:t>Санкт-Петербургское государственное бюджетное учреждение  «Стройкомплект»</w:t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>
                <w:lang w:eastAsia="zh-CN"/>
              </w:rPr>
            </w:pPr>
            <w:r>
              <w:rPr>
                <w:lang w:eastAsia="zh-CN"/>
              </w:rPr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  <w:t>Ответственное лицо</w:t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  <w:t>Зонтак Сергей Владимирович</w:t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  <w:t>Тел. +7-921-984-95-73</w:t>
            </w:r>
          </w:p>
        </w:tc>
        <w:tc>
          <w:tcPr>
            <w:tcW w:w="5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426"/>
              <w:rPr>
                <w:b/>
              </w:rPr>
            </w:pPr>
            <w:r>
              <w:rPr>
                <w:b/>
              </w:rPr>
              <w:t xml:space="preserve">               </w:t>
            </w:r>
            <w:r>
              <w:rPr>
                <w:b/>
              </w:rPr>
              <w:t>ПОСТАВЩИК</w:t>
            </w:r>
          </w:p>
          <w:p>
            <w:pPr>
              <w:pStyle w:val="Normal"/>
              <w:widowControl w:val="false"/>
              <w:ind w:left="34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</w:r>
          </w:p>
        </w:tc>
      </w:tr>
    </w:tbl>
    <w:p>
      <w:pPr>
        <w:pStyle w:val="Normal"/>
        <w:ind w:firstLine="708" w:left="708"/>
        <w:rPr>
          <w:b/>
        </w:rPr>
      </w:pPr>
      <w:r>
        <w:rPr>
          <w:b/>
        </w:rPr>
      </w:r>
    </w:p>
    <w:p>
      <w:pPr>
        <w:pStyle w:val="Normal"/>
        <w:ind w:firstLine="708" w:left="708"/>
        <w:rPr>
          <w:b/>
        </w:rPr>
      </w:pPr>
      <w:r>
        <w:rPr>
          <w:b/>
        </w:rPr>
      </w:r>
    </w:p>
    <w:p>
      <w:pPr>
        <w:pStyle w:val="Normal"/>
        <w:ind w:firstLine="708" w:left="708"/>
        <w:rPr/>
      </w:pPr>
      <w:r>
        <w:rPr>
          <w:b/>
        </w:rPr>
        <w:t xml:space="preserve">«Заказчик»: </w:t>
        <w:tab/>
        <w:tab/>
        <w:tab/>
        <w:tab/>
        <w:tab/>
        <w:tab/>
        <w:tab/>
        <w:t>«Поставщик»:</w:t>
      </w:r>
    </w:p>
    <w:p>
      <w:pPr>
        <w:pStyle w:val="Normal"/>
        <w:spacing w:lineRule="atLeast" w:line="240"/>
        <w:rPr/>
      </w:pPr>
      <w:r>
        <w:rPr/>
        <w:t xml:space="preserve">       </w:t>
      </w:r>
      <w:r>
        <w:rPr/>
        <w:t>Д</w:t>
      </w:r>
      <w:r>
        <w:rPr/>
        <w:t xml:space="preserve">иректор СПБ ГБУ «Стройкомплект» </w:t>
        <w:tab/>
        <w:tab/>
        <w:tab/>
        <w:t xml:space="preserve">           </w:t>
      </w:r>
    </w:p>
    <w:p>
      <w:pPr>
        <w:pStyle w:val="Normal"/>
        <w:spacing w:lineRule="atLeast" w:line="240"/>
        <w:ind w:firstLine="567"/>
        <w:rPr/>
      </w:pPr>
      <w:r>
        <w:rPr/>
      </w:r>
    </w:p>
    <w:p>
      <w:pPr>
        <w:pStyle w:val="Normal"/>
        <w:spacing w:lineRule="atLeast" w:line="240" w:before="0" w:after="160"/>
        <w:ind w:firstLine="567"/>
        <w:rPr/>
      </w:pPr>
      <w:r>
        <w:rPr/>
        <w:t>_____________ (А.А. Борисов)</w:t>
        <w:tab/>
        <w:tab/>
        <w:t xml:space="preserve">  </w:t>
        <w:tab/>
        <w:tab/>
        <w:t>________________________</w:t>
      </w:r>
    </w:p>
    <w:p>
      <w:pPr>
        <w:pStyle w:val="Normal"/>
        <w:spacing w:lineRule="atLeast" w:line="240" w:before="0" w:after="160"/>
        <w:rPr/>
      </w:pPr>
      <w:r>
        <w:rPr/>
        <w:t xml:space="preserve"> </w:t>
      </w:r>
      <w:r>
        <w:rPr/>
        <w:t xml:space="preserve">«   » </w:t>
      </w:r>
      <w:r>
        <w:rPr>
          <w:lang w:val="ru-RU"/>
        </w:rPr>
        <w:t>____________202</w:t>
      </w:r>
      <w:r>
        <w:rPr>
          <w:lang w:val="ru-RU"/>
        </w:rPr>
        <w:t>6</w:t>
      </w:r>
      <w:r>
        <w:rPr>
          <w:lang w:val="ru-RU"/>
        </w:rPr>
        <w:t>г</w:t>
      </w:r>
      <w:r>
        <w:rPr/>
        <w:tab/>
        <w:tab/>
        <w:t xml:space="preserve">            </w:t>
        <w:tab/>
        <w:t xml:space="preserve">             «     » ______________ </w:t>
      </w:r>
      <w:r>
        <w:rPr>
          <w:lang w:val="ru-RU"/>
        </w:rPr>
        <w:t>202</w:t>
      </w:r>
      <w:r>
        <w:rPr>
          <w:lang w:val="en-US"/>
        </w:rPr>
        <w:t>6</w:t>
      </w:r>
      <w:r>
        <w:rPr>
          <w:lang w:val="ru-RU"/>
        </w:rPr>
        <w:t>г</w:t>
      </w:r>
      <w:r>
        <w:br w:type="page"/>
      </w:r>
    </w:p>
    <w:p>
      <w:pPr>
        <w:pStyle w:val="Normal"/>
        <w:spacing w:before="0" w:after="0"/>
        <w:jc w:val="right"/>
        <w:rPr/>
      </w:pPr>
      <w:r>
        <w:rPr/>
        <w:t>Приложение № 1 к Контракту</w:t>
      </w:r>
    </w:p>
    <w:p>
      <w:pPr>
        <w:pStyle w:val="ListParagraph"/>
        <w:ind w:firstLine="142"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«___»____________202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г. № _______</w:t>
      </w:r>
    </w:p>
    <w:p>
      <w:pPr>
        <w:pStyle w:val="ListParagraph"/>
        <w:ind w:firstLine="142"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b/>
        </w:rPr>
      </w:pPr>
      <w:r>
        <w:rPr>
          <w:b/>
        </w:rPr>
        <w:t>СПЕЦИФИКАЦИЯ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Style w:val="af1"/>
        <w:tblW w:w="95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1"/>
        <w:gridCol w:w="3068"/>
        <w:gridCol w:w="852"/>
        <w:gridCol w:w="964"/>
        <w:gridCol w:w="1473"/>
        <w:gridCol w:w="1143"/>
        <w:gridCol w:w="1463"/>
      </w:tblGrid>
      <w:tr>
        <w:trPr/>
        <w:tc>
          <w:tcPr>
            <w:tcW w:w="56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113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113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п/п</w:t>
            </w:r>
          </w:p>
        </w:tc>
        <w:tc>
          <w:tcPr>
            <w:tcW w:w="30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Наименование, характеристики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Ед.изм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Кол-во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Цена за единицу,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руб.</w:t>
            </w:r>
          </w:p>
        </w:tc>
        <w:tc>
          <w:tcPr>
            <w:tcW w:w="114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НДС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 xml:space="preserve"> %</w:t>
            </w:r>
          </w:p>
        </w:tc>
        <w:tc>
          <w:tcPr>
            <w:tcW w:w="146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Стоимость,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руб.</w:t>
            </w:r>
          </w:p>
        </w:tc>
      </w:tr>
      <w:tr>
        <w:trPr>
          <w:trHeight w:val="629" w:hRule="atLeast"/>
        </w:trPr>
        <w:tc>
          <w:tcPr>
            <w:tcW w:w="56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kern w:val="0"/>
                <w:sz w:val="24"/>
                <w:szCs w:val="24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3068" w:type="dxa"/>
            <w:tcBorders/>
          </w:tcPr>
          <w:p>
            <w:pPr>
              <w:pStyle w:val="Style18"/>
              <w:widowControl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i w:val="false"/>
                <w:caps w:val="false"/>
                <w:smallCaps w:val="false"/>
                <w:color w:val="1A1920"/>
                <w:spacing w:val="0"/>
                <w:kern w:val="0"/>
                <w:sz w:val="24"/>
                <w:szCs w:val="24"/>
                <w:lang w:val="ru-RU" w:eastAsia="en-US" w:bidi="ar-SA"/>
              </w:rPr>
              <w:t>План эвакуации людей при пожаре  (600х400 мм, фотолюминесцентный на ПВХ основе, наб. р. Фонтанки, д. 132, лит Г. 1, 2, 3 этаж)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050" w:leader="none"/>
              </w:tabs>
              <w:suppressAutoHyphens w:val="true"/>
              <w:spacing w:before="0" w:after="0"/>
              <w:jc w:val="center"/>
              <w:rPr>
                <w:b w:val="false"/>
                <w:bCs w:val="false"/>
                <w:kern w:val="0"/>
                <w:sz w:val="24"/>
                <w:szCs w:val="24"/>
                <w:shd w:fill="auto" w:val="clear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4"/>
                <w:szCs w:val="24"/>
                <w:shd w:fill="auto" w:val="clear"/>
                <w:lang w:val="ru-RU" w:bidi="ar-SA"/>
              </w:rPr>
              <w:t>шт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kern w:val="0"/>
                <w:sz w:val="24"/>
                <w:szCs w:val="24"/>
                <w:highlight w:val="none"/>
                <w:shd w:fill="auto" w:val="clear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4"/>
                <w:szCs w:val="24"/>
                <w:shd w:fill="auto" w:val="clear"/>
                <w:lang w:val="ru-RU" w:bidi="ar-SA"/>
              </w:rPr>
              <w:t>3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kern w:val="0"/>
                <w:sz w:val="24"/>
                <w:szCs w:val="24"/>
                <w:highlight w:val="none"/>
                <w:shd w:fill="auto" w:val="clear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4"/>
                <w:szCs w:val="24"/>
                <w:shd w:fill="auto" w:val="clear"/>
                <w:lang w:val="ru-RU" w:bidi="ar-SA"/>
              </w:rPr>
            </w:r>
          </w:p>
        </w:tc>
        <w:tc>
          <w:tcPr>
            <w:tcW w:w="114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kern w:val="0"/>
                <w:sz w:val="24"/>
                <w:szCs w:val="24"/>
                <w:highlight w:val="none"/>
                <w:shd w:fill="auto" w:val="clear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4"/>
                <w:szCs w:val="24"/>
                <w:shd w:fill="auto" w:val="clear"/>
                <w:lang w:val="ru-RU" w:bidi="ar-SA"/>
              </w:rPr>
            </w:r>
          </w:p>
        </w:tc>
        <w:tc>
          <w:tcPr>
            <w:tcW w:w="146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kern w:val="0"/>
                <w:sz w:val="24"/>
                <w:szCs w:val="24"/>
                <w:highlight w:val="none"/>
                <w:shd w:fill="auto" w:val="clear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4"/>
                <w:szCs w:val="24"/>
                <w:shd w:fill="auto" w:val="clear"/>
                <w:lang w:val="ru-RU" w:bidi="ar-SA"/>
              </w:rPr>
            </w:r>
          </w:p>
        </w:tc>
      </w:tr>
    </w:tbl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>
          <w:b/>
        </w:rPr>
        <w:t>Итого (цена Контракта)</w:t>
      </w:r>
      <w:r>
        <w:rPr/>
        <w:t>: ____________________________________________________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W w:w="9810" w:type="dxa"/>
        <w:jc w:val="left"/>
        <w:tblInd w:w="4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0"/>
        <w:gridCol w:w="510"/>
        <w:gridCol w:w="4770"/>
      </w:tblGrid>
      <w:tr>
        <w:trPr>
          <w:trHeight w:val="2989" w:hRule="atLeas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4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  <w:t>Санкт-Петербургское государственное бюджетное учреждение  «Стройкомплект»</w:t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  <w:t>Ответственное лицо</w:t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  <w:t>Зонтак Сергей Владимирович</w:t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  <w:t>Тел. +7-921-984-95-73</w:t>
            </w:r>
          </w:p>
          <w:p>
            <w:pPr>
              <w:pStyle w:val="Normal"/>
              <w:widowControl w:val="false"/>
              <w:ind w:left="107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42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</w:t>
            </w:r>
            <w:r>
              <w:rPr>
                <w:b/>
                <w:sz w:val="20"/>
              </w:rPr>
              <w:t>ПОСТАВЩИК</w:t>
            </w:r>
          </w:p>
          <w:p>
            <w:pPr>
              <w:pStyle w:val="Normal"/>
              <w:widowControl w:val="false"/>
              <w:ind w:left="34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ind w:left="34"/>
              <w:rPr>
                <w:sz w:val="20"/>
                <w:highlight w:val="green"/>
              </w:rPr>
            </w:pPr>
            <w:r>
              <w:rPr>
                <w:sz w:val="20"/>
                <w:highlight w:val="green"/>
              </w:rPr>
            </w:r>
          </w:p>
        </w:tc>
      </w:tr>
    </w:tbl>
    <w:p>
      <w:pPr>
        <w:pStyle w:val="Normal"/>
        <w:jc w:val="right"/>
        <w:rPr/>
      </w:pPr>
      <w:r>
        <w:rPr/>
      </w:r>
    </w:p>
    <w:p>
      <w:pPr>
        <w:pStyle w:val="Normal"/>
        <w:ind w:firstLine="708" w:left="708"/>
        <w:rPr/>
      </w:pPr>
      <w:r>
        <w:rPr>
          <w:b/>
        </w:rPr>
        <w:t xml:space="preserve">«Заказчик»: </w:t>
        <w:tab/>
        <w:tab/>
        <w:tab/>
        <w:tab/>
        <w:tab/>
        <w:tab/>
        <w:tab/>
        <w:t>«Поставщик»:</w:t>
      </w:r>
    </w:p>
    <w:p>
      <w:pPr>
        <w:pStyle w:val="Normal"/>
        <w:spacing w:lineRule="atLeast" w:line="240"/>
        <w:rPr/>
      </w:pPr>
      <w:r>
        <w:rPr/>
        <w:t xml:space="preserve">       </w:t>
      </w:r>
      <w:r>
        <w:rPr/>
        <w:t>Д</w:t>
      </w:r>
      <w:r>
        <w:rPr/>
        <w:t xml:space="preserve">иректор СПБ ГБУ «Стройкомплект» </w:t>
        <w:tab/>
        <w:tab/>
        <w:tab/>
        <w:t xml:space="preserve">           </w:t>
      </w:r>
    </w:p>
    <w:p>
      <w:pPr>
        <w:pStyle w:val="Normal"/>
        <w:spacing w:lineRule="atLeast" w:line="240"/>
        <w:ind w:firstLine="567"/>
        <w:rPr/>
      </w:pPr>
      <w:r>
        <w:rPr/>
      </w:r>
    </w:p>
    <w:p>
      <w:pPr>
        <w:pStyle w:val="Normal"/>
        <w:spacing w:lineRule="atLeast" w:line="240" w:before="0" w:after="160"/>
        <w:ind w:firstLine="567"/>
        <w:rPr/>
      </w:pPr>
      <w:r>
        <w:rPr/>
        <w:t>_____________ (А.А. Борисов)</w:t>
        <w:tab/>
        <w:tab/>
        <w:t xml:space="preserve">  </w:t>
        <w:tab/>
        <w:tab/>
        <w:t>________________________</w:t>
      </w:r>
    </w:p>
    <w:p>
      <w:pPr>
        <w:pStyle w:val="Normal"/>
        <w:spacing w:lineRule="atLeast" w:line="240" w:before="0" w:after="160"/>
        <w:rPr/>
      </w:pPr>
      <w:r>
        <w:rPr>
          <w:b/>
        </w:rPr>
        <w:t xml:space="preserve"> </w:t>
      </w:r>
      <w:r>
        <w:rPr>
          <w:b/>
        </w:rPr>
        <w:t xml:space="preserve">«   » </w:t>
      </w:r>
      <w:r>
        <w:rPr>
          <w:b/>
          <w:lang w:val="ru-RU"/>
        </w:rPr>
        <w:t>____________202</w:t>
      </w:r>
      <w:r>
        <w:rPr>
          <w:b/>
          <w:lang w:val="ru-RU"/>
        </w:rPr>
        <w:t>6</w:t>
      </w:r>
      <w:r>
        <w:rPr>
          <w:b/>
          <w:lang w:val="ru-RU"/>
        </w:rPr>
        <w:t>г</w:t>
      </w:r>
      <w:r>
        <w:rPr>
          <w:b/>
        </w:rPr>
        <w:tab/>
        <w:tab/>
        <w:t xml:space="preserve">            </w:t>
        <w:tab/>
        <w:t xml:space="preserve">             «     » ______________ </w:t>
      </w:r>
      <w:r>
        <w:rPr>
          <w:b/>
          <w:lang w:val="ru-RU"/>
        </w:rPr>
        <w:t>202</w:t>
      </w:r>
      <w:r>
        <w:rPr>
          <w:b/>
          <w:lang w:val="en-US"/>
        </w:rPr>
        <w:t>6</w:t>
      </w:r>
      <w:r>
        <w:rPr>
          <w:b/>
          <w:lang w:val="ru-RU"/>
        </w:rPr>
        <w:t>г</w:t>
      </w:r>
      <w:r>
        <w:br w:type="page"/>
      </w:r>
    </w:p>
    <w:p>
      <w:pPr>
        <w:pStyle w:val="Normal"/>
        <w:spacing w:before="0" w:after="0"/>
        <w:jc w:val="right"/>
        <w:rPr/>
      </w:pPr>
      <w:r>
        <w:rPr/>
        <w:t>Приложение № 2 к Контракту</w:t>
      </w:r>
    </w:p>
    <w:p>
      <w:pPr>
        <w:pStyle w:val="ListParagraph"/>
        <w:ind w:firstLine="142"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от «___»</w:t>
      </w:r>
      <w:r>
        <w:rPr>
          <w:rFonts w:cs="Times New Roman" w:ascii="Times New Roman" w:hAnsi="Times New Roman"/>
          <w:sz w:val="24"/>
          <w:szCs w:val="24"/>
          <w:lang w:val="ru-RU"/>
        </w:rPr>
        <w:t>____________202</w:t>
      </w:r>
      <w:r>
        <w:rPr>
          <w:rFonts w:cs="Times New Roman" w:ascii="Times New Roman" w:hAnsi="Times New Roman"/>
          <w:sz w:val="24"/>
          <w:szCs w:val="24"/>
          <w:lang w:val="en-US"/>
        </w:rPr>
        <w:t>6</w:t>
      </w:r>
      <w:r>
        <w:rPr>
          <w:rFonts w:cs="Times New Roman" w:ascii="Times New Roman" w:hAnsi="Times New Roman"/>
          <w:sz w:val="24"/>
          <w:szCs w:val="24"/>
          <w:lang w:val="ru-RU"/>
        </w:rPr>
        <w:t>г</w:t>
      </w:r>
      <w:r>
        <w:rPr>
          <w:rFonts w:cs="Times New Roman" w:ascii="Times New Roman" w:hAnsi="Times New Roman"/>
          <w:sz w:val="24"/>
          <w:szCs w:val="24"/>
        </w:rPr>
        <w:t>. № _______</w:t>
      </w:r>
    </w:p>
    <w:p>
      <w:pPr>
        <w:pStyle w:val="Normal"/>
        <w:jc w:val="center"/>
        <w:rPr>
          <w:b/>
        </w:rPr>
      </w:pPr>
      <w:r>
        <w:rPr>
          <w:b/>
        </w:rPr>
        <w:t>1. ТЕХНИЧЕСКОЕ ЗАДАНИЕ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b/>
          <w:bCs/>
        </w:rPr>
      </w:pPr>
      <w:r>
        <w:rPr>
          <w:b/>
          <w:bCs/>
          <w:sz w:val="24"/>
          <w:szCs w:val="24"/>
          <w:lang w:eastAsia="ru-RU"/>
        </w:rPr>
        <w:t xml:space="preserve">Требования к значениям показателей (характеристик) поставляемого товара,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b/>
          <w:bCs/>
        </w:rPr>
      </w:pPr>
      <w:r>
        <w:rPr>
          <w:b/>
          <w:bCs/>
          <w:sz w:val="24"/>
          <w:szCs w:val="24"/>
          <w:lang w:eastAsia="ru-RU"/>
        </w:rPr>
        <w:t>позволяющие определить соответствие установленным заказчиком требованиям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360" w:left="108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Общие положения и требования к компетентности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Под объектом в настоящем Техническом задании понимается </w:t>
      </w:r>
      <w:r>
        <w:rPr>
          <w:rFonts w:eastAsia="Times New Roman" w:cs="Times New Roman"/>
          <w:color w:val="000000"/>
          <w:sz w:val="24"/>
          <w:szCs w:val="24"/>
          <w:lang w:val="ru-RU" w:eastAsia="ru-RU"/>
        </w:rPr>
        <w:t>СПб ГБУ «Стройкомплект»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Под Заказчиком в настоящем Техническом задании понимается </w:t>
      </w:r>
      <w:r>
        <w:rPr>
          <w:rFonts w:eastAsia="Times New Roman" w:cs="Times New Roman"/>
          <w:color w:val="000000"/>
          <w:sz w:val="24"/>
          <w:szCs w:val="24"/>
          <w:lang w:val="ru-RU" w:eastAsia="ru-RU"/>
        </w:rPr>
        <w:t>СПб ГБУ «Стройкомплект»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, г. Санкт-Петербург, наб. р. Фонтанки, д. 132, лит Г.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Под Исполнителем в настоящем техническом задании понимается юридическое лицо или индивидуальный предприниматель, оказывающий услуги по разработке и изготовлению планов эвакуации при пожаре.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Компетентность Исполнителя должна подтверждаться уровнем квалификации персонала Исполнителя и сертификатами соответствия продукции.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Услуги по разработке и изготовлению планов эвакуации (Далее – Услуги) должны выполняться квалифицированным персоналом (работниками Исполнителя, оформленными на работу в соответствии с Трудовым Кодексом Российской Федерации (т.е. по трудовому договору). При этом квалификация персонала должна подтверждаться документами об образовании конкретного работника, осуществляющего работу у Исполнителя и учредителя юридического лица (индивидуального предпринимателя).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color w:val="000000"/>
        </w:rPr>
        <w:t>Место оказания услуги Санкт-Петербург.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Срок исполнения:</w:t>
      </w:r>
      <w:r>
        <w:rPr>
          <w:rFonts w:eastAsia="Times New Roman" w:cs="Times New Roman"/>
          <w:sz w:val="24"/>
          <w:szCs w:val="24"/>
          <w:lang w:eastAsia="ru-RU"/>
        </w:rPr>
        <w:t xml:space="preserve"> 30 дней от даты заключения контракта</w:t>
        <w:br/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Нормативное обоснование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Планы эвакуации должны быть разработаны по ГОСТ 34428-2018 во исполнение требований нормативных правовых актов и нормативных документов, содержащихся в следующих нормах: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- пункте 5 Правил противопожарного режима в Российской Федерации, утвержденных Постановлением Правительства Российской Федерации от 16 сентября 2020 года № 1479;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- пункте 6.6 и приложениях к ГОСТ Р 12.4.026.2015 Цвета сигнальные, знаки безопасности и разметка сигнальная.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- Своде правил СП 3.13130.20</w:t>
      </w:r>
      <w:r>
        <w:rPr>
          <w:rFonts w:eastAsia="Times New Roman" w:cs="Times New Roman"/>
          <w:sz w:val="24"/>
          <w:szCs w:val="24"/>
          <w:lang w:eastAsia="ru-RU"/>
        </w:rPr>
        <w:t>26</w:t>
      </w:r>
      <w:r>
        <w:rPr>
          <w:rFonts w:eastAsia="Times New Roman" w:cs="Times New Roman"/>
          <w:sz w:val="24"/>
          <w:szCs w:val="24"/>
          <w:lang w:eastAsia="ru-RU"/>
        </w:rPr>
        <w:t>, в части, касающейся способа оповещения.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Выбор типа планов эвакуации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 соответствии с пунктом 9.3.9.2 ГОСТ 34428-2018 требуется разработка поэтажных планов эвакуации </w:t>
      </w:r>
      <w:r>
        <w:rPr>
          <w:rFonts w:cs="Times New Roman"/>
          <w:sz w:val="24"/>
          <w:szCs w:val="24"/>
        </w:rPr>
        <w:t>не менее 600х400 мм.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Содержание и проектные решения графической части планов эвакуации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eastAsia="Times New Roman" w:cs="Times New Roman"/>
          <w:color w:val="FF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соответствии с пунктами </w:t>
      </w:r>
      <w:r>
        <w:rPr>
          <w:rFonts w:cs="Times New Roman"/>
          <w:sz w:val="24"/>
          <w:szCs w:val="24"/>
        </w:rPr>
        <w:t xml:space="preserve">9.3.9.6. </w:t>
      </w:r>
      <w:r>
        <w:rPr>
          <w:rFonts w:eastAsia="Times New Roman" w:cs="Times New Roman"/>
          <w:sz w:val="24"/>
          <w:szCs w:val="24"/>
          <w:lang w:eastAsia="ru-RU"/>
        </w:rPr>
        <w:t>ГОСТ 34428-2018: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Планы эвакуации состоят из графической части и пояснительных надписей, которые должны быть просты, понятны и актуальны. План эвакуации не должен содержать посторонних рисунков, надписей и другой информации, не относящейся к эвакуации людей или местам размещения средств противопожарной защиты, спасательных и медицинских средств, средств связи и др.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Графическая часть плана эвакуации должна включать в себя этажную (секционную) планировку объекта с обозначением номера этажа с указанием эвакуационных путей, выходов, дверных проемов, лестниц, лестничных клеток, балконов, лифтов, зон безопасности, а также аварийных выходов.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На плане эвакуации может быть показана обзорная схема этажа (причем ее размер не должен превышать 10 % плана эвакуации рассматриваемой части здания) с некоторой привязкой к местности (например, показаны улицы и парковки) и указанием мест сбора людей на территории.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Пути эвакуации, ведущие к эвакуационным выходам, следует обозначать сплошной линией зеленого цвета с указанием направления эвакуации. Пути эвакуации, ведущие к аварийным выходам, обозначают штриховой линией зеленого цвета с указанием направления эвакуации.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Для знаков безопасности, символов и условных графических обозначений должны быть даны пояснения их смыслового значения в текстовой части плана эвакуации.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При необходимости надписи на русском языке следует дублировать на национальных языках. В гостиницах, принимающих иностранных граждан, надписи на русском языке рекомендуется дублировать на английском языке.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eastAsia="Times New Roman" w:cs="Times New Roman"/>
          <w:color w:val="FF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Содержание текстовой части плана эвакуации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соответствии с пунктом </w:t>
      </w:r>
      <w:r>
        <w:rPr>
          <w:rFonts w:cs="Times New Roman"/>
          <w:sz w:val="24"/>
          <w:szCs w:val="24"/>
        </w:rPr>
        <w:t xml:space="preserve">9.3.9.16. </w:t>
      </w:r>
      <w:r>
        <w:rPr>
          <w:rFonts w:eastAsia="Times New Roman" w:cs="Times New Roman"/>
          <w:sz w:val="24"/>
          <w:szCs w:val="24"/>
          <w:lang w:eastAsia="ru-RU"/>
        </w:rPr>
        <w:t>ГОСТ 34428-2018 планы эвакуации должны включать в себя текстовую часть, отражающую: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• </w:t>
      </w:r>
      <w:r>
        <w:rPr>
          <w:rFonts w:cs="Times New Roman"/>
          <w:sz w:val="24"/>
          <w:szCs w:val="24"/>
        </w:rPr>
        <w:t xml:space="preserve">способы оповещения о возникновении чрезвычайной ситуации (пожара, теракта, аварии и др.);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• </w:t>
      </w:r>
      <w:r>
        <w:rPr>
          <w:rFonts w:cs="Times New Roman"/>
          <w:sz w:val="24"/>
          <w:szCs w:val="24"/>
        </w:rPr>
        <w:t>порядок и последовательность эвакуации людей;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• </w:t>
      </w:r>
      <w:r>
        <w:rPr>
          <w:rFonts w:cs="Times New Roman"/>
          <w:sz w:val="24"/>
          <w:szCs w:val="24"/>
        </w:rPr>
        <w:t>действия людей, в том числе порядок вызова пожарных или аварийно-спасательных подразделений, экстренной медицинской помощи и др.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Надписи и графические изображения на плане эвакуации (кроме знаков безопасности и символов) должны быть черного цвета, при этом шрифт надписей на плане эвакуации устанавливается по ГОСТ 12.4.026–2015. Высота шрифта — не менее 3 мм.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При необходимости надписи на русском языке следует дублировать на национальных языках. В гостиницах, принимающих иностранных граждан, надписи на русском языке рекомендуется дублировать на английском языке.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Система счисления, геометрические размеры планов эвакуации и их элементов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Система счисления принятая в планах эвакуации – миллиметры.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соответствии с пунктом </w:t>
      </w:r>
      <w:r>
        <w:rPr>
          <w:rFonts w:cs="Times New Roman"/>
          <w:sz w:val="24"/>
          <w:szCs w:val="24"/>
        </w:rPr>
        <w:t xml:space="preserve">9.3.9.5. </w:t>
      </w:r>
      <w:r>
        <w:rPr>
          <w:rFonts w:eastAsia="Times New Roman" w:cs="Times New Roman"/>
          <w:sz w:val="24"/>
          <w:szCs w:val="24"/>
          <w:lang w:eastAsia="ru-RU"/>
        </w:rPr>
        <w:t>ГОСТ 34428-2018 принимается размер плана эвакуации для секционного плана - 600 × 400 мм.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соответствии с пунктом </w:t>
      </w:r>
      <w:r>
        <w:rPr>
          <w:rFonts w:cs="Times New Roman"/>
          <w:sz w:val="24"/>
          <w:szCs w:val="24"/>
        </w:rPr>
        <w:t xml:space="preserve">9.3.9.8. </w:t>
      </w:r>
      <w:r>
        <w:rPr>
          <w:rFonts w:eastAsia="Times New Roman" w:cs="Times New Roman"/>
          <w:sz w:val="24"/>
          <w:szCs w:val="24"/>
          <w:lang w:eastAsia="ru-RU"/>
        </w:rPr>
        <w:t>ГОСТ 34428-2018</w:t>
      </w:r>
      <w:r>
        <w:rPr>
          <w:rFonts w:eastAsia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</w:rPr>
        <w:t xml:space="preserve">При выполнении в плане эвакуации схемы здания ширина наружных стен должна быть не менее 3 мм, ширина внутренних стен — не менее 1,5 мм, а ширина таких элементов, как ступени лестниц, окна и т. п. — не менее 0,5 мм. Также на плане эвакуации рекомендуется приводить названия помещений. Высота заглавных букв при оформлении текстовой части плана эвакуации должна быть не менее 3 мм.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соответствии с пунктом </w:t>
      </w:r>
      <w:r>
        <w:rPr>
          <w:rFonts w:cs="Times New Roman"/>
          <w:sz w:val="24"/>
          <w:szCs w:val="24"/>
        </w:rPr>
        <w:t xml:space="preserve">9.3.9.10. </w:t>
      </w:r>
      <w:r>
        <w:rPr>
          <w:rFonts w:eastAsia="Times New Roman" w:cs="Times New Roman"/>
          <w:sz w:val="24"/>
          <w:szCs w:val="24"/>
          <w:lang w:eastAsia="ru-RU"/>
        </w:rPr>
        <w:t xml:space="preserve">ГОСТ 34428-2018 </w:t>
      </w:r>
      <w:r>
        <w:rPr>
          <w:rFonts w:cs="Times New Roman"/>
          <w:sz w:val="24"/>
          <w:szCs w:val="24"/>
        </w:rPr>
        <w:t xml:space="preserve">Для быстрого ориентирования на плане эвакуации должна быть выполнена привязка места размещения плана в здании и соответствующего ему места на плане («Вы находитесь здесь») в виде круга синего цвета размером от 8 до 10 мм. При технической возможности рекомендуется добавлять поясняющую надпись.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соответствии с пунктом </w:t>
      </w:r>
      <w:r>
        <w:rPr>
          <w:rFonts w:cs="Times New Roman"/>
          <w:sz w:val="24"/>
          <w:szCs w:val="24"/>
        </w:rPr>
        <w:t xml:space="preserve">9.3.9.12. </w:t>
      </w:r>
      <w:r>
        <w:rPr>
          <w:rFonts w:eastAsia="Times New Roman" w:cs="Times New Roman"/>
          <w:sz w:val="24"/>
          <w:szCs w:val="24"/>
          <w:lang w:eastAsia="ru-RU"/>
        </w:rPr>
        <w:t>ГОСТ 34428-2018</w:t>
      </w:r>
      <w:r>
        <w:rPr>
          <w:rFonts w:cs="Times New Roman"/>
          <w:sz w:val="24"/>
          <w:szCs w:val="24"/>
        </w:rPr>
        <w:t xml:space="preserve"> При помощи знаков безопасности на плане следует показать места включения ручных пожарных извещателей, размещения средств связи и спасения людей, оборудования для инвалидов, специально защищенных лифтов, медицинских аптечек, огнетушителей, пожарных кранов, места отключения источников электроэнергии. Размер знаков и символов должен быть от 8 до 15 мм.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8"/>
        </w:numPr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cs="Times New Roman"/>
          <w:b/>
          <w:sz w:val="24"/>
          <w:szCs w:val="24"/>
        </w:rPr>
        <w:t>Маркировка, упаковка, транспортирование и хранение элементов ФЭС</w:t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cs="Times New Roman"/>
          <w:sz w:val="24"/>
          <w:szCs w:val="24"/>
        </w:rPr>
        <w:t xml:space="preserve">В левом нижнем углу плана эвакуации необходимо указать наименование организации разработчика плана эвакуации и маркировку элемента ФЭС в соответствии с требованием пункта 5.3.1. </w:t>
      </w:r>
      <w:r>
        <w:rPr>
          <w:rFonts w:eastAsia="Times New Roman" w:cs="Times New Roman"/>
          <w:sz w:val="24"/>
          <w:szCs w:val="24"/>
          <w:lang w:eastAsia="ru-RU"/>
        </w:rPr>
        <w:t>ГОСТ 34428-2018.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Все фотолюминесцентные элементы системы должны иметь маркировку на лицевой стороне с указанием: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 xml:space="preserve">наименования и (или) торгового знака изготовителя элемента;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 xml:space="preserve">даты изготовления (год);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 xml:space="preserve">значения яркости свечения через 10 и 60 мин после отключения источников освещения в мкд/м2 ;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>длительности послесвечения в мин;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 xml:space="preserve">номера настоящего стандарта;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 xml:space="preserve">обозначения рабочей среды согласно данному стандарту.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  <w:t xml:space="preserve">Пример: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ТОРОГОВАЯ МАРКА (наименование) — 2016 — 200/25-1440 ГОСТ 34428—2018 — Е (обозначение рабочей среды, для которой предназначен данный элемент)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i w:val="false"/>
          <w:i w:val="false"/>
          <w:iCs w:val="false"/>
        </w:rPr>
      </w:pPr>
      <w:r>
        <w:rPr>
          <w:rFonts w:cs="Times New Roman"/>
          <w:i w:val="false"/>
          <w:iCs w:val="false"/>
          <w:sz w:val="24"/>
          <w:szCs w:val="24"/>
        </w:rPr>
        <w:t xml:space="preserve">План эвакуации изготавливается в соответствии с требованиями нормативных документов, размером </w:t>
      </w:r>
      <w:r>
        <w:rPr>
          <w:rFonts w:eastAsia="Calibri" w:cs=""/>
          <w:b w:val="false"/>
          <w:i w:val="false"/>
          <w:iCs w:val="false"/>
          <w:caps w:val="false"/>
          <w:smallCaps w:val="false"/>
          <w:color w:val="1A1920"/>
          <w:spacing w:val="0"/>
          <w:kern w:val="0"/>
          <w:sz w:val="24"/>
          <w:szCs w:val="24"/>
          <w:lang w:val="ru-RU" w:eastAsia="en-US" w:bidi="ar-SA"/>
        </w:rPr>
        <w:t>600х400 мм, фотолюминесцентный на ПВХ основе.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9.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Порядок и срок </w:t>
      </w:r>
      <w:r>
        <w:rPr>
          <w:rFonts w:cs="Times New Roman" w:ascii="Times New Roman" w:hAnsi="Times New Roman"/>
          <w:b/>
          <w:sz w:val="24"/>
          <w:szCs w:val="24"/>
        </w:rPr>
        <w:t>поставки товара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9.1. </w:t>
      </w:r>
      <w:r>
        <w:rPr>
          <w:rFonts w:cs="Times New Roman" w:ascii="Times New Roman" w:hAnsi="Times New Roman"/>
          <w:sz w:val="24"/>
          <w:szCs w:val="24"/>
          <w:u w:val="single"/>
        </w:rPr>
        <w:t>Место поставки товара:</w:t>
      </w:r>
      <w:r>
        <w:rPr>
          <w:rFonts w:cs="Times New Roman" w:ascii="Times New Roman" w:hAnsi="Times New Roman"/>
          <w:sz w:val="24"/>
          <w:szCs w:val="24"/>
        </w:rPr>
        <w:t xml:space="preserve"> г. Санкт-Петербург, </w:t>
      </w:r>
      <w:r>
        <w:rPr>
          <w:rFonts w:eastAsia="Calibri" w:cs="" w:ascii="Times New Roman" w:hAnsi="Times New Roman"/>
          <w:b w:val="false"/>
          <w:i w:val="false"/>
          <w:caps w:val="false"/>
          <w:smallCaps w:val="false"/>
          <w:color w:val="1A1920"/>
          <w:spacing w:val="0"/>
          <w:kern w:val="0"/>
          <w:sz w:val="24"/>
          <w:szCs w:val="24"/>
          <w:lang w:val="ru-RU" w:eastAsia="en-US" w:bidi="ar-SA"/>
        </w:rPr>
        <w:t>наб. р. Фонтанки, д. 132, лит Г.</w:t>
      </w:r>
      <w:r>
        <w:rPr>
          <w:rFonts w:cs="Times New Roman" w:ascii="Times New Roman" w:hAnsi="Times New Roman"/>
          <w:sz w:val="24"/>
          <w:szCs w:val="24"/>
        </w:rPr>
        <w:t>, СПб ГБУ «Стройкомплект».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Доставку и разгрузку товара Поставщик осуществляет собственными силами и (или) за свой счет в указанное Заказчиком помещение.</w:t>
      </w:r>
    </w:p>
    <w:p>
      <w:pPr>
        <w:pStyle w:val="Standard"/>
        <w:ind w:firstLine="708" w:right="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9.2. </w:t>
      </w:r>
      <w:r>
        <w:rPr>
          <w:rFonts w:cs="Times New Roman" w:ascii="Times New Roman" w:hAnsi="Times New Roman"/>
          <w:sz w:val="24"/>
          <w:szCs w:val="24"/>
          <w:u w:val="single"/>
        </w:rPr>
        <w:t>Сроки изготовления и поставки товара:</w:t>
      </w:r>
      <w:r>
        <w:rPr>
          <w:rFonts w:cs="Times New Roman" w:ascii="Times New Roman" w:hAnsi="Times New Roman"/>
          <w:sz w:val="24"/>
          <w:szCs w:val="24"/>
        </w:rPr>
        <w:t xml:space="preserve"> в течение 30 (тридцати) рабочих дней с момента заключения контракта.</w:t>
      </w:r>
    </w:p>
    <w:p>
      <w:pPr>
        <w:pStyle w:val="Standard"/>
        <w:ind w:firstLine="708" w:right="21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Конкретные дату и время доставки товара Поставщик согласовывает с Заказчиком не менее чем за 3 (три) рабочих дня до предполагаемой даты поставки.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9.3. Поставляемый товар должен быть свободным от прав третьих лиц и не являться предметом залога, ареста или иного обременения. В случае обнаружения товара ненадлежащего качества и/или количества поставщик обязан заменить его на товар надлежащего качества и/или количества в течение 5 (пяти) рабочих дней </w:t>
      </w:r>
      <w:r>
        <w:rPr>
          <w:rStyle w:val="Layout"/>
          <w:rFonts w:cs="Times New Roman" w:ascii="Times New Roman" w:hAnsi="Times New Roman"/>
          <w:sz w:val="24"/>
          <w:szCs w:val="24"/>
        </w:rPr>
        <w:t>с даты получения (либо предполагаемой даты получения, в соответствии с ч. 3 ст. 54 ГК РФ)  Поставщиком уведомления от Заказчика об обнаружении недостатков</w:t>
      </w:r>
      <w:r>
        <w:rPr>
          <w:rFonts w:cs="Times New Roman" w:ascii="Times New Roman" w:hAnsi="Times New Roman"/>
          <w:bCs/>
          <w:sz w:val="24"/>
          <w:szCs w:val="24"/>
        </w:rPr>
        <w:t xml:space="preserve">. 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9.4. Товар должен быть безопасным для жизни, здоровья и окружающей среды при обычных условиях его хранения и транспортировки.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9.5. Упаковка поставляемых товаров должна соответствовать действующим стандартам и обеспечивать сохранность товаров при транспортировке, отгрузке и хранении.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9.6. Товар должен быть разрешен к применению на территории Российской Федерации и </w:t>
      </w:r>
      <w:r>
        <w:rPr>
          <w:rFonts w:ascii="Times New Roman" w:hAnsi="Times New Roman"/>
          <w:sz w:val="24"/>
          <w:szCs w:val="24"/>
        </w:rPr>
        <w:t>должен соответствовать требованиям нормативной документации;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10</w:t>
      </w:r>
      <w:r>
        <w:rPr>
          <w:rFonts w:cs="Times New Roman" w:ascii="Times New Roman" w:hAnsi="Times New Roman"/>
          <w:b/>
          <w:sz w:val="24"/>
          <w:szCs w:val="24"/>
        </w:rPr>
        <w:t>. Порядок и срок приемки товара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10.1. Для проверки поставленного Поставщиком товара, предусмотренного контрактом, в части его соответствия условиям контракта, Заказчик проводит экспертизу. Экспертиза результатов, предусмотренных контрактом, проводится Заказчиком своими силами. Заказчик имеет право для приемки поставленного товара привлекать экспертов, экспертные организации.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10.2. Одновременно с товаром Поставщик передает заказчику, оформленные в установленном  порядке, Акт приема-передачи товара (в двух экземплярах), а также счет, счет-фактуру (при наличии) и товарную накладную.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10.3. Заказчик в течение 3-х рабочих дней после поставки товара и предоставления документов, предусмотренных пунктом 10.2 Технического задания, проверяет его на соответствие требованиям контракта. По результатам проверки Заказчик подписывает Акт приема-передачи товара либо Поставщику направляется мотивированный отказ от приемки товара с указанием товара, не отвечающего условиям контракта.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10.4.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(пяти) календарный дней </w:t>
      </w:r>
      <w:r>
        <w:rPr>
          <w:rStyle w:val="Layout"/>
          <w:rFonts w:cs="Times New Roman" w:ascii="Times New Roman" w:hAnsi="Times New Roman"/>
          <w:sz w:val="24"/>
          <w:szCs w:val="24"/>
        </w:rPr>
        <w:t>с даты получения (либо предполагаемой даты получения, в соответствии с ч. 3 ст. 54 ГК РФ)  Поставщиком уведомления от Заказчика об обнаружении недостатков</w:t>
      </w:r>
      <w:r>
        <w:rPr>
          <w:rFonts w:cs="Times New Roman" w:ascii="Times New Roman" w:hAnsi="Times New Roman"/>
          <w:bCs/>
          <w:sz w:val="24"/>
          <w:szCs w:val="24"/>
        </w:rPr>
        <w:t xml:space="preserve">. 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10.5. После устранения недостатков, послуживших основанием для не подписания Акта приема-передачи товара, Поставщик и Заказчик подписывают Акт приема-передачи товара в порядке и сроки, предусмотренные пунктом 3.3. контракта.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10.6. Заказчик вправе не отказывать в приемке поставленного товара в случае выявления несоответствия этого товара условиям контракта, если выявленное несоответствие не препятствует приемке этого товара и устранено поставщиком.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10.7.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10.8. Датой приемки товара является дата подписания сторонами Акта приема-передачи товара.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iCs/>
        </w:rPr>
      </w:pPr>
      <w:r>
        <w:rPr>
          <w:rFonts w:cs="Times New Roman" w:ascii="Times New Roman" w:hAnsi="Times New Roman"/>
          <w:iCs/>
        </w:rPr>
      </w:r>
    </w:p>
    <w:p>
      <w:pPr>
        <w:pStyle w:val="Normal"/>
        <w:numPr>
          <w:ilvl w:val="0"/>
          <w:numId w:val="0"/>
        </w:numPr>
        <w:ind w:hanging="0" w:left="0"/>
        <w:jc w:val="center"/>
        <w:outlineLvl w:val="1"/>
        <w:rPr/>
      </w:pPr>
      <w:r>
        <w:rPr>
          <w:b/>
          <w:bCs/>
          <w:lang w:eastAsia="en-US"/>
        </w:rPr>
        <w:t>11. Гарантийный срок и (или) объем предоставления гарантий качества товара</w:t>
      </w:r>
    </w:p>
    <w:p>
      <w:pPr>
        <w:pStyle w:val="Normal"/>
        <w:numPr>
          <w:ilvl w:val="0"/>
          <w:numId w:val="0"/>
        </w:numPr>
        <w:ind w:firstLine="709" w:left="0"/>
        <w:outlineLvl w:val="1"/>
        <w:rPr/>
      </w:pPr>
      <w:r>
        <w:rPr>
          <w:bCs/>
          <w:iCs/>
          <w:lang w:eastAsia="en-US"/>
        </w:rPr>
        <w:t>11.1. Гарантийный срок  не менее 5 лет</w:t>
        <w:br/>
        <w:t xml:space="preserve">                                                          </w:t>
      </w:r>
    </w:p>
    <w:tbl>
      <w:tblPr>
        <w:tblW w:w="9810" w:type="dxa"/>
        <w:jc w:val="left"/>
        <w:tblInd w:w="4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0"/>
        <w:gridCol w:w="510"/>
        <w:gridCol w:w="4770"/>
      </w:tblGrid>
      <w:tr>
        <w:trPr>
          <w:trHeight w:val="2989" w:hRule="atLeast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426"/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  <w:t>Санкт-Петербургское государственное бюджетное учреждение  «Стройкомплект»</w:t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  <w:t>Ответственное лицо</w:t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  <w:t>Зонтак Сергей Владимирович</w:t>
            </w:r>
          </w:p>
          <w:p>
            <w:pPr>
              <w:pStyle w:val="Normal"/>
              <w:widowControl w:val="false"/>
              <w:ind w:left="107"/>
              <w:rPr/>
            </w:pPr>
            <w:r>
              <w:rPr/>
              <w:t>Тел. +7-921-984-95-73</w:t>
            </w:r>
          </w:p>
        </w:tc>
        <w:tc>
          <w:tcPr>
            <w:tcW w:w="5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426"/>
              <w:rPr>
                <w:b/>
              </w:rPr>
            </w:pPr>
            <w:r>
              <w:rPr>
                <w:b/>
              </w:rPr>
              <w:t xml:space="preserve">               </w:t>
            </w:r>
            <w:r>
              <w:rPr>
                <w:b/>
              </w:rPr>
              <w:t>ПОСТАВЩИК</w:t>
            </w:r>
          </w:p>
          <w:p>
            <w:pPr>
              <w:pStyle w:val="Normal"/>
              <w:widowControl w:val="false"/>
              <w:ind w:left="34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</w:r>
          </w:p>
        </w:tc>
      </w:tr>
    </w:tbl>
    <w:p>
      <w:pPr>
        <w:pStyle w:val="Normal"/>
        <w:ind w:firstLine="708" w:left="708"/>
        <w:rPr/>
      </w:pPr>
      <w:r>
        <w:rPr>
          <w:b/>
        </w:rPr>
        <w:t xml:space="preserve">«Заказчик»: </w:t>
        <w:tab/>
        <w:tab/>
        <w:tab/>
        <w:tab/>
        <w:tab/>
        <w:tab/>
        <w:tab/>
        <w:t>«Поставщик»:</w:t>
      </w:r>
    </w:p>
    <w:p>
      <w:pPr>
        <w:pStyle w:val="Normal"/>
        <w:spacing w:lineRule="atLeast" w:line="240"/>
        <w:rPr/>
      </w:pPr>
      <w:r>
        <w:rPr/>
        <w:t xml:space="preserve">       </w:t>
      </w:r>
      <w:r>
        <w:rPr/>
        <w:t>Д</w:t>
      </w:r>
      <w:r>
        <w:rPr/>
        <w:t xml:space="preserve">иректор СПБ ГБУ «Стройкомплект» </w:t>
        <w:tab/>
        <w:tab/>
        <w:tab/>
        <w:t xml:space="preserve">           </w:t>
      </w:r>
    </w:p>
    <w:p>
      <w:pPr>
        <w:pStyle w:val="Normal"/>
        <w:spacing w:lineRule="atLeast" w:line="240"/>
        <w:ind w:firstLine="567"/>
        <w:rPr/>
      </w:pPr>
      <w:r>
        <w:rPr/>
      </w:r>
    </w:p>
    <w:p>
      <w:pPr>
        <w:pStyle w:val="Normal"/>
        <w:spacing w:lineRule="atLeast" w:line="240" w:before="0" w:after="160"/>
        <w:ind w:firstLine="567"/>
        <w:rPr/>
      </w:pPr>
      <w:r>
        <w:rPr/>
        <w:t>_____________ (А.А. Борисов)</w:t>
        <w:tab/>
        <w:tab/>
        <w:t xml:space="preserve">  </w:t>
        <w:tab/>
        <w:tab/>
        <w:t>________________________</w:t>
      </w:r>
    </w:p>
    <w:p>
      <w:pPr>
        <w:pStyle w:val="Normal"/>
        <w:spacing w:lineRule="atLeast" w:line="240" w:before="0" w:after="160"/>
        <w:rPr/>
      </w:pPr>
      <w:r>
        <w:rPr>
          <w:b/>
          <w:lang w:val="ru-RU"/>
        </w:rPr>
        <w:t xml:space="preserve"> </w:t>
      </w:r>
      <w:r>
        <w:rPr>
          <w:b/>
          <w:lang w:val="ru-RU"/>
        </w:rPr>
        <w:t>«   » ____________202</w:t>
      </w:r>
      <w:r>
        <w:rPr>
          <w:b/>
          <w:lang w:val="ru-RU"/>
        </w:rPr>
        <w:t>6</w:t>
      </w:r>
      <w:r>
        <w:rPr>
          <w:b/>
          <w:lang w:val="ru-RU"/>
        </w:rPr>
        <w:t>г</w:t>
        <w:tab/>
        <w:tab/>
        <w:t xml:space="preserve">            </w:t>
        <w:tab/>
        <w:t xml:space="preserve">             «     » ______________ </w:t>
      </w:r>
      <w:r>
        <w:rPr>
          <w:b/>
          <w:lang w:val="ru-RU"/>
        </w:rPr>
        <w:t>202</w:t>
      </w:r>
      <w:r>
        <w:rPr>
          <w:b/>
          <w:lang w:val="ru-RU"/>
        </w:rPr>
        <w:t>6</w:t>
      </w:r>
      <w:r>
        <w:rPr>
          <w:b/>
          <w:lang w:val="ru-RU"/>
        </w:rPr>
        <w:t>г</w:t>
      </w:r>
    </w:p>
    <w:sectPr>
      <w:type w:val="nextPage"/>
      <w:pgSz w:w="11906" w:h="16838"/>
      <w:pgMar w:left="1134" w:right="850" w:gutter="0" w:header="0" w:top="993" w:footer="0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6"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7"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8"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e570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5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 w:customStyle="1">
    <w:name w:val="Hyperlink"/>
    <w:rPr>
      <w:color w:val="000080"/>
      <w:u w:val="single"/>
    </w:rPr>
  </w:style>
  <w:style w:type="character" w:styleId="Layout" w:customStyle="1">
    <w:name w:val="layout"/>
    <w:basedOn w:val="DefaultParagraphFont"/>
    <w:qFormat/>
    <w:rsid w:val="00393554"/>
    <w:rPr/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94920"/>
    <w:pPr>
      <w:spacing w:lineRule="auto" w:line="259" w:before="0" w:after="16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qFormat/>
    <w:rsid w:val="008506e0"/>
    <w:pPr/>
    <w:rPr/>
  </w:style>
  <w:style w:type="paragraph" w:styleId="FootnoteText">
    <w:name w:val="Footnote Text"/>
    <w:basedOn w:val="Normal"/>
    <w:pPr>
      <w:suppressLineNumbers/>
      <w:ind w:hanging="339" w:left="339"/>
    </w:pPr>
    <w:rPr>
      <w:sz w:val="20"/>
      <w:szCs w:val="20"/>
    </w:rPr>
  </w:style>
  <w:style w:type="paragraph" w:styleId="Style18" w:customStyle="1">
    <w:name w:val="Содержимое таблицы"/>
    <w:basedOn w:val="Normal"/>
    <w:qFormat/>
    <w:rsid w:val="009702c5"/>
    <w:pPr>
      <w:widowControl w:val="false"/>
      <w:suppressLineNumbers/>
      <w:textAlignment w:val="baseline"/>
    </w:pPr>
    <w:rPr>
      <w:rFonts w:ascii="Liberation Serif" w:hAnsi="Liberation Serif" w:eastAsia="NSimSun" w:cs="Arial"/>
      <w:kern w:val="2"/>
      <w:lang w:eastAsia="zh-CN" w:bidi="hi-IN"/>
    </w:rPr>
  </w:style>
  <w:style w:type="paragraph" w:styleId="Style19" w:customStyle="1">
    <w:name w:val="Заголовок таблицы"/>
    <w:basedOn w:val="Style18"/>
    <w:qFormat/>
    <w:pPr>
      <w:jc w:val="center"/>
    </w:pPr>
    <w:rPr>
      <w:b/>
      <w:b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 w:customStyle="1">
    <w:name w:val="Без интервала2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ce570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Application>LibreOffice/7.6.4.1$Windows_X86_64 LibreOffice_project/e19e193f88cd6c0525a17fb7a176ed8e6a3e2aa1</Application>
  <AppVersion>15.0000</AppVersion>
  <Pages>11</Pages>
  <Words>3744</Words>
  <Characters>26379</Characters>
  <CharactersWithSpaces>30343</CharactersWithSpaces>
  <Paragraphs>219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2024-05-28T12:03:00Z</dcterms:created>
  <dc:creator>Сергеев Алексей Борисович</dc:creator>
  <dc:description/>
  <dc:language>ru-RU</dc:language>
  <cp:lastModifiedBy/>
  <dcterms:modified xsi:type="dcterms:W3CDTF">2026-06-18T10:21:16Z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