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B9E" w:rsidRPr="00676671" w:rsidRDefault="00147B9E" w:rsidP="00147B9E">
      <w:pPr>
        <w:snapToGrid w:val="0"/>
        <w:spacing w:after="0"/>
        <w:ind w:left="6096"/>
        <w:jc w:val="right"/>
        <w:rPr>
          <w:rFonts w:ascii="Times New Roman" w:eastAsia="Times New Roman" w:hAnsi="Times New Roman"/>
          <w:b/>
          <w:lang w:eastAsia="ru-RU"/>
        </w:rPr>
      </w:pPr>
      <w:r w:rsidRPr="00676671">
        <w:rPr>
          <w:rFonts w:ascii="Times New Roman" w:eastAsia="Times New Roman" w:hAnsi="Times New Roman"/>
          <w:b/>
          <w:lang w:eastAsia="ru-RU"/>
        </w:rPr>
        <w:t>УТВЕРЖДАЮ</w:t>
      </w:r>
    </w:p>
    <w:p w:rsidR="00147B9E" w:rsidRPr="00AC7A7B" w:rsidRDefault="00147B9E" w:rsidP="00147B9E">
      <w:pPr>
        <w:widowControl w:val="0"/>
        <w:tabs>
          <w:tab w:val="left" w:pos="5200"/>
          <w:tab w:val="left" w:pos="5400"/>
        </w:tabs>
        <w:autoSpaceDE w:val="0"/>
        <w:autoSpaceDN w:val="0"/>
        <w:adjustRightInd w:val="0"/>
        <w:spacing w:after="0"/>
        <w:ind w:left="5199"/>
        <w:jc w:val="right"/>
        <w:rPr>
          <w:rFonts w:ascii="Times New Roman" w:hAnsi="Times New Roman"/>
          <w:lang w:eastAsia="ru-RU"/>
        </w:rPr>
      </w:pPr>
      <w:r w:rsidRPr="00AC7A7B">
        <w:rPr>
          <w:rFonts w:ascii="Times New Roman" w:hAnsi="Times New Roman"/>
          <w:lang w:eastAsia="ru-RU"/>
        </w:rPr>
        <w:t>Главный врач</w:t>
      </w:r>
    </w:p>
    <w:p w:rsidR="00147B9E" w:rsidRPr="00AC7A7B" w:rsidRDefault="00147B9E" w:rsidP="00147B9E">
      <w:pPr>
        <w:widowControl w:val="0"/>
        <w:tabs>
          <w:tab w:val="left" w:pos="5200"/>
          <w:tab w:val="left" w:pos="5400"/>
        </w:tabs>
        <w:autoSpaceDE w:val="0"/>
        <w:autoSpaceDN w:val="0"/>
        <w:adjustRightInd w:val="0"/>
        <w:spacing w:after="0"/>
        <w:jc w:val="right"/>
        <w:rPr>
          <w:rFonts w:ascii="Times New Roman" w:hAnsi="Times New Roman"/>
          <w:lang w:eastAsia="ru-RU"/>
        </w:rPr>
      </w:pPr>
      <w:r w:rsidRPr="00AC7A7B">
        <w:rPr>
          <w:rFonts w:ascii="Times New Roman" w:hAnsi="Times New Roman"/>
          <w:lang w:eastAsia="ru-RU"/>
        </w:rPr>
        <w:t>СПб ГБУЗ «Детская городская поликлиника № 19»</w:t>
      </w:r>
    </w:p>
    <w:p w:rsidR="00147B9E" w:rsidRPr="00AC7A7B" w:rsidRDefault="00147B9E" w:rsidP="00147B9E">
      <w:pPr>
        <w:widowControl w:val="0"/>
        <w:tabs>
          <w:tab w:val="left" w:pos="5200"/>
          <w:tab w:val="left" w:pos="5400"/>
        </w:tabs>
        <w:autoSpaceDE w:val="0"/>
        <w:autoSpaceDN w:val="0"/>
        <w:adjustRightInd w:val="0"/>
        <w:spacing w:after="0"/>
        <w:ind w:left="5199"/>
        <w:jc w:val="right"/>
        <w:rPr>
          <w:rFonts w:ascii="Times New Roman" w:hAnsi="Times New Roman"/>
          <w:lang w:eastAsia="ru-RU"/>
        </w:rPr>
      </w:pPr>
    </w:p>
    <w:p w:rsidR="00147B9E" w:rsidRPr="002A700E" w:rsidRDefault="00147B9E" w:rsidP="00147B9E">
      <w:pPr>
        <w:widowControl w:val="0"/>
        <w:tabs>
          <w:tab w:val="left" w:pos="5200"/>
          <w:tab w:val="left" w:pos="5400"/>
        </w:tabs>
        <w:autoSpaceDE w:val="0"/>
        <w:autoSpaceDN w:val="0"/>
        <w:adjustRightInd w:val="0"/>
        <w:spacing w:after="0"/>
        <w:ind w:left="5199"/>
        <w:jc w:val="right"/>
        <w:rPr>
          <w:rFonts w:ascii="Times New Roman" w:hAnsi="Times New Roman"/>
          <w:lang w:eastAsia="ru-RU"/>
        </w:rPr>
      </w:pPr>
      <w:r w:rsidRPr="002A700E">
        <w:rPr>
          <w:rFonts w:ascii="Times New Roman" w:hAnsi="Times New Roman"/>
          <w:lang w:eastAsia="ru-RU"/>
        </w:rPr>
        <w:t>___________ /В.Н. Кокоев</w:t>
      </w:r>
    </w:p>
    <w:p w:rsidR="00147B9E" w:rsidRPr="00676671" w:rsidRDefault="00147B9E" w:rsidP="00147B9E">
      <w:pPr>
        <w:widowControl w:val="0"/>
        <w:spacing w:before="240" w:after="240"/>
        <w:jc w:val="right"/>
        <w:rPr>
          <w:rFonts w:ascii="Times New Roman" w:eastAsia="Courier New" w:hAnsi="Times New Roman"/>
          <w:b/>
          <w:lang w:eastAsia="x-none" w:bidi="ru-RU"/>
        </w:rPr>
      </w:pPr>
      <w:r w:rsidRPr="00676671">
        <w:rPr>
          <w:rFonts w:ascii="Times New Roman" w:eastAsia="Courier New" w:hAnsi="Times New Roman"/>
          <w:b/>
          <w:lang w:eastAsia="x-none" w:bidi="ru-RU"/>
        </w:rPr>
        <w:t>«____»_______________20</w:t>
      </w:r>
      <w:r w:rsidR="00BD186D">
        <w:rPr>
          <w:rFonts w:ascii="Times New Roman" w:eastAsia="Courier New" w:hAnsi="Times New Roman"/>
          <w:b/>
          <w:lang w:eastAsia="x-none" w:bidi="ru-RU"/>
        </w:rPr>
        <w:t>26</w:t>
      </w:r>
      <w:r w:rsidRPr="00676671">
        <w:rPr>
          <w:rFonts w:ascii="Times New Roman" w:eastAsia="Courier New" w:hAnsi="Times New Roman"/>
          <w:b/>
          <w:lang w:eastAsia="x-none" w:bidi="ru-RU"/>
        </w:rPr>
        <w:t>г</w:t>
      </w:r>
    </w:p>
    <w:p w:rsidR="00147B9E" w:rsidRPr="00EB290F" w:rsidRDefault="00147B9E" w:rsidP="00147B9E">
      <w:pPr>
        <w:spacing w:before="240" w:after="240"/>
        <w:ind w:left="360"/>
        <w:jc w:val="right"/>
        <w:rPr>
          <w:rFonts w:ascii="Times New Roman" w:eastAsia="Courier New" w:hAnsi="Times New Roman"/>
          <w:lang w:eastAsia="x-none" w:bidi="ru-RU"/>
        </w:rPr>
      </w:pPr>
      <w:r w:rsidRPr="00EB290F">
        <w:rPr>
          <w:rFonts w:ascii="Times New Roman" w:eastAsia="Courier New" w:hAnsi="Times New Roman"/>
          <w:lang w:eastAsia="x-none" w:bidi="ru-RU"/>
        </w:rPr>
        <w:t xml:space="preserve">Приложение № </w:t>
      </w:r>
      <w:r>
        <w:rPr>
          <w:rFonts w:ascii="Times New Roman" w:eastAsia="Courier New" w:hAnsi="Times New Roman"/>
          <w:lang w:eastAsia="x-none" w:bidi="ru-RU"/>
        </w:rPr>
        <w:t>4</w:t>
      </w:r>
      <w:r w:rsidRPr="00EB290F">
        <w:rPr>
          <w:rFonts w:ascii="Times New Roman" w:eastAsia="Courier New" w:hAnsi="Times New Roman"/>
          <w:lang w:eastAsia="x-none" w:bidi="ru-RU"/>
        </w:rPr>
        <w:t xml:space="preserve"> к извещению об осуществлении закупки</w:t>
      </w:r>
    </w:p>
    <w:p w:rsidR="00147B9E" w:rsidRDefault="00147B9E">
      <w:pPr>
        <w:shd w:val="clear" w:color="auto" w:fill="FFFFFF"/>
        <w:jc w:val="center"/>
        <w:rPr>
          <w:rFonts w:ascii="Times New Roman" w:hAnsi="Times New Roman"/>
          <w:b/>
          <w:sz w:val="24"/>
          <w:szCs w:val="24"/>
          <w:highlight w:val="white"/>
        </w:rPr>
      </w:pPr>
    </w:p>
    <w:p w:rsidR="0003468E" w:rsidRDefault="00EA11F8">
      <w:pPr>
        <w:shd w:val="clear" w:color="auto" w:fill="FFFFFF"/>
        <w:jc w:val="center"/>
        <w:rPr>
          <w:rFonts w:ascii="Times New Roman" w:hAnsi="Times New Roman"/>
          <w:b/>
          <w:sz w:val="24"/>
          <w:szCs w:val="24"/>
          <w:highlight w:val="white"/>
        </w:rPr>
      </w:pPr>
      <w:r>
        <w:rPr>
          <w:rFonts w:ascii="Times New Roman" w:hAnsi="Times New Roman"/>
          <w:b/>
          <w:sz w:val="24"/>
          <w:szCs w:val="24"/>
          <w:highlight w:val="white"/>
        </w:rPr>
        <w:t>Требования к содержанию, составу заявки на участие в закупке и инструкция по ее заполнению, требования к участникам закупки</w:t>
      </w:r>
    </w:p>
    <w:p w:rsidR="0003468E" w:rsidRDefault="00EA11F8">
      <w:pPr>
        <w:shd w:val="clear" w:color="auto" w:fill="FFFFFF"/>
        <w:spacing w:after="0" w:line="240" w:lineRule="auto"/>
        <w:ind w:firstLine="567"/>
        <w:jc w:val="both"/>
        <w:rPr>
          <w:rFonts w:ascii="Times New Roman" w:hAnsi="Times New Roman"/>
          <w:sz w:val="24"/>
          <w:szCs w:val="24"/>
          <w:highlight w:val="white"/>
        </w:rPr>
      </w:pPr>
      <w:bookmarkStart w:id="0" w:name="Par0"/>
      <w:bookmarkEnd w:id="0"/>
      <w:r>
        <w:rPr>
          <w:rFonts w:ascii="Times New Roman" w:hAnsi="Times New Roman"/>
          <w:sz w:val="24"/>
          <w:szCs w:val="24"/>
          <w:highlight w:val="white"/>
        </w:rPr>
        <w:t>Подать заявку на участие в закупке вправе только зарегистрированный в единой информационной системе и аккредитованный на электронной площадке участник закупки.</w:t>
      </w:r>
    </w:p>
    <w:p w:rsidR="0003468E" w:rsidRDefault="00EA11F8">
      <w:pPr>
        <w:shd w:val="clear" w:color="auto" w:fill="FFFFFF"/>
        <w:spacing w:after="0" w:line="240" w:lineRule="auto"/>
        <w:ind w:firstLine="567"/>
        <w:jc w:val="both"/>
        <w:rPr>
          <w:rFonts w:ascii="Times New Roman" w:hAnsi="Times New Roman"/>
          <w:sz w:val="24"/>
          <w:szCs w:val="24"/>
          <w:highlight w:val="white"/>
        </w:rPr>
      </w:pPr>
      <w:r>
        <w:rPr>
          <w:rFonts w:ascii="Times New Roman" w:hAnsi="Times New Roman"/>
          <w:sz w:val="24"/>
          <w:szCs w:val="24"/>
          <w:highlight w:val="white"/>
        </w:rPr>
        <w:t>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 до окончания установленного в извещении об осуществлении закупки срока подачи заявок на участи е в такой закупке.</w:t>
      </w:r>
    </w:p>
    <w:p w:rsidR="0003468E" w:rsidRDefault="00EA11F8">
      <w:pPr>
        <w:shd w:val="clear" w:color="auto" w:fill="FFFFFF"/>
        <w:spacing w:after="0" w:line="240" w:lineRule="auto"/>
        <w:ind w:firstLine="540"/>
        <w:jc w:val="both"/>
        <w:rPr>
          <w:rFonts w:ascii="Times New Roman" w:hAnsi="Times New Roman"/>
          <w:sz w:val="24"/>
          <w:szCs w:val="24"/>
          <w:highlight w:val="white"/>
        </w:rPr>
      </w:pPr>
      <w:r>
        <w:rPr>
          <w:rFonts w:ascii="Times New Roman" w:hAnsi="Times New Roman"/>
          <w:sz w:val="24"/>
          <w:szCs w:val="24"/>
          <w:highlight w:val="white"/>
        </w:rPr>
        <w:t>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и в соответствии с заявкой такого участника закупки на участие в закупке.</w:t>
      </w:r>
    </w:p>
    <w:p w:rsidR="0003468E" w:rsidRDefault="0003468E">
      <w:pPr>
        <w:shd w:val="clear" w:color="auto" w:fill="FFFFFF"/>
        <w:spacing w:after="0" w:line="240" w:lineRule="auto"/>
        <w:ind w:firstLine="540"/>
        <w:jc w:val="both"/>
        <w:rPr>
          <w:rFonts w:ascii="Times New Roman" w:hAnsi="Times New Roman"/>
          <w:sz w:val="24"/>
          <w:szCs w:val="24"/>
          <w:highlight w:val="white"/>
        </w:rPr>
      </w:pPr>
    </w:p>
    <w:p w:rsidR="0003468E" w:rsidRDefault="00EA11F8">
      <w:pPr>
        <w:shd w:val="clear" w:color="auto" w:fill="FFFFFF"/>
        <w:spacing w:after="0" w:line="240" w:lineRule="auto"/>
        <w:ind w:firstLine="540"/>
        <w:jc w:val="both"/>
        <w:rPr>
          <w:rFonts w:ascii="Times New Roman" w:hAnsi="Times New Roman"/>
          <w:sz w:val="24"/>
          <w:szCs w:val="24"/>
          <w:highlight w:val="white"/>
        </w:rPr>
      </w:pPr>
      <w:r>
        <w:rPr>
          <w:rFonts w:ascii="Times New Roman" w:eastAsia="Times New Roman" w:hAnsi="Times New Roman"/>
          <w:i/>
          <w:color w:val="000000"/>
          <w:sz w:val="24"/>
          <w:highlight w:val="white"/>
        </w:rPr>
        <w:t xml:space="preserve"> Ответственность за недостоверность информации и (или) документов, включенных в заявку на участие в закупке, за действия, совершенные на основании указанных информации и (или) документов, несет участник закупки.</w:t>
      </w:r>
    </w:p>
    <w:p w:rsidR="0003468E" w:rsidRDefault="0003468E">
      <w:pPr>
        <w:shd w:val="clear" w:color="auto" w:fill="FFFFFF"/>
        <w:spacing w:after="0" w:line="240" w:lineRule="auto"/>
        <w:ind w:firstLine="540"/>
        <w:jc w:val="both"/>
        <w:rPr>
          <w:rFonts w:ascii="Times New Roman" w:hAnsi="Times New Roman"/>
          <w:sz w:val="24"/>
          <w:szCs w:val="24"/>
          <w:highlight w:val="white"/>
        </w:rPr>
      </w:pPr>
    </w:p>
    <w:p w:rsidR="0003468E" w:rsidRDefault="00EA11F8">
      <w:pPr>
        <w:shd w:val="clear" w:color="auto" w:fill="FFFFFF"/>
        <w:spacing w:after="0" w:line="240" w:lineRule="auto"/>
        <w:ind w:firstLine="540"/>
        <w:jc w:val="both"/>
        <w:rPr>
          <w:rFonts w:ascii="Times New Roman" w:hAnsi="Times New Roman"/>
          <w:b/>
          <w:sz w:val="24"/>
          <w:szCs w:val="24"/>
          <w:highlight w:val="white"/>
        </w:rPr>
      </w:pPr>
      <w:r>
        <w:rPr>
          <w:rFonts w:ascii="Times New Roman" w:hAnsi="Times New Roman"/>
          <w:b/>
          <w:sz w:val="24"/>
          <w:szCs w:val="24"/>
          <w:highlight w:val="white"/>
        </w:rPr>
        <w:t>1. Заявка на участие в закупке должна содержать:</w:t>
      </w:r>
    </w:p>
    <w:p w:rsidR="0003468E" w:rsidRDefault="00EA11F8">
      <w:pPr>
        <w:shd w:val="clear" w:color="auto" w:fill="FFFFFF"/>
        <w:spacing w:before="220" w:after="0" w:line="240" w:lineRule="auto"/>
        <w:ind w:firstLine="540"/>
        <w:jc w:val="both"/>
        <w:rPr>
          <w:rFonts w:ascii="Times New Roman" w:hAnsi="Times New Roman"/>
          <w:sz w:val="24"/>
          <w:szCs w:val="24"/>
          <w:highlight w:val="white"/>
        </w:rPr>
      </w:pPr>
      <w:r>
        <w:rPr>
          <w:rFonts w:ascii="Times New Roman" w:hAnsi="Times New Roman"/>
          <w:b/>
          <w:sz w:val="24"/>
          <w:szCs w:val="24"/>
          <w:highlight w:val="white"/>
        </w:rPr>
        <w:t>1)</w:t>
      </w:r>
      <w:r>
        <w:rPr>
          <w:rFonts w:ascii="Times New Roman" w:hAnsi="Times New Roman"/>
          <w:sz w:val="24"/>
          <w:szCs w:val="24"/>
          <w:highlight w:val="white"/>
        </w:rPr>
        <w:t xml:space="preserve"> информацию и документы об участнике закупки:</w:t>
      </w:r>
    </w:p>
    <w:p w:rsidR="0003468E" w:rsidRDefault="00EA11F8">
      <w:pPr>
        <w:shd w:val="clear" w:color="auto" w:fill="FFFFFF"/>
        <w:spacing w:after="0" w:line="240" w:lineRule="auto"/>
        <w:ind w:firstLine="540"/>
        <w:jc w:val="both"/>
        <w:rPr>
          <w:rFonts w:ascii="Times New Roman" w:hAnsi="Times New Roman"/>
          <w:sz w:val="24"/>
          <w:szCs w:val="24"/>
          <w:highlight w:val="white"/>
        </w:rPr>
      </w:pPr>
      <w:r>
        <w:rPr>
          <w:rFonts w:ascii="Times New Roman" w:hAnsi="Times New Roman"/>
          <w:sz w:val="24"/>
          <w:szCs w:val="24"/>
          <w:highlight w:val="white"/>
        </w:rPr>
        <w:t>-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rsidR="0003468E" w:rsidRDefault="00EA11F8">
      <w:pPr>
        <w:shd w:val="clear" w:color="auto" w:fill="FFFFFF"/>
        <w:spacing w:after="0" w:line="240" w:lineRule="auto"/>
        <w:ind w:firstLine="709"/>
        <w:jc w:val="both"/>
        <w:rPr>
          <w:rFonts w:ascii="Times New Roman" w:hAnsi="Times New Roman"/>
          <w:bCs/>
          <w:i/>
          <w:iCs/>
          <w:sz w:val="24"/>
          <w:szCs w:val="24"/>
          <w:highlight w:val="white"/>
        </w:rPr>
      </w:pPr>
      <w:r>
        <w:rPr>
          <w:rFonts w:ascii="Times New Roman" w:hAnsi="Times New Roman"/>
          <w:sz w:val="24"/>
          <w:szCs w:val="24"/>
          <w:highlight w:val="white"/>
        </w:rPr>
        <w:t xml:space="preserve">- </w:t>
      </w:r>
      <w:r>
        <w:rPr>
          <w:rFonts w:ascii="Times New Roman" w:eastAsia="Times New Roman" w:hAnsi="Times New Roman"/>
          <w:color w:val="000000"/>
          <w:sz w:val="24"/>
          <w:highlight w:val="white"/>
        </w:rPr>
        <w:t xml:space="preserve">декларация о соответствии участника закупки требованиям, установленным </w:t>
      </w:r>
      <w:hyperlink r:id="rId7" w:anchor="/document/70353464/entry/3113" w:tooltip="https://internet.garant.ru/#/document/70353464/entry/3113" w:history="1">
        <w:r>
          <w:rPr>
            <w:rStyle w:val="af"/>
            <w:rFonts w:ascii="Times New Roman" w:eastAsia="Times New Roman" w:hAnsi="Times New Roman"/>
            <w:color w:val="0000EE"/>
            <w:sz w:val="24"/>
            <w:highlight w:val="white"/>
          </w:rPr>
          <w:t>пунктами 3 - 5</w:t>
        </w:r>
      </w:hyperlink>
      <w:r>
        <w:rPr>
          <w:rFonts w:ascii="Times New Roman" w:eastAsia="Times New Roman" w:hAnsi="Times New Roman"/>
          <w:color w:val="000000"/>
          <w:sz w:val="24"/>
          <w:highlight w:val="white"/>
        </w:rPr>
        <w:t xml:space="preserve">, </w:t>
      </w:r>
      <w:hyperlink r:id="rId8" w:anchor="/document/70353464/entry/3117" w:tooltip="https://internet.garant.ru/#/document/70353464/entry/3117" w:history="1">
        <w:r>
          <w:rPr>
            <w:rStyle w:val="af"/>
            <w:rFonts w:ascii="Times New Roman" w:eastAsia="Times New Roman" w:hAnsi="Times New Roman"/>
            <w:color w:val="0000EE"/>
            <w:sz w:val="24"/>
            <w:highlight w:val="white"/>
          </w:rPr>
          <w:t>7 - 11 части 1 статьи 31</w:t>
        </w:r>
      </w:hyperlink>
      <w:r>
        <w:rPr>
          <w:rFonts w:ascii="Times New Roman" w:eastAsia="Times New Roman" w:hAnsi="Times New Roman"/>
          <w:color w:val="000000"/>
          <w:sz w:val="24"/>
          <w:highlight w:val="white"/>
        </w:rPr>
        <w:t xml:space="preserve"> Федерального закона о контрактной системе </w:t>
      </w:r>
      <w:r>
        <w:rPr>
          <w:rFonts w:ascii="Times New Roman" w:eastAsia="Times New Roman" w:hAnsi="Times New Roman"/>
          <w:i/>
          <w:color w:val="000000"/>
          <w:sz w:val="24"/>
          <w:highlight w:val="white"/>
        </w:rPr>
        <w:t xml:space="preserve">(если информация и документы, которые подтверждают соответствие участника закупки требованиям, установленным </w:t>
      </w:r>
      <w:hyperlink r:id="rId9" w:anchor="/document/70353464/entry/3111" w:tooltip="https://internet.garant.ru/#/document/70353464/entry/3111" w:history="1">
        <w:r>
          <w:rPr>
            <w:rStyle w:val="af"/>
            <w:rFonts w:ascii="Times New Roman" w:eastAsia="Times New Roman" w:hAnsi="Times New Roman"/>
            <w:i/>
            <w:color w:val="0000EE"/>
            <w:sz w:val="24"/>
            <w:highlight w:val="white"/>
          </w:rPr>
          <w:t>пунктом 1 части 1 статьи 31</w:t>
        </w:r>
      </w:hyperlink>
      <w:r>
        <w:rPr>
          <w:rFonts w:ascii="Times New Roman" w:eastAsia="Times New Roman" w:hAnsi="Times New Roman"/>
          <w:i/>
          <w:color w:val="000000"/>
          <w:sz w:val="24"/>
          <w:highlight w:val="white"/>
        </w:rPr>
        <w:t xml:space="preserve"> Федерального закона о контрактной системе, содержатся в открытых и общедоступных государственных реестрах, размещенных в информационно-телекоммуникационной сети "Интернет", в указанную декларацию может быть также включено положение о соответствии участника закупки требованиям, установленным пунктом 1 части 1 статьи 31 настоящего Федерального закона, с указанием адреса сайта или страницы сайта в информационно-телекоммуникационной сети "Интернет", на которых размещены такие информация и документы)</w:t>
      </w:r>
      <w:r>
        <w:rPr>
          <w:rFonts w:ascii="Times New Roman" w:eastAsia="Times New Roman" w:hAnsi="Times New Roman"/>
          <w:color w:val="000000"/>
          <w:sz w:val="24"/>
          <w:highlight w:val="white"/>
        </w:rPr>
        <w:t>;</w:t>
      </w:r>
    </w:p>
    <w:p w:rsidR="0003468E" w:rsidRDefault="0003468E">
      <w:pPr>
        <w:shd w:val="clear" w:color="auto" w:fill="FFFFFF"/>
        <w:spacing w:after="0" w:line="240" w:lineRule="auto"/>
        <w:ind w:firstLine="540"/>
        <w:jc w:val="both"/>
        <w:rPr>
          <w:rFonts w:ascii="Times New Roman" w:hAnsi="Times New Roman"/>
          <w:sz w:val="24"/>
          <w:szCs w:val="24"/>
          <w:highlight w:val="white"/>
        </w:rPr>
      </w:pPr>
    </w:p>
    <w:p w:rsidR="0003468E" w:rsidRDefault="00EA11F8">
      <w:pPr>
        <w:pBdr>
          <w:top w:val="none" w:sz="4" w:space="0" w:color="000000"/>
          <w:left w:val="none" w:sz="4" w:space="0" w:color="000000"/>
          <w:bottom w:val="none" w:sz="4" w:space="0" w:color="000000"/>
          <w:right w:val="none" w:sz="4" w:space="0" w:color="000000"/>
        </w:pBdr>
        <w:ind w:firstLine="709"/>
        <w:jc w:val="both"/>
        <w:rPr>
          <w:highlight w:val="white"/>
        </w:rPr>
      </w:pPr>
      <w:r>
        <w:rPr>
          <w:rFonts w:ascii="Times New Roman" w:eastAsia="Times New Roman" w:hAnsi="Times New Roman"/>
          <w:color w:val="000000"/>
          <w:sz w:val="24"/>
          <w:highlight w:val="white"/>
        </w:rPr>
        <w:t xml:space="preserve">- </w:t>
      </w:r>
      <w:r>
        <w:rPr>
          <w:rFonts w:ascii="Times New Roman" w:eastAsia="Times New Roman" w:hAnsi="Times New Roman"/>
          <w:i/>
          <w:color w:val="000000"/>
          <w:sz w:val="24"/>
          <w:highlight w:val="white"/>
        </w:rPr>
        <w:t>информация и</w:t>
      </w:r>
      <w:r>
        <w:rPr>
          <w:rFonts w:ascii="Times New Roman" w:eastAsia="Times New Roman" w:hAnsi="Times New Roman"/>
          <w:color w:val="000000"/>
          <w:sz w:val="24"/>
          <w:highlight w:val="white"/>
        </w:rPr>
        <w:t xml:space="preserve"> документы, </w:t>
      </w:r>
      <w:r>
        <w:rPr>
          <w:rFonts w:ascii="Times New Roman" w:eastAsia="Times New Roman" w:hAnsi="Times New Roman"/>
          <w:i/>
          <w:color w:val="000000"/>
          <w:sz w:val="24"/>
          <w:highlight w:val="white"/>
        </w:rPr>
        <w:t>подтверждающие</w:t>
      </w:r>
      <w:r>
        <w:rPr>
          <w:rFonts w:ascii="Times New Roman" w:eastAsia="Times New Roman" w:hAnsi="Times New Roman"/>
          <w:color w:val="000000"/>
          <w:sz w:val="24"/>
          <w:highlight w:val="white"/>
        </w:rPr>
        <w:t xml:space="preserve"> соответствие участника закупки требованиям, установленным </w:t>
      </w:r>
      <w:hyperlink r:id="rId10" w:anchor="/document/70353464/entry/3111" w:tooltip="https://internet.garant.ru/#/document/70353464/entry/3111" w:history="1">
        <w:r>
          <w:rPr>
            <w:rStyle w:val="af"/>
            <w:rFonts w:ascii="Times New Roman" w:eastAsia="Times New Roman" w:hAnsi="Times New Roman"/>
            <w:color w:val="0000EE"/>
            <w:sz w:val="24"/>
            <w:highlight w:val="white"/>
          </w:rPr>
          <w:t>пунктом 1 части 1 статьи 31</w:t>
        </w:r>
      </w:hyperlink>
      <w:r>
        <w:rPr>
          <w:rFonts w:ascii="Times New Roman" w:eastAsia="Times New Roman" w:hAnsi="Times New Roman"/>
          <w:color w:val="000000"/>
          <w:sz w:val="24"/>
          <w:highlight w:val="white"/>
        </w:rPr>
        <w:t xml:space="preserve">  Федерального закона о контрактной </w:t>
      </w:r>
      <w:r>
        <w:rPr>
          <w:rFonts w:ascii="Times New Roman" w:eastAsia="Times New Roman" w:hAnsi="Times New Roman"/>
          <w:color w:val="000000"/>
          <w:sz w:val="24"/>
          <w:highlight w:val="white"/>
        </w:rPr>
        <w:lastRenderedPageBreak/>
        <w:t xml:space="preserve">системе </w:t>
      </w:r>
      <w:r>
        <w:rPr>
          <w:rFonts w:ascii="Times New Roman" w:eastAsia="Times New Roman" w:hAnsi="Times New Roman"/>
          <w:i/>
          <w:color w:val="000000"/>
          <w:sz w:val="24"/>
          <w:highlight w:val="white"/>
        </w:rPr>
        <w:t>(могут не включаться в заявку на участие в закупке в случае</w:t>
      </w:r>
      <w:r>
        <w:rPr>
          <w:rFonts w:ascii="Times New Roman" w:eastAsia="Times New Roman" w:hAnsi="Times New Roman"/>
          <w:color w:val="000000"/>
          <w:sz w:val="24"/>
          <w:highlight w:val="white"/>
        </w:rPr>
        <w:t xml:space="preserve">, </w:t>
      </w:r>
      <w:r>
        <w:rPr>
          <w:rFonts w:ascii="Times New Roman" w:eastAsia="Times New Roman" w:hAnsi="Times New Roman"/>
          <w:i/>
          <w:color w:val="000000"/>
          <w:sz w:val="24"/>
          <w:highlight w:val="white"/>
        </w:rPr>
        <w:t>если указанные информация и</w:t>
      </w:r>
      <w:r>
        <w:rPr>
          <w:rFonts w:ascii="Times New Roman" w:eastAsia="Times New Roman" w:hAnsi="Times New Roman"/>
          <w:color w:val="000000"/>
          <w:sz w:val="24"/>
          <w:highlight w:val="white"/>
        </w:rPr>
        <w:t xml:space="preserve"> документы </w:t>
      </w:r>
      <w:r>
        <w:rPr>
          <w:rFonts w:ascii="Times New Roman" w:eastAsia="Times New Roman" w:hAnsi="Times New Roman"/>
          <w:i/>
          <w:color w:val="000000"/>
          <w:sz w:val="24"/>
          <w:highlight w:val="white"/>
        </w:rPr>
        <w:t>содержатся в открытых и общедоступных государственных реестрах</w:t>
      </w:r>
      <w:r>
        <w:rPr>
          <w:rFonts w:ascii="Times New Roman" w:eastAsia="Times New Roman" w:hAnsi="Times New Roman"/>
          <w:color w:val="000000"/>
          <w:sz w:val="24"/>
          <w:highlight w:val="white"/>
        </w:rPr>
        <w:t xml:space="preserve">, </w:t>
      </w:r>
      <w:r>
        <w:rPr>
          <w:rFonts w:ascii="Times New Roman" w:eastAsia="Times New Roman" w:hAnsi="Times New Roman"/>
          <w:i/>
          <w:color w:val="000000"/>
          <w:sz w:val="24"/>
          <w:highlight w:val="white"/>
        </w:rPr>
        <w:t xml:space="preserve">размещенных в информационно-телекоммуникационной сети "Интернет", и в такую заявку включена  декларация о соответствии участника закупки требованиям, установленным </w:t>
      </w:r>
      <w:hyperlink r:id="rId11" w:anchor="/document/70353464/entry/3111" w:tooltip="https://internet.garant.ru/#/document/70353464/entry/3111" w:history="1">
        <w:r>
          <w:rPr>
            <w:rStyle w:val="af"/>
            <w:rFonts w:ascii="Times New Roman" w:eastAsia="Times New Roman" w:hAnsi="Times New Roman"/>
            <w:i/>
            <w:color w:val="0000EE"/>
            <w:sz w:val="24"/>
            <w:highlight w:val="white"/>
          </w:rPr>
          <w:t>пунктом 1 части 1 статьи 31</w:t>
        </w:r>
      </w:hyperlink>
      <w:r>
        <w:rPr>
          <w:rFonts w:ascii="Times New Roman" w:eastAsia="Times New Roman" w:hAnsi="Times New Roman"/>
          <w:i/>
          <w:color w:val="000000"/>
          <w:sz w:val="24"/>
          <w:highlight w:val="white"/>
        </w:rPr>
        <w:t xml:space="preserve">  Федерального закона о кон-трактной системе, с указанием адреса сайта или страницы сайта в информационно-телекоммуникационной сети "Интернет", на которых размещены такие информация и документы):</w:t>
      </w:r>
    </w:p>
    <w:p w:rsidR="0003468E" w:rsidRDefault="00EA11F8">
      <w:pPr>
        <w:pBdr>
          <w:top w:val="none" w:sz="4" w:space="0" w:color="000000"/>
          <w:left w:val="none" w:sz="4" w:space="0" w:color="000000"/>
          <w:bottom w:val="none" w:sz="4" w:space="0" w:color="000000"/>
          <w:right w:val="none" w:sz="4" w:space="0" w:color="000000"/>
        </w:pBdr>
        <w:ind w:firstLine="709"/>
        <w:rPr>
          <w:b/>
          <w:bCs/>
          <w:highlight w:val="white"/>
        </w:rPr>
      </w:pPr>
      <w:r>
        <w:rPr>
          <w:rFonts w:ascii="Times New Roman" w:hAnsi="Times New Roman"/>
          <w:b/>
          <w:bCs/>
          <w:i/>
          <w:sz w:val="24"/>
          <w:szCs w:val="24"/>
          <w:highlight w:val="white"/>
        </w:rPr>
        <w:tab/>
        <w:t>Документами, подтверждающими наличие у участника лицензии на осуществление фармацевтической деятельности, осуществляемой организациями оптовой торговли лекарственными средствами для медицинского применения, в соответствии с пунктом 47 части 1 статьи 12 Федерального закона от 04.05.2011 №99-ФЗ «О лицензировании отдельных видов деятельности» или лицензии на производство лекарственных средств в соответствии с пунктом 16 части 1 статьи 12 Федерального Закона от 04.05.2011г. №99-ФЗ «О лицензировании отдельных видов деятельности» (для производителей) являются либо выписка из реестра лицензий, либо копия акта лицензирующего органа о принятом решении либо иной документ, содержащий сведения, обеспечивающие возможность подтверждения наличия соответствующей записи в реестре лицензий. При этом в указанном ином документе должны быть указаны в том числе номер реестровой записи в реестре лицензий и ссылка на официальный сайт в сети Интернет (или адрес сайта) лицензирующего органа, на котором размещен реестр выданных лицензий, в котором содержится соответствующая запись.;</w:t>
      </w:r>
      <w:r>
        <w:rPr>
          <w:rFonts w:ascii="Times New Roman" w:eastAsia="Times New Roman" w:hAnsi="Times New Roman"/>
          <w:b/>
          <w:bCs/>
          <w:color w:val="000000"/>
          <w:sz w:val="24"/>
          <w:highlight w:val="white"/>
        </w:rPr>
        <w:t xml:space="preserve"> </w:t>
      </w:r>
    </w:p>
    <w:p w:rsidR="0003468E" w:rsidRDefault="0003468E">
      <w:pPr>
        <w:shd w:val="clear" w:color="auto" w:fill="FFFFFF"/>
        <w:spacing w:after="0" w:line="240" w:lineRule="auto"/>
        <w:ind w:firstLine="540"/>
        <w:jc w:val="both"/>
        <w:rPr>
          <w:rFonts w:ascii="Times New Roman" w:hAnsi="Times New Roman"/>
          <w:sz w:val="24"/>
          <w:szCs w:val="24"/>
          <w:highlight w:val="white"/>
        </w:rPr>
      </w:pPr>
    </w:p>
    <w:p w:rsidR="0003468E" w:rsidRDefault="00EA11F8">
      <w:pPr>
        <w:shd w:val="clear" w:color="auto" w:fill="FFFFFF"/>
        <w:spacing w:after="0" w:line="240" w:lineRule="auto"/>
        <w:ind w:firstLine="540"/>
        <w:jc w:val="both"/>
        <w:rPr>
          <w:rFonts w:ascii="Times New Roman" w:hAnsi="Times New Roman"/>
          <w:sz w:val="24"/>
          <w:szCs w:val="24"/>
          <w:highlight w:val="white"/>
        </w:rPr>
      </w:pPr>
      <w:r>
        <w:rPr>
          <w:rFonts w:ascii="Times New Roman" w:hAnsi="Times New Roman"/>
          <w:sz w:val="24"/>
          <w:szCs w:val="24"/>
          <w:highlight w:val="white"/>
        </w:rPr>
        <w:t>-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rsidR="0003468E" w:rsidRDefault="00EA11F8">
      <w:pPr>
        <w:shd w:val="clear" w:color="auto" w:fill="FFFFFF"/>
        <w:spacing w:before="220" w:after="0" w:line="240" w:lineRule="auto"/>
        <w:ind w:firstLine="540"/>
        <w:jc w:val="both"/>
        <w:rPr>
          <w:rFonts w:ascii="Times New Roman" w:hAnsi="Times New Roman"/>
          <w:b/>
          <w:sz w:val="24"/>
          <w:szCs w:val="24"/>
          <w:highlight w:val="white"/>
        </w:rPr>
      </w:pPr>
      <w:r>
        <w:rPr>
          <w:rFonts w:ascii="Times New Roman" w:hAnsi="Times New Roman"/>
          <w:b/>
          <w:sz w:val="24"/>
          <w:szCs w:val="24"/>
          <w:highlight w:val="white"/>
        </w:rPr>
        <w:t xml:space="preserve">2) В случае осуществления закупок на поставку товара, а также в случае закупок работ (услуг), при выполнении (оказании) которых поставляется товар (в случае их указания в извещении в качестве поставляемых товаров) участник закупки также указывает в составе заявки на участие в закупке:  </w:t>
      </w:r>
    </w:p>
    <w:p w:rsidR="0003468E" w:rsidRDefault="00EA11F8">
      <w:pPr>
        <w:shd w:val="clear" w:color="auto" w:fill="FFFFFF"/>
        <w:spacing w:before="220" w:after="0" w:line="240" w:lineRule="auto"/>
        <w:ind w:firstLine="540"/>
        <w:jc w:val="both"/>
        <w:rPr>
          <w:rFonts w:ascii="Times New Roman" w:hAnsi="Times New Roman"/>
          <w:sz w:val="24"/>
          <w:szCs w:val="24"/>
          <w:highlight w:val="white"/>
        </w:rPr>
      </w:pPr>
      <w:r>
        <w:rPr>
          <w:rFonts w:ascii="Times New Roman" w:hAnsi="Times New Roman"/>
          <w:b/>
          <w:sz w:val="24"/>
          <w:szCs w:val="24"/>
          <w:highlight w:val="white"/>
        </w:rPr>
        <w:t>предложение участника закупки в отношении объекта закупки (предлагаемом товаре (работе, услуги):</w:t>
      </w:r>
    </w:p>
    <w:p w:rsidR="0003468E" w:rsidRDefault="00EA11F8">
      <w:pPr>
        <w:shd w:val="clear" w:color="auto" w:fill="FFFFFF"/>
        <w:spacing w:before="220" w:after="0" w:line="240" w:lineRule="auto"/>
        <w:ind w:firstLine="540"/>
        <w:jc w:val="both"/>
        <w:rPr>
          <w:rFonts w:ascii="Times New Roman" w:hAnsi="Times New Roman"/>
          <w:sz w:val="24"/>
          <w:szCs w:val="24"/>
          <w:highlight w:val="white"/>
        </w:rPr>
      </w:pPr>
      <w:bookmarkStart w:id="1" w:name="Par19"/>
      <w:bookmarkEnd w:id="1"/>
      <w:r>
        <w:rPr>
          <w:rFonts w:ascii="Times New Roman" w:hAnsi="Times New Roman"/>
          <w:b/>
          <w:sz w:val="24"/>
          <w:szCs w:val="24"/>
          <w:highlight w:val="white"/>
        </w:rPr>
        <w:t>а)</w:t>
      </w:r>
      <w:r>
        <w:rPr>
          <w:rFonts w:ascii="Times New Roman" w:hAnsi="Times New Roman"/>
          <w:sz w:val="24"/>
          <w:szCs w:val="24"/>
          <w:highlight w:val="white"/>
        </w:rPr>
        <w:t xml:space="preserve"> характеристики предлагаемого участником закупки товара (в том числе поставляемого заказчику при выполнении закупаемых работ, оказании закупаемых услуг), соответствующие показателям, установленным в Описании объекта закупки (Техническом задании), товарный знак (при наличии у товара товарного знака).</w:t>
      </w:r>
    </w:p>
    <w:p w:rsidR="0003468E" w:rsidRDefault="00EA11F8">
      <w:pPr>
        <w:shd w:val="clear" w:color="auto" w:fill="FFFFFF"/>
        <w:spacing w:after="0" w:line="240" w:lineRule="auto"/>
        <w:ind w:firstLine="540"/>
        <w:jc w:val="both"/>
        <w:rPr>
          <w:rFonts w:ascii="Times New Roman" w:hAnsi="Times New Roman"/>
          <w:i/>
          <w:sz w:val="24"/>
          <w:szCs w:val="24"/>
          <w:highlight w:val="white"/>
        </w:rPr>
      </w:pPr>
      <w:r>
        <w:rPr>
          <w:rFonts w:ascii="Times New Roman" w:hAnsi="Times New Roman"/>
          <w:i/>
          <w:sz w:val="24"/>
          <w:szCs w:val="24"/>
          <w:highlight w:val="white"/>
        </w:rPr>
        <w:t xml:space="preserve">Примечание: </w:t>
      </w:r>
    </w:p>
    <w:p w:rsidR="0003468E" w:rsidRDefault="00EA11F8">
      <w:pPr>
        <w:shd w:val="clear" w:color="auto" w:fill="FFFFFF"/>
        <w:spacing w:after="0" w:line="240" w:lineRule="auto"/>
        <w:ind w:firstLine="567"/>
        <w:jc w:val="both"/>
        <w:rPr>
          <w:rFonts w:ascii="Times New Roman" w:hAnsi="Times New Roman"/>
          <w:i/>
          <w:sz w:val="24"/>
          <w:szCs w:val="24"/>
          <w:highlight w:val="white"/>
        </w:rPr>
      </w:pPr>
      <w:r>
        <w:rPr>
          <w:rFonts w:ascii="Times New Roman" w:hAnsi="Times New Roman"/>
          <w:i/>
          <w:sz w:val="24"/>
          <w:szCs w:val="24"/>
          <w:highlight w:val="white"/>
        </w:rPr>
        <w:t>- данная информация не включается в заявку на участие в закупке в случае включения заказчиком в соответствии с пунктом 8 части 1 статьи 33 Федерального закона о контрактной системе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03468E" w:rsidRDefault="00EA11F8">
      <w:pPr>
        <w:shd w:val="clear" w:color="auto" w:fill="FFFFFF"/>
        <w:spacing w:after="0" w:line="240" w:lineRule="auto"/>
        <w:ind w:firstLine="567"/>
        <w:jc w:val="both"/>
        <w:rPr>
          <w:rFonts w:ascii="Times New Roman" w:hAnsi="Times New Roman"/>
          <w:i/>
          <w:sz w:val="24"/>
          <w:szCs w:val="24"/>
          <w:highlight w:val="white"/>
        </w:rPr>
      </w:pPr>
      <w:r>
        <w:rPr>
          <w:rFonts w:ascii="Times New Roman" w:hAnsi="Times New Roman"/>
          <w:i/>
          <w:sz w:val="24"/>
          <w:szCs w:val="24"/>
          <w:highlight w:val="white"/>
        </w:rPr>
        <w:lastRenderedPageBreak/>
        <w:t>- данная информация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rsidR="0003468E" w:rsidRDefault="00EA11F8">
      <w:pPr>
        <w:shd w:val="clear" w:color="auto" w:fill="FFFFFF"/>
        <w:spacing w:after="0" w:line="240" w:lineRule="auto"/>
        <w:ind w:firstLine="567"/>
        <w:jc w:val="both"/>
        <w:rPr>
          <w:rFonts w:ascii="Times New Roman" w:hAnsi="Times New Roman"/>
          <w:i/>
          <w:sz w:val="24"/>
          <w:szCs w:val="24"/>
          <w:highlight w:val="white"/>
        </w:rPr>
      </w:pPr>
      <w:r>
        <w:rPr>
          <w:rFonts w:ascii="Times New Roman" w:hAnsi="Times New Roman"/>
          <w:i/>
          <w:sz w:val="24"/>
          <w:szCs w:val="24"/>
          <w:highlight w:val="white"/>
        </w:rPr>
        <w:t xml:space="preserve">- характеристики поставляемого товара участник закупки обязан указывать только в случае установления в описании объекта закупки (Техническом задании) требований к характеристикам закупаемого товара (максимальных и (или) минимальных значений показателей товара, а также значений показателей, которые не могут изменяться) и только по тем позициям товаров, в которых не указан товарный знак (или не установлено требование оригинальности запасных частей к имеющемуся оборудованию обозначенным товарным знаком) или в случае, если участник закупки предлагает товар, который обозначен товарным знаком, отличным от товарного знака, указанного в описании объекта закупки (Техническом задании). При этом указываются конкретное наименование товара (конкретный товарный знак (при его наличии), конкретные показатели характеристик, указанных в описании объекта закупки. </w:t>
      </w:r>
    </w:p>
    <w:p w:rsidR="0003468E" w:rsidRDefault="00EA11F8">
      <w:pPr>
        <w:shd w:val="clear" w:color="auto" w:fill="FFFFFF"/>
        <w:spacing w:after="0" w:line="240" w:lineRule="auto"/>
        <w:ind w:firstLine="567"/>
        <w:jc w:val="both"/>
        <w:rPr>
          <w:rFonts w:ascii="Times New Roman" w:hAnsi="Times New Roman"/>
          <w:bCs/>
          <w:i/>
          <w:sz w:val="24"/>
          <w:szCs w:val="24"/>
          <w:highlight w:val="white"/>
        </w:rPr>
      </w:pPr>
      <w:r>
        <w:rPr>
          <w:rFonts w:ascii="Times New Roman" w:hAnsi="Times New Roman"/>
          <w:i/>
          <w:sz w:val="24"/>
          <w:szCs w:val="24"/>
          <w:highlight w:val="white"/>
        </w:rPr>
        <w:t>- участник закупки должен указать конкретное наименование товара (конкретный товарный знак (при его наличии), конкретные показатели характеристик, указанных в описании объекта закупки.</w:t>
      </w:r>
    </w:p>
    <w:p w:rsidR="0003468E" w:rsidRDefault="00EA11F8">
      <w:pPr>
        <w:shd w:val="clear" w:color="auto" w:fill="FFFFFF"/>
        <w:spacing w:before="220" w:after="0" w:line="240" w:lineRule="auto"/>
        <w:ind w:firstLine="539"/>
        <w:jc w:val="both"/>
        <w:rPr>
          <w:rFonts w:ascii="Times New Roman" w:hAnsi="Times New Roman"/>
          <w:sz w:val="24"/>
          <w:szCs w:val="24"/>
          <w:highlight w:val="white"/>
        </w:rPr>
      </w:pPr>
      <w:r>
        <w:rPr>
          <w:rFonts w:ascii="Times New Roman" w:hAnsi="Times New Roman"/>
          <w:b/>
          <w:sz w:val="24"/>
          <w:szCs w:val="24"/>
          <w:highlight w:val="white"/>
        </w:rPr>
        <w:t>б)</w:t>
      </w:r>
      <w:r>
        <w:rPr>
          <w:rFonts w:ascii="Times New Roman" w:hAnsi="Times New Roman"/>
          <w:sz w:val="24"/>
          <w:szCs w:val="24"/>
          <w:highlight w:val="white"/>
        </w:rPr>
        <w:t xml:space="preserve"> наименование страны происхождения товара в соответствии с общероссийским классификатором, используемым для идентификации стран мира в случае осуществления закупки товара, в том числе поставляемого заказчику при выполнении закупаемых работ, оказании закупаемых услуг.</w:t>
      </w:r>
    </w:p>
    <w:p w:rsidR="0003468E" w:rsidRDefault="00EA11F8">
      <w:pPr>
        <w:shd w:val="clear" w:color="auto" w:fill="FFFFFF"/>
        <w:spacing w:after="0" w:line="240" w:lineRule="auto"/>
        <w:ind w:firstLine="539"/>
        <w:jc w:val="both"/>
        <w:rPr>
          <w:rFonts w:ascii="Times New Roman" w:hAnsi="Times New Roman"/>
          <w:i/>
          <w:sz w:val="24"/>
          <w:szCs w:val="24"/>
          <w:highlight w:val="white"/>
        </w:rPr>
      </w:pPr>
      <w:r>
        <w:rPr>
          <w:rFonts w:ascii="Times New Roman" w:hAnsi="Times New Roman"/>
          <w:i/>
          <w:sz w:val="24"/>
          <w:szCs w:val="24"/>
          <w:highlight w:val="white"/>
        </w:rPr>
        <w:t>В отношении одной  позиции товара, указанной в извещении об осуществлении закупки участник закупки указывает не более одной страны происхождения товара.  В случае необходимости указания нескольких стран в отношении одной позиции товара, указанной в извещении,  участнику закупки необходимо указать в заявке на участие в закупке несколько позиций товара , соответствующих количеству стран происхождения товара с указанием по каждой такой позиции количества предлагаемого товара.</w:t>
      </w:r>
    </w:p>
    <w:p w:rsidR="0003468E" w:rsidRDefault="00EA11F8">
      <w:pPr>
        <w:shd w:val="clear" w:color="auto" w:fill="FFFFFF"/>
        <w:spacing w:after="0" w:line="240" w:lineRule="auto"/>
        <w:ind w:firstLine="539"/>
        <w:jc w:val="both"/>
        <w:rPr>
          <w:rFonts w:ascii="Times New Roman" w:hAnsi="Times New Roman"/>
          <w:sz w:val="24"/>
          <w:szCs w:val="24"/>
          <w:highlight w:val="white"/>
        </w:rPr>
      </w:pPr>
      <w:r>
        <w:rPr>
          <w:rFonts w:ascii="Times New Roman" w:hAnsi="Times New Roman"/>
          <w:i/>
          <w:sz w:val="24"/>
          <w:szCs w:val="24"/>
          <w:highlight w:val="white"/>
        </w:rPr>
        <w:t>В случае нарушения указанных требований по указанию страны происхождения товара, заявка участника подлежит отклонению в связи с не определением одной  страны происхождения товара</w:t>
      </w:r>
      <w:r>
        <w:rPr>
          <w:rFonts w:ascii="Times New Roman" w:hAnsi="Times New Roman"/>
          <w:sz w:val="24"/>
          <w:szCs w:val="24"/>
          <w:highlight w:val="white"/>
        </w:rPr>
        <w:t>.;</w:t>
      </w:r>
    </w:p>
    <w:p w:rsidR="0003468E" w:rsidRDefault="00EA11F8">
      <w:pPr>
        <w:shd w:val="clear" w:color="auto" w:fill="FFFFFF"/>
        <w:spacing w:before="220" w:after="0" w:line="240" w:lineRule="auto"/>
        <w:ind w:firstLine="540"/>
        <w:jc w:val="both"/>
        <w:rPr>
          <w:rFonts w:ascii="Times New Roman" w:hAnsi="Times New Roman"/>
          <w:sz w:val="24"/>
          <w:szCs w:val="24"/>
          <w:highlight w:val="white"/>
        </w:rPr>
      </w:pPr>
      <w:r>
        <w:rPr>
          <w:rFonts w:ascii="Times New Roman" w:hAnsi="Times New Roman"/>
          <w:b/>
          <w:sz w:val="24"/>
          <w:szCs w:val="24"/>
          <w:highlight w:val="white"/>
        </w:rPr>
        <w:t>в)</w:t>
      </w:r>
      <w:r>
        <w:rPr>
          <w:rFonts w:ascii="Times New Roman" w:hAnsi="Times New Roman"/>
          <w:sz w:val="24"/>
          <w:szCs w:val="24"/>
          <w:highlight w:val="white"/>
        </w:rPr>
        <w:t xml:space="preserve">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(с учетом п.5, п.7, пп.7 п.9, п.10 </w:t>
      </w:r>
      <w:r>
        <w:rPr>
          <w:rFonts w:ascii="Times New Roman" w:hAnsi="Times New Roman"/>
          <w:b/>
          <w:sz w:val="24"/>
          <w:szCs w:val="24"/>
          <w:highlight w:val="white"/>
        </w:rPr>
        <w:t>Инструкции по заполнению заявки на участие в закупке</w:t>
      </w:r>
      <w:r>
        <w:rPr>
          <w:rFonts w:ascii="Times New Roman" w:hAnsi="Times New Roman"/>
          <w:sz w:val="24"/>
          <w:szCs w:val="24"/>
          <w:highlight w:val="white"/>
        </w:rPr>
        <w:t xml:space="preserve">  настоящих Требований):</w:t>
      </w:r>
    </w:p>
    <w:p w:rsidR="0003468E" w:rsidRDefault="0003468E">
      <w:pPr>
        <w:shd w:val="clear" w:color="auto" w:fill="FFFFFF"/>
        <w:spacing w:after="0" w:line="240" w:lineRule="auto"/>
        <w:ind w:firstLine="567"/>
        <w:jc w:val="both"/>
        <w:rPr>
          <w:rFonts w:ascii="Times New Roman" w:hAnsi="Times New Roman"/>
          <w:b/>
          <w:i/>
          <w:sz w:val="24"/>
          <w:szCs w:val="24"/>
          <w:highlight w:val="white"/>
        </w:rPr>
      </w:pPr>
      <w:bookmarkStart w:id="2" w:name="Par22"/>
      <w:bookmarkEnd w:id="2"/>
    </w:p>
    <w:p w:rsidR="0003468E" w:rsidRDefault="00EA11F8">
      <w:pPr>
        <w:shd w:val="clear" w:color="auto" w:fill="FFFFFF"/>
        <w:spacing w:after="0" w:line="240" w:lineRule="auto"/>
        <w:ind w:firstLine="567"/>
        <w:rPr>
          <w:rFonts w:ascii="Times New Roman" w:hAnsi="Times New Roman"/>
          <w:b/>
          <w:i/>
          <w:sz w:val="24"/>
          <w:szCs w:val="24"/>
          <w:highlight w:val="white"/>
        </w:rPr>
      </w:pPr>
      <w:r>
        <w:rPr>
          <w:rFonts w:ascii="Times New Roman" w:hAnsi="Times New Roman"/>
          <w:b/>
          <w:i/>
          <w:sz w:val="24"/>
          <w:szCs w:val="24"/>
          <w:highlight w:val="white"/>
        </w:rPr>
        <w:tab/>
        <w:t>Регистрационное удостоверение, соответствующее объекту закупки.;</w:t>
      </w:r>
    </w:p>
    <w:p w:rsidR="0003468E" w:rsidRDefault="0003468E">
      <w:pPr>
        <w:shd w:val="clear" w:color="auto" w:fill="FFFFFF"/>
        <w:spacing w:after="0" w:line="240" w:lineRule="auto"/>
        <w:jc w:val="both"/>
        <w:rPr>
          <w:rFonts w:ascii="Times New Roman" w:hAnsi="Times New Roman"/>
          <w:b/>
          <w:sz w:val="24"/>
          <w:szCs w:val="24"/>
          <w:highlight w:val="white"/>
        </w:rPr>
      </w:pPr>
    </w:p>
    <w:p w:rsidR="0003468E" w:rsidRDefault="00EA11F8">
      <w:pPr>
        <w:shd w:val="clear" w:color="auto" w:fill="FFFFFF"/>
        <w:spacing w:after="0" w:line="240" w:lineRule="auto"/>
        <w:ind w:firstLine="540"/>
        <w:jc w:val="both"/>
        <w:rPr>
          <w:rFonts w:ascii="Times New Roman" w:hAnsi="Times New Roman"/>
          <w:sz w:val="24"/>
          <w:szCs w:val="24"/>
          <w:highlight w:val="white"/>
        </w:rPr>
      </w:pPr>
      <w:r>
        <w:rPr>
          <w:rFonts w:ascii="Times New Roman" w:hAnsi="Times New Roman"/>
          <w:b/>
          <w:sz w:val="24"/>
          <w:szCs w:val="24"/>
          <w:highlight w:val="white"/>
          <w:lang w:eastAsia="ru-RU"/>
        </w:rPr>
        <w:t>г)</w:t>
      </w:r>
      <w:r>
        <w:rPr>
          <w:rFonts w:ascii="Times New Roman" w:hAnsi="Times New Roman"/>
          <w:sz w:val="24"/>
          <w:szCs w:val="24"/>
          <w:highlight w:val="white"/>
          <w:lang w:eastAsia="ru-RU"/>
        </w:rPr>
        <w:t xml:space="preserve"> вправе предоставить иную информацию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rsidR="0003468E" w:rsidRDefault="0003468E">
      <w:pPr>
        <w:shd w:val="clear" w:color="auto" w:fill="FFFFFF"/>
        <w:spacing w:after="0" w:line="240" w:lineRule="auto"/>
        <w:ind w:firstLine="540"/>
        <w:jc w:val="both"/>
        <w:rPr>
          <w:rFonts w:ascii="Times New Roman" w:hAnsi="Times New Roman"/>
          <w:sz w:val="24"/>
          <w:szCs w:val="24"/>
          <w:highlight w:val="white"/>
        </w:rPr>
      </w:pPr>
    </w:p>
    <w:p w:rsidR="0003468E" w:rsidRDefault="00EA11F8">
      <w:pPr>
        <w:shd w:val="clear" w:color="auto" w:fill="FFFFFF"/>
        <w:spacing w:after="0" w:line="240" w:lineRule="auto"/>
        <w:ind w:firstLine="540"/>
        <w:jc w:val="both"/>
        <w:rPr>
          <w:rFonts w:ascii="Times New Roman" w:hAnsi="Times New Roman"/>
          <w:sz w:val="24"/>
          <w:szCs w:val="24"/>
          <w:highlight w:val="white"/>
        </w:rPr>
      </w:pPr>
      <w:r>
        <w:rPr>
          <w:rFonts w:ascii="Times New Roman" w:hAnsi="Times New Roman"/>
          <w:b/>
          <w:sz w:val="24"/>
          <w:szCs w:val="24"/>
          <w:highlight w:val="white"/>
          <w:lang w:eastAsia="ru-RU"/>
        </w:rPr>
        <w:t>3)</w:t>
      </w:r>
      <w:r>
        <w:rPr>
          <w:rFonts w:ascii="Times New Roman" w:hAnsi="Times New Roman"/>
          <w:sz w:val="24"/>
          <w:szCs w:val="24"/>
          <w:highlight w:val="white"/>
          <w:lang w:eastAsia="ru-RU"/>
        </w:rPr>
        <w:t xml:space="preserve"> </w:t>
      </w:r>
      <w:r>
        <w:rPr>
          <w:rFonts w:ascii="Times New Roman" w:hAnsi="Times New Roman"/>
          <w:b/>
          <w:sz w:val="24"/>
          <w:szCs w:val="24"/>
          <w:highlight w:val="white"/>
          <w:lang w:eastAsia="ru-RU"/>
        </w:rPr>
        <w:t>в случае проведения электронного запроса котировок</w:t>
      </w:r>
      <w:r>
        <w:rPr>
          <w:rFonts w:ascii="Times New Roman" w:hAnsi="Times New Roman"/>
          <w:sz w:val="24"/>
          <w:szCs w:val="24"/>
          <w:highlight w:val="white"/>
          <w:lang w:eastAsia="ru-RU"/>
        </w:rPr>
        <w:t xml:space="preserve"> также представляется предложение участника закупки о цене контракта или</w:t>
      </w:r>
      <w:bookmarkStart w:id="3" w:name="Par1"/>
      <w:bookmarkEnd w:id="3"/>
      <w:r>
        <w:rPr>
          <w:rFonts w:ascii="Times New Roman" w:hAnsi="Times New Roman"/>
          <w:sz w:val="24"/>
          <w:szCs w:val="24"/>
          <w:highlight w:val="white"/>
          <w:lang w:eastAsia="ru-RU"/>
        </w:rPr>
        <w:t xml:space="preserve"> предложение участника закупки о сумме цен единиц товара, работы, услуги (в случае, предусмотренном </w:t>
      </w:r>
      <w:hyperlink r:id="rId12" w:tooltip="consultantplus://offline/ref=F2ACDE233A6AC067C1E40D236F542E9D5472A222AEE4B922BC10995E90A773588040EC78D916AD7C0969AE5DDD826A4E4C9D93879B61TDg0B" w:history="1">
        <w:r>
          <w:rPr>
            <w:rFonts w:ascii="Times New Roman" w:hAnsi="Times New Roman"/>
            <w:sz w:val="24"/>
            <w:szCs w:val="24"/>
            <w:highlight w:val="white"/>
            <w:lang w:eastAsia="ru-RU"/>
          </w:rPr>
          <w:t>частью 24 статьи 22</w:t>
        </w:r>
      </w:hyperlink>
      <w:r>
        <w:rPr>
          <w:rFonts w:ascii="Times New Roman" w:hAnsi="Times New Roman"/>
          <w:sz w:val="24"/>
          <w:szCs w:val="24"/>
          <w:highlight w:val="white"/>
          <w:lang w:eastAsia="ru-RU"/>
        </w:rPr>
        <w:t xml:space="preserve"> Федерального закона контрактной системе);</w:t>
      </w:r>
    </w:p>
    <w:p w:rsidR="0003468E" w:rsidRDefault="0003468E">
      <w:pPr>
        <w:shd w:val="clear" w:color="auto" w:fill="FFFFFF"/>
        <w:spacing w:after="0" w:line="240" w:lineRule="auto"/>
        <w:ind w:firstLine="540"/>
        <w:jc w:val="both"/>
        <w:rPr>
          <w:rFonts w:ascii="Times New Roman" w:hAnsi="Times New Roman"/>
          <w:b/>
          <w:sz w:val="24"/>
          <w:szCs w:val="24"/>
          <w:highlight w:val="white"/>
        </w:rPr>
      </w:pPr>
    </w:p>
    <w:p w:rsidR="0003468E" w:rsidRDefault="00EA11F8">
      <w:pPr>
        <w:shd w:val="clear" w:color="auto" w:fill="FFFFFF"/>
        <w:spacing w:after="0" w:line="240" w:lineRule="auto"/>
        <w:ind w:firstLine="540"/>
        <w:jc w:val="both"/>
        <w:rPr>
          <w:rFonts w:ascii="Times New Roman" w:hAnsi="Times New Roman"/>
          <w:b/>
          <w:sz w:val="24"/>
          <w:szCs w:val="24"/>
          <w:highlight w:val="white"/>
        </w:rPr>
      </w:pPr>
      <w:r>
        <w:rPr>
          <w:rFonts w:ascii="Times New Roman" w:hAnsi="Times New Roman"/>
          <w:b/>
          <w:sz w:val="24"/>
          <w:szCs w:val="24"/>
          <w:highlight w:val="white"/>
        </w:rPr>
        <w:lastRenderedPageBreak/>
        <w:t>4</w:t>
      </w:r>
      <w:r>
        <w:rPr>
          <w:rFonts w:ascii="Times New Roman" w:hAnsi="Times New Roman"/>
          <w:sz w:val="24"/>
          <w:szCs w:val="24"/>
          <w:highlight w:val="white"/>
        </w:rPr>
        <w:t xml:space="preserve">) информация и документы, определенные в соответствии с пунктом 2 части 2 статьи 14 Федерального закона о контрактной системе и пунктом 3 постановления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w:t>
      </w:r>
      <w:r>
        <w:rPr>
          <w:rFonts w:ascii="Times New Roman" w:eastAsia="Times New Roman" w:hAnsi="Times New Roman"/>
          <w:sz w:val="20"/>
          <w:szCs w:val="20"/>
          <w:highlight w:val="white"/>
          <w:lang w:eastAsia="ru-RU"/>
        </w:rPr>
        <w:t>ПП РФ № 1875</w:t>
      </w:r>
      <w:r>
        <w:rPr>
          <w:rFonts w:ascii="Times New Roman" w:hAnsi="Times New Roman"/>
          <w:sz w:val="24"/>
          <w:szCs w:val="24"/>
          <w:highlight w:val="white"/>
        </w:rPr>
        <w:t xml:space="preserve">), подтверждающие </w:t>
      </w:r>
      <w:r>
        <w:rPr>
          <w:rFonts w:ascii="Times New Roman" w:hAnsi="Times New Roman"/>
          <w:color w:val="22272F"/>
          <w:sz w:val="23"/>
          <w:szCs w:val="23"/>
          <w:highlight w:val="white"/>
          <w:shd w:val="clear" w:color="auto" w:fill="FFFFFF"/>
        </w:rPr>
        <w:t>страну происхождения товара</w:t>
      </w:r>
      <w:r>
        <w:rPr>
          <w:rFonts w:ascii="Times New Roman" w:hAnsi="Times New Roman"/>
          <w:b/>
          <w:sz w:val="24"/>
          <w:szCs w:val="24"/>
          <w:highlight w:val="white"/>
        </w:rPr>
        <w:t>:*</w:t>
      </w:r>
    </w:p>
    <w:p w:rsidR="0003468E" w:rsidRDefault="00EA11F8">
      <w:pPr>
        <w:shd w:val="clear" w:color="auto" w:fill="FFFFFF"/>
        <w:spacing w:after="0" w:line="240" w:lineRule="auto"/>
        <w:ind w:firstLine="540"/>
        <w:jc w:val="both"/>
        <w:rPr>
          <w:rFonts w:ascii="Times New Roman" w:hAnsi="Times New Roman"/>
          <w:i/>
          <w:sz w:val="20"/>
          <w:szCs w:val="20"/>
          <w:highlight w:val="white"/>
        </w:rPr>
      </w:pPr>
      <w:r>
        <w:rPr>
          <w:rFonts w:ascii="Times New Roman" w:hAnsi="Times New Roman"/>
          <w:b/>
          <w:sz w:val="24"/>
          <w:szCs w:val="24"/>
          <w:highlight w:val="white"/>
        </w:rPr>
        <w:t xml:space="preserve"> </w:t>
      </w:r>
      <w:r>
        <w:rPr>
          <w:rFonts w:ascii="Times New Roman" w:hAnsi="Times New Roman"/>
          <w:i/>
          <w:sz w:val="20"/>
          <w:szCs w:val="20"/>
          <w:highlight w:val="white"/>
        </w:rPr>
        <w:t>*</w:t>
      </w:r>
      <w:r>
        <w:rPr>
          <w:rFonts w:ascii="Times New Roman" w:eastAsia="Times New Roman" w:hAnsi="Times New Roman"/>
          <w:i/>
          <w:sz w:val="20"/>
          <w:szCs w:val="20"/>
          <w:highlight w:val="white"/>
          <w:lang w:eastAsia="ru-RU"/>
        </w:rPr>
        <w:t xml:space="preserve">(данный пункт подлежит применению только в случае, если в извещении об осуществлении данной закупки </w:t>
      </w:r>
      <w:r>
        <w:rPr>
          <w:rFonts w:ascii="Times New Roman" w:eastAsia="Times New Roman" w:hAnsi="Times New Roman"/>
          <w:b/>
          <w:bCs/>
          <w:i/>
          <w:color w:val="000000"/>
          <w:sz w:val="20"/>
          <w:szCs w:val="20"/>
          <w:highlight w:val="white"/>
          <w:lang w:eastAsia="ru-RU"/>
        </w:rPr>
        <w:t xml:space="preserve">(в печатной форме извещения в разделе «Применение национального режима по ст. 14 Закона № 44-ФЗ») </w:t>
      </w:r>
      <w:r>
        <w:rPr>
          <w:rFonts w:ascii="Times New Roman" w:eastAsia="Times New Roman" w:hAnsi="Times New Roman"/>
          <w:b/>
          <w:i/>
          <w:sz w:val="20"/>
          <w:szCs w:val="20"/>
          <w:highlight w:val="white"/>
          <w:lang w:eastAsia="ru-RU"/>
        </w:rPr>
        <w:t>содержится информация об у</w:t>
      </w:r>
      <w:r>
        <w:rPr>
          <w:rFonts w:ascii="Times New Roman" w:hAnsi="Times New Roman"/>
          <w:b/>
          <w:i/>
          <w:sz w:val="20"/>
          <w:szCs w:val="20"/>
          <w:highlight w:val="white"/>
        </w:rPr>
        <w:t>становлении ограничений и (или) запретов</w:t>
      </w:r>
      <w:r>
        <w:rPr>
          <w:rFonts w:ascii="Times New Roman" w:hAnsi="Times New Roman"/>
          <w:i/>
          <w:sz w:val="20"/>
          <w:szCs w:val="20"/>
          <w:highlight w:val="white"/>
        </w:rPr>
        <w:t xml:space="preserve"> допуска иностранных товаров и услуг, и (или) </w:t>
      </w:r>
      <w:r>
        <w:rPr>
          <w:rFonts w:ascii="Times New Roman" w:hAnsi="Times New Roman"/>
          <w:b/>
          <w:i/>
          <w:sz w:val="20"/>
          <w:szCs w:val="20"/>
          <w:highlight w:val="white"/>
        </w:rPr>
        <w:t>преимуществ</w:t>
      </w:r>
      <w:r>
        <w:rPr>
          <w:rFonts w:ascii="Times New Roman" w:hAnsi="Times New Roman"/>
          <w:i/>
          <w:sz w:val="20"/>
          <w:szCs w:val="20"/>
          <w:highlight w:val="white"/>
        </w:rPr>
        <w:t xml:space="preserve"> товарам российского происхождения (</w:t>
      </w:r>
      <w:r>
        <w:rPr>
          <w:rFonts w:ascii="Times New Roman" w:hAnsi="Times New Roman"/>
          <w:i/>
          <w:color w:val="22272F"/>
          <w:sz w:val="20"/>
          <w:szCs w:val="20"/>
          <w:highlight w:val="white"/>
          <w:shd w:val="clear" w:color="auto" w:fill="FFFFFF"/>
        </w:rPr>
        <w:t>в том числе поставляемых при выполнении закупаемых работ, оказании закупаемых услуг)</w:t>
      </w:r>
    </w:p>
    <w:p w:rsidR="0003468E" w:rsidRDefault="0003468E">
      <w:pPr>
        <w:shd w:val="clear" w:color="auto" w:fill="FFFFFF"/>
        <w:spacing w:after="0" w:line="240" w:lineRule="auto"/>
        <w:ind w:firstLine="567"/>
        <w:jc w:val="both"/>
        <w:rPr>
          <w:rFonts w:ascii="Times New Roman" w:eastAsia="Times New Roman" w:hAnsi="Times New Roman"/>
          <w:i/>
          <w:color w:val="FF0000"/>
          <w:sz w:val="20"/>
          <w:szCs w:val="20"/>
          <w:highlight w:val="white"/>
        </w:rPr>
      </w:pPr>
    </w:p>
    <w:p w:rsidR="0003468E" w:rsidRDefault="00EA11F8">
      <w:pPr>
        <w:spacing w:after="0" w:line="240" w:lineRule="auto"/>
        <w:ind w:firstLine="567"/>
        <w:jc w:val="both"/>
        <w:outlineLvl w:val="2"/>
        <w:rPr>
          <w:rFonts w:ascii="Times New Roman" w:eastAsia="Times New Roman" w:hAnsi="Times New Roman"/>
          <w:b/>
          <w:bCs/>
          <w:sz w:val="28"/>
          <w:szCs w:val="28"/>
          <w:highlight w:val="white"/>
        </w:rPr>
      </w:pPr>
      <w:r>
        <w:rPr>
          <w:rFonts w:ascii="Times New Roman" w:eastAsia="Times New Roman" w:hAnsi="Times New Roman"/>
          <w:b/>
          <w:bCs/>
          <w:color w:val="000000"/>
          <w:sz w:val="24"/>
          <w:szCs w:val="24"/>
          <w:highlight w:val="white"/>
          <w:lang w:eastAsia="ru-RU"/>
        </w:rPr>
        <w:t>а) Для подтверждения страны происхождения тех товаров, по которым в извещении об осуществлении данной закупки (</w:t>
      </w:r>
      <w:r>
        <w:rPr>
          <w:rFonts w:ascii="Times New Roman" w:eastAsia="Times New Roman" w:hAnsi="Times New Roman"/>
          <w:b/>
          <w:bCs/>
          <w:i/>
          <w:color w:val="000000"/>
          <w:sz w:val="24"/>
          <w:szCs w:val="24"/>
          <w:highlight w:val="white"/>
          <w:lang w:eastAsia="ru-RU"/>
        </w:rPr>
        <w:t>в печатной форме извещения в разделе «Применение национального режима по ст. 14 Закона № 44-ФЗ»</w:t>
      </w:r>
      <w:r>
        <w:rPr>
          <w:rFonts w:ascii="Times New Roman" w:eastAsia="Times New Roman" w:hAnsi="Times New Roman"/>
          <w:b/>
          <w:bCs/>
          <w:color w:val="000000"/>
          <w:sz w:val="24"/>
          <w:szCs w:val="24"/>
          <w:highlight w:val="white"/>
          <w:lang w:eastAsia="ru-RU"/>
        </w:rPr>
        <w:t xml:space="preserve">) установлен и применяется </w:t>
      </w:r>
      <w:r>
        <w:rPr>
          <w:rFonts w:ascii="Times New Roman" w:eastAsia="Times New Roman" w:hAnsi="Times New Roman"/>
          <w:b/>
          <w:bCs/>
          <w:color w:val="FF0000"/>
          <w:sz w:val="24"/>
          <w:szCs w:val="24"/>
          <w:highlight w:val="white"/>
          <w:lang w:eastAsia="ru-RU"/>
        </w:rPr>
        <w:t xml:space="preserve">ЗАПРЕТ </w:t>
      </w:r>
      <w:r>
        <w:rPr>
          <w:rFonts w:ascii="Times New Roman" w:eastAsia="Times New Roman" w:hAnsi="Times New Roman"/>
          <w:b/>
          <w:bCs/>
          <w:color w:val="000000"/>
          <w:sz w:val="24"/>
          <w:szCs w:val="24"/>
          <w:highlight w:val="white"/>
          <w:lang w:eastAsia="ru-RU"/>
        </w:rPr>
        <w:t>закупок товаров (в т.ч. поставляемых при выполнении закупаемых работ, оказании закупаемых услуг), происходящих из иностранных государств,                                            участник закупки представляет в составе заявки следующие информацию и (или) документы:</w:t>
      </w:r>
    </w:p>
    <w:p w:rsidR="0003468E" w:rsidRDefault="0003468E">
      <w:pPr>
        <w:spacing w:after="0" w:line="240" w:lineRule="auto"/>
        <w:ind w:firstLine="567"/>
        <w:jc w:val="both"/>
        <w:rPr>
          <w:rFonts w:ascii="Times New Roman" w:eastAsia="Times New Roman" w:hAnsi="Times New Roman"/>
          <w:sz w:val="24"/>
          <w:szCs w:val="24"/>
          <w:highlight w:val="white"/>
        </w:rPr>
      </w:pPr>
    </w:p>
    <w:tbl>
      <w:tblPr>
        <w:tblW w:w="5000" w:type="pct"/>
        <w:tblLayout w:type="fixed"/>
        <w:tblCellMar>
          <w:top w:w="75" w:type="dxa"/>
          <w:left w:w="150" w:type="dxa"/>
          <w:bottom w:w="75" w:type="dxa"/>
          <w:right w:w="150" w:type="dxa"/>
        </w:tblCellMar>
        <w:tblLook w:val="04A0" w:firstRow="1" w:lastRow="0" w:firstColumn="1" w:lastColumn="0" w:noHBand="0" w:noVBand="1"/>
      </w:tblPr>
      <w:tblGrid>
        <w:gridCol w:w="2701"/>
        <w:gridCol w:w="6644"/>
      </w:tblGrid>
      <w:tr w:rsidR="0003468E">
        <w:tc>
          <w:tcPr>
            <w:tcW w:w="2703"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jc w:val="center"/>
              <w:rPr>
                <w:rFonts w:ascii="Times New Roman" w:eastAsia="Times New Roman" w:hAnsi="Times New Roman"/>
                <w:sz w:val="24"/>
                <w:szCs w:val="24"/>
                <w:highlight w:val="white"/>
              </w:rPr>
            </w:pPr>
            <w:r>
              <w:rPr>
                <w:rFonts w:ascii="Times New Roman" w:eastAsia="Times New Roman" w:hAnsi="Times New Roman"/>
                <w:b/>
                <w:bCs/>
                <w:sz w:val="24"/>
                <w:szCs w:val="24"/>
                <w:highlight w:val="white"/>
                <w:lang w:eastAsia="ru-RU"/>
              </w:rPr>
              <w:t>Продукция,                     включенная                               в объект закупки</w:t>
            </w:r>
          </w:p>
        </w:tc>
        <w:tc>
          <w:tcPr>
            <w:tcW w:w="6651"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ind w:firstLine="567"/>
              <w:rPr>
                <w:rFonts w:ascii="Times New Roman" w:eastAsia="Times New Roman" w:hAnsi="Times New Roman"/>
                <w:sz w:val="24"/>
                <w:szCs w:val="24"/>
                <w:highlight w:val="white"/>
              </w:rPr>
            </w:pPr>
            <w:r>
              <w:rPr>
                <w:rFonts w:ascii="Times New Roman" w:eastAsia="Times New Roman" w:hAnsi="Times New Roman"/>
                <w:b/>
                <w:bCs/>
                <w:sz w:val="24"/>
                <w:szCs w:val="24"/>
                <w:highlight w:val="white"/>
                <w:lang w:eastAsia="ru-RU"/>
              </w:rPr>
              <w:t>Информация и документы, подтверждающие страну происхождения товара</w:t>
            </w:r>
          </w:p>
        </w:tc>
      </w:tr>
      <w:tr w:rsidR="0003468E">
        <w:tc>
          <w:tcPr>
            <w:tcW w:w="2703"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ПРОМЫШЛЕННЫЕ ТОВАРЫ из позиций 1–145 приложения № 1 к  ПП РФ № 1875</w:t>
            </w:r>
          </w:p>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(подп. «</w:t>
            </w:r>
            <w:hyperlink r:id="rId13" w:anchor="_blank" w:history="1">
              <w:r>
                <w:rPr>
                  <w:rFonts w:ascii="Times New Roman" w:eastAsia="Times New Roman" w:hAnsi="Times New Roman"/>
                  <w:color w:val="0000FF"/>
                  <w:sz w:val="24"/>
                  <w:szCs w:val="24"/>
                  <w:highlight w:val="white"/>
                  <w:u w:val="single"/>
                  <w:lang w:eastAsia="ru-RU"/>
                </w:rPr>
                <w:t>а</w:t>
              </w:r>
            </w:hyperlink>
            <w:r>
              <w:rPr>
                <w:rFonts w:ascii="Times New Roman" w:eastAsia="Times New Roman" w:hAnsi="Times New Roman"/>
                <w:sz w:val="24"/>
                <w:szCs w:val="24"/>
                <w:highlight w:val="white"/>
                <w:lang w:eastAsia="ru-RU"/>
              </w:rPr>
              <w:t>» и «</w:t>
            </w:r>
            <w:hyperlink r:id="rId14" w:anchor="_blank" w:history="1">
              <w:r>
                <w:rPr>
                  <w:rFonts w:ascii="Times New Roman" w:eastAsia="Times New Roman" w:hAnsi="Times New Roman"/>
                  <w:color w:val="0000FF"/>
                  <w:sz w:val="24"/>
                  <w:szCs w:val="24"/>
                  <w:highlight w:val="white"/>
                  <w:u w:val="single"/>
                  <w:lang w:eastAsia="ru-RU"/>
                </w:rPr>
                <w:t>б</w:t>
              </w:r>
            </w:hyperlink>
            <w:r>
              <w:rPr>
                <w:rFonts w:ascii="Times New Roman" w:eastAsia="Times New Roman" w:hAnsi="Times New Roman"/>
                <w:sz w:val="24"/>
                <w:szCs w:val="24"/>
                <w:highlight w:val="white"/>
                <w:lang w:eastAsia="ru-RU"/>
              </w:rPr>
              <w:t>» п. 3 ПП РФ № 1875</w:t>
            </w:r>
          </w:p>
        </w:tc>
        <w:tc>
          <w:tcPr>
            <w:tcW w:w="6651"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before="300" w:after="0" w:line="240" w:lineRule="auto"/>
              <w:ind w:firstLine="540"/>
              <w:jc w:val="both"/>
              <w:rPr>
                <w:rFonts w:ascii="Times New Roman" w:eastAsia="Times New Roman" w:hAnsi="Times New Roman"/>
                <w:b/>
                <w:i/>
                <w:color w:val="FF0000"/>
                <w:sz w:val="24"/>
                <w:szCs w:val="24"/>
                <w:highlight w:val="white"/>
              </w:rPr>
            </w:pPr>
            <w:r>
              <w:rPr>
                <w:rFonts w:ascii="Times New Roman" w:eastAsia="Times New Roman" w:hAnsi="Times New Roman"/>
                <w:b/>
                <w:i/>
                <w:color w:val="FF0000"/>
                <w:sz w:val="24"/>
                <w:szCs w:val="24"/>
                <w:highlight w:val="white"/>
                <w:lang w:eastAsia="ru-RU"/>
              </w:rPr>
              <w:t>Для товаров из Российской Федерации:</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color w:val="000000"/>
                <w:sz w:val="24"/>
                <w:szCs w:val="24"/>
                <w:highlight w:val="white"/>
              </w:rPr>
            </w:pPr>
            <w:r>
              <w:rPr>
                <w:rFonts w:ascii="Times New Roman" w:eastAsia="Times New Roman" w:hAnsi="Times New Roman"/>
                <w:b/>
                <w:bCs/>
                <w:color w:val="000000"/>
                <w:sz w:val="24"/>
                <w:highlight w:val="white"/>
              </w:rPr>
              <w:t xml:space="preserve">номер реестровой записи </w:t>
            </w:r>
            <w:r>
              <w:rPr>
                <w:rFonts w:ascii="Times New Roman" w:eastAsia="Times New Roman" w:hAnsi="Times New Roman"/>
                <w:color w:val="000000"/>
                <w:sz w:val="24"/>
                <w:highlight w:val="white"/>
              </w:rPr>
              <w:t xml:space="preserve">из реестра российской промышленной продукции, предусмотренного </w:t>
            </w:r>
            <w:hyperlink r:id="rId15" w:tooltip="https://login.consultant.ru/link/?req=doc&amp;base=LAW&amp;n=505888&amp;dst=225&amp;field=134&amp;date=05.09.2025" w:history="1">
              <w:r>
                <w:rPr>
                  <w:rStyle w:val="af"/>
                  <w:rFonts w:ascii="Times New Roman" w:eastAsia="Times New Roman" w:hAnsi="Times New Roman"/>
                  <w:sz w:val="24"/>
                  <w:highlight w:val="white"/>
                  <w:u w:val="none"/>
                </w:rPr>
                <w:t>статьей 17.1</w:t>
              </w:r>
            </w:hyperlink>
            <w:r>
              <w:rPr>
                <w:rFonts w:ascii="Times New Roman" w:eastAsia="Times New Roman" w:hAnsi="Times New Roman"/>
                <w:color w:val="000000"/>
                <w:sz w:val="24"/>
                <w:highlight w:val="white"/>
              </w:rPr>
              <w:t xml:space="preserve"> Федерального закона "О промышленной политике в Российской Федерации" (далее - реестр российской промышленной продукции), </w:t>
            </w:r>
            <w:r>
              <w:rPr>
                <w:rFonts w:ascii="Times New Roman" w:eastAsia="Times New Roman" w:hAnsi="Times New Roman"/>
                <w:b/>
                <w:bCs/>
                <w:color w:val="000000"/>
                <w:sz w:val="24"/>
                <w:highlight w:val="white"/>
              </w:rPr>
              <w:t>и справка</w:t>
            </w:r>
            <w:r>
              <w:rPr>
                <w:rFonts w:ascii="Times New Roman" w:eastAsia="Times New Roman" w:hAnsi="Times New Roman"/>
                <w:color w:val="000000"/>
                <w:sz w:val="24"/>
                <w:highlight w:val="white"/>
              </w:rPr>
              <w:t xml:space="preserve">, подтверждающая наличие специального инвестиционного контракта и предусмотренная </w:t>
            </w:r>
            <w:hyperlink r:id="rId16" w:tooltip="https://login.consultant.ru/link/?req=doc&amp;base=LAW&amp;n=511948&amp;dst=1170&amp;field=134&amp;date=05.09.2025" w:history="1">
              <w:r>
                <w:rPr>
                  <w:rStyle w:val="af"/>
                  <w:rFonts w:ascii="Times New Roman" w:eastAsia="Times New Roman" w:hAnsi="Times New Roman"/>
                  <w:sz w:val="24"/>
                  <w:highlight w:val="white"/>
                  <w:u w:val="none"/>
                </w:rPr>
                <w:t>пунктом 1(1)</w:t>
              </w:r>
            </w:hyperlink>
            <w:r>
              <w:rPr>
                <w:rFonts w:ascii="Times New Roman" w:eastAsia="Times New Roman" w:hAnsi="Times New Roman"/>
                <w:color w:val="000000"/>
                <w:sz w:val="24"/>
                <w:highlight w:val="white"/>
              </w:rPr>
              <w:t xml:space="preserve"> постановления Правительства Российской Федерации от 17 июля 2015 г. N 719 "О подтверждении производства российской промышленной продукции",       </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b/>
                <w:bCs/>
                <w:color w:val="000000"/>
                <w:sz w:val="24"/>
                <w:szCs w:val="24"/>
                <w:highlight w:val="white"/>
              </w:rPr>
            </w:pPr>
            <w:r>
              <w:rPr>
                <w:rFonts w:ascii="Times New Roman" w:eastAsia="Times New Roman" w:hAnsi="Times New Roman"/>
                <w:b/>
                <w:bCs/>
                <w:color w:val="000000"/>
                <w:sz w:val="24"/>
                <w:highlight w:val="white"/>
              </w:rPr>
              <w:t xml:space="preserve">или </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color w:val="000000"/>
                <w:sz w:val="24"/>
                <w:szCs w:val="24"/>
                <w:highlight w:val="white"/>
              </w:rPr>
            </w:pPr>
            <w:r>
              <w:rPr>
                <w:rFonts w:ascii="Times New Roman" w:eastAsia="Times New Roman" w:hAnsi="Times New Roman"/>
                <w:b/>
                <w:bCs/>
                <w:color w:val="000000"/>
                <w:sz w:val="24"/>
                <w:highlight w:val="white"/>
              </w:rPr>
              <w:t xml:space="preserve">номер реестровой записи </w:t>
            </w:r>
            <w:r>
              <w:rPr>
                <w:rFonts w:ascii="Times New Roman" w:eastAsia="Times New Roman" w:hAnsi="Times New Roman"/>
                <w:color w:val="000000"/>
                <w:sz w:val="24"/>
                <w:highlight w:val="white"/>
              </w:rPr>
              <w:t xml:space="preserve">из реестра российской промышленной продукции, </w:t>
            </w:r>
            <w:r>
              <w:rPr>
                <w:rFonts w:ascii="Times New Roman" w:eastAsia="Times New Roman" w:hAnsi="Times New Roman"/>
                <w:b/>
                <w:bCs/>
                <w:color w:val="000000"/>
                <w:sz w:val="24"/>
                <w:highlight w:val="white"/>
              </w:rPr>
              <w:t>содержащей</w:t>
            </w:r>
            <w:r>
              <w:rPr>
                <w:rFonts w:ascii="Times New Roman" w:eastAsia="Times New Roman" w:hAnsi="Times New Roman"/>
                <w:color w:val="000000"/>
                <w:sz w:val="24"/>
                <w:highlight w:val="white"/>
              </w:rPr>
              <w:t xml:space="preserve"> в том числе:</w:t>
            </w:r>
          </w:p>
          <w:p w:rsidR="0003468E" w:rsidRDefault="00EA11F8">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b/>
                <w:bCs/>
                <w:color w:val="000000" w:themeColor="text1"/>
                <w:sz w:val="24"/>
                <w:szCs w:val="24"/>
                <w:highlight w:val="white"/>
              </w:rPr>
            </w:pPr>
            <w:r>
              <w:rPr>
                <w:rFonts w:ascii="Times New Roman" w:eastAsia="Times New Roman" w:hAnsi="Times New Roman"/>
                <w:b/>
                <w:bCs/>
                <w:sz w:val="24"/>
                <w:szCs w:val="24"/>
                <w:highlight w:val="white"/>
                <w:lang w:eastAsia="ru-RU"/>
              </w:rPr>
              <w:t>- информацию о совокупном количестве баллов</w:t>
            </w:r>
            <w:r>
              <w:rPr>
                <w:rFonts w:ascii="Times New Roman" w:eastAsia="Times New Roman" w:hAnsi="Times New Roman"/>
                <w:sz w:val="24"/>
                <w:szCs w:val="24"/>
                <w:highlight w:val="white"/>
                <w:lang w:eastAsia="ru-RU"/>
              </w:rPr>
              <w:t xml:space="preserve"> за выполнение (освоение) на территории Российской Федерации соответствующих операций (условий), которое составляет или превышает значение, определенное постановлением Правительства Российской Федерации от 17 июля 2015 г. N 719 для целей осуществления закупок   (</w:t>
            </w:r>
            <w:r>
              <w:rPr>
                <w:rFonts w:ascii="Times New Roman" w:eastAsia="Times New Roman" w:hAnsi="Times New Roman"/>
                <w:i/>
                <w:sz w:val="20"/>
                <w:szCs w:val="20"/>
                <w:highlight w:val="white"/>
                <w:lang w:eastAsia="ru-RU"/>
              </w:rPr>
              <w:t xml:space="preserve">данная информация должна содержаться в реестровой записи </w:t>
            </w:r>
            <w:r>
              <w:rPr>
                <w:rFonts w:ascii="Times New Roman" w:eastAsia="Times New Roman" w:hAnsi="Times New Roman"/>
                <w:b/>
                <w:i/>
                <w:sz w:val="20"/>
                <w:szCs w:val="20"/>
                <w:highlight w:val="white"/>
                <w:lang w:eastAsia="ru-RU"/>
              </w:rPr>
              <w:t xml:space="preserve">только </w:t>
            </w:r>
            <w:r>
              <w:rPr>
                <w:rFonts w:ascii="Times New Roman" w:eastAsia="Times New Roman" w:hAnsi="Times New Roman"/>
                <w:i/>
                <w:sz w:val="20"/>
                <w:szCs w:val="20"/>
                <w:highlight w:val="white"/>
                <w:lang w:eastAsia="ru-RU"/>
              </w:rPr>
              <w:t xml:space="preserve">при закупке тех товаров, в отношении которых </w:t>
            </w:r>
            <w:r>
              <w:rPr>
                <w:rFonts w:ascii="Times New Roman" w:eastAsia="Times New Roman" w:hAnsi="Times New Roman"/>
                <w:b/>
                <w:i/>
                <w:sz w:val="20"/>
                <w:szCs w:val="20"/>
                <w:highlight w:val="white"/>
                <w:lang w:eastAsia="ru-RU"/>
              </w:rPr>
              <w:t>в разделе  «Примечания» Приложения</w:t>
            </w:r>
            <w:r>
              <w:rPr>
                <w:rFonts w:ascii="Times New Roman" w:eastAsia="Times New Roman" w:hAnsi="Times New Roman"/>
                <w:i/>
                <w:sz w:val="20"/>
                <w:szCs w:val="20"/>
                <w:highlight w:val="white"/>
                <w:lang w:eastAsia="ru-RU"/>
              </w:rPr>
              <w:t xml:space="preserve">  к  постановлению Правительства Российской Федерации от 17 июля 2015 г. №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w:t>
            </w:r>
            <w:r>
              <w:rPr>
                <w:rFonts w:ascii="Times New Roman" w:eastAsia="Times New Roman" w:hAnsi="Times New Roman"/>
                <w:b/>
                <w:i/>
                <w:sz w:val="20"/>
                <w:szCs w:val="20"/>
                <w:highlight w:val="white"/>
                <w:lang w:eastAsia="ru-RU"/>
              </w:rPr>
              <w:t>.</w:t>
            </w:r>
            <w:r>
              <w:rPr>
                <w:rFonts w:ascii="Times New Roman" w:eastAsia="Times New Roman" w:hAnsi="Times New Roman"/>
                <w:sz w:val="24"/>
                <w:szCs w:val="24"/>
                <w:highlight w:val="white"/>
                <w:lang w:eastAsia="ru-RU"/>
              </w:rPr>
              <w:t xml:space="preserve">                     </w:t>
            </w:r>
            <w:r>
              <w:rPr>
                <w:rFonts w:ascii="Times New Roman" w:eastAsia="Times New Roman" w:hAnsi="Times New Roman"/>
                <w:i/>
                <w:iCs/>
                <w:sz w:val="24"/>
                <w:szCs w:val="24"/>
                <w:highlight w:val="white"/>
                <w:lang w:eastAsia="ru-RU"/>
              </w:rPr>
              <w:t>При этом, информация о совокупном количестве баллов может не содержаться в реестровой записи из реестра российской промышленной продукции в следующих случаях:</w:t>
            </w:r>
          </w:p>
          <w:p w:rsidR="0003468E" w:rsidRDefault="00EA11F8">
            <w:pPr>
              <w:pBdr>
                <w:top w:val="none" w:sz="4" w:space="0" w:color="000000"/>
                <w:left w:val="none" w:sz="4" w:space="0" w:color="000000"/>
                <w:bottom w:val="none" w:sz="4" w:space="0" w:color="000000"/>
                <w:right w:val="none" w:sz="4" w:space="0" w:color="000000"/>
              </w:pBdr>
              <w:spacing w:after="0" w:line="240" w:lineRule="auto"/>
              <w:jc w:val="both"/>
              <w:rPr>
                <w:rFonts w:ascii="Times New Roman" w:eastAsia="Times New Roman" w:hAnsi="Times New Roman"/>
                <w:color w:val="000000" w:themeColor="text1"/>
                <w:sz w:val="24"/>
                <w:szCs w:val="24"/>
                <w:highlight w:val="white"/>
              </w:rPr>
            </w:pPr>
            <w:r>
              <w:rPr>
                <w:rFonts w:ascii="Times New Roman" w:eastAsia="Times New Roman" w:hAnsi="Times New Roman"/>
                <w:i/>
                <w:iCs/>
                <w:sz w:val="24"/>
                <w:szCs w:val="24"/>
                <w:highlight w:val="white"/>
                <w:lang w:eastAsia="ru-RU"/>
              </w:rPr>
              <w:lastRenderedPageBreak/>
              <w:t xml:space="preserve">         -  при осуществлении закупок до   31 декабря 2026 г. товаров, указанных в </w:t>
            </w:r>
            <w:hyperlink r:id="rId17" w:tooltip="https://login.consultant.ru/link/?req=doc&amp;base=LAW&amp;n=513601&amp;dst=100704&amp;field=134&amp;date=09.09.2025" w:history="1">
              <w:r>
                <w:rPr>
                  <w:rFonts w:ascii="Times New Roman" w:eastAsia="Times New Roman" w:hAnsi="Times New Roman"/>
                  <w:i/>
                  <w:iCs/>
                  <w:sz w:val="24"/>
                  <w:szCs w:val="24"/>
                  <w:highlight w:val="white"/>
                  <w:lang w:eastAsia="ru-RU"/>
                </w:rPr>
                <w:t>позиции 139</w:t>
              </w:r>
            </w:hyperlink>
            <w:r>
              <w:rPr>
                <w:rFonts w:ascii="Times New Roman" w:eastAsia="Times New Roman" w:hAnsi="Times New Roman"/>
                <w:i/>
                <w:iCs/>
                <w:sz w:val="24"/>
                <w:szCs w:val="24"/>
                <w:highlight w:val="white"/>
                <w:lang w:eastAsia="ru-RU"/>
              </w:rPr>
              <w:t xml:space="preserve"> приложения № 1  (Аппараты ИВЛ код НКМИ 232870, 232890), в случае если  реестровая запись в реестре российской промышленной продукции на такой товар сформирована по 10 октября 2023 г включительно.</w:t>
            </w:r>
          </w:p>
          <w:p w:rsidR="0003468E" w:rsidRDefault="00EA11F8">
            <w:pPr>
              <w:pStyle w:val="aff3"/>
              <w:numPr>
                <w:ilvl w:val="0"/>
                <w:numId w:val="6"/>
              </w:numPr>
              <w:pBdr>
                <w:top w:val="none" w:sz="4" w:space="0" w:color="000000"/>
                <w:left w:val="none" w:sz="4" w:space="0" w:color="000000"/>
                <w:bottom w:val="none" w:sz="4" w:space="0" w:color="000000"/>
                <w:right w:val="none" w:sz="4" w:space="0" w:color="000000"/>
              </w:pBdr>
              <w:spacing w:line="240" w:lineRule="auto"/>
              <w:ind w:left="0" w:firstLine="349"/>
              <w:jc w:val="both"/>
              <w:rPr>
                <w:rFonts w:ascii="Times New Roman" w:eastAsia="Times New Roman" w:hAnsi="Times New Roman"/>
                <w:color w:val="000000" w:themeColor="text1"/>
                <w:highlight w:val="white"/>
              </w:rPr>
            </w:pPr>
            <w:r>
              <w:rPr>
                <w:rFonts w:ascii="Times New Roman" w:eastAsia="Times New Roman" w:hAnsi="Times New Roman"/>
                <w:i/>
                <w:iCs/>
                <w:sz w:val="24"/>
                <w:szCs w:val="24"/>
                <w:highlight w:val="white"/>
                <w:lang w:eastAsia="ru-RU"/>
              </w:rPr>
              <w:t xml:space="preserve">при осуществлении закупок до 30 ноября 2026 г. товаров, указанных в  </w:t>
            </w:r>
            <w:hyperlink r:id="rId18" w:tooltip="https://login.consultant.ru/link/?req=doc&amp;base=LAW&amp;n=513601&amp;dst=100335&amp;field=134&amp;date=09.09.2025" w:history="1">
              <w:r>
                <w:rPr>
                  <w:rFonts w:ascii="Times New Roman" w:eastAsia="Times New Roman" w:hAnsi="Times New Roman"/>
                  <w:i/>
                  <w:iCs/>
                  <w:sz w:val="24"/>
                  <w:szCs w:val="24"/>
                  <w:highlight w:val="white"/>
                  <w:lang w:eastAsia="ru-RU"/>
                </w:rPr>
                <w:t>позициях 16</w:t>
              </w:r>
            </w:hyperlink>
            <w:r>
              <w:rPr>
                <w:rFonts w:ascii="Times New Roman" w:eastAsia="Times New Roman" w:hAnsi="Times New Roman"/>
                <w:i/>
                <w:iCs/>
                <w:sz w:val="24"/>
                <w:szCs w:val="24"/>
                <w:highlight w:val="white"/>
                <w:lang w:eastAsia="ru-RU"/>
              </w:rPr>
              <w:t xml:space="preserve">, </w:t>
            </w:r>
            <w:hyperlink r:id="rId19" w:tooltip="https://login.consultant.ru/link/?req=doc&amp;base=LAW&amp;n=513601&amp;dst=100338&amp;field=134&amp;date=09.09.2025" w:history="1">
              <w:r>
                <w:rPr>
                  <w:rFonts w:ascii="Times New Roman" w:eastAsia="Times New Roman" w:hAnsi="Times New Roman"/>
                  <w:i/>
                  <w:iCs/>
                  <w:sz w:val="24"/>
                  <w:szCs w:val="24"/>
                  <w:highlight w:val="white"/>
                  <w:lang w:eastAsia="ru-RU"/>
                </w:rPr>
                <w:t>17</w:t>
              </w:r>
            </w:hyperlink>
            <w:r>
              <w:rPr>
                <w:rFonts w:ascii="Times New Roman" w:eastAsia="Times New Roman" w:hAnsi="Times New Roman"/>
                <w:i/>
                <w:iCs/>
                <w:sz w:val="24"/>
                <w:szCs w:val="24"/>
                <w:highlight w:val="white"/>
                <w:lang w:eastAsia="ru-RU"/>
              </w:rPr>
              <w:t xml:space="preserve">, </w:t>
            </w:r>
            <w:hyperlink r:id="rId20" w:tooltip="https://login.consultant.ru/link/?req=doc&amp;base=LAW&amp;n=513601&amp;dst=100707&amp;field=134&amp;date=09.09.2025" w:history="1">
              <w:r>
                <w:rPr>
                  <w:rFonts w:ascii="Times New Roman" w:eastAsia="Times New Roman" w:hAnsi="Times New Roman"/>
                  <w:i/>
                  <w:iCs/>
                  <w:sz w:val="24"/>
                  <w:szCs w:val="24"/>
                  <w:highlight w:val="white"/>
                  <w:lang w:eastAsia="ru-RU"/>
                </w:rPr>
                <w:t>140</w:t>
              </w:r>
            </w:hyperlink>
            <w:r>
              <w:rPr>
                <w:rFonts w:ascii="Times New Roman" w:eastAsia="Times New Roman" w:hAnsi="Times New Roman"/>
                <w:i/>
                <w:iCs/>
                <w:sz w:val="24"/>
                <w:szCs w:val="24"/>
                <w:highlight w:val="white"/>
                <w:lang w:eastAsia="ru-RU"/>
              </w:rPr>
              <w:t xml:space="preserve">, </w:t>
            </w:r>
            <w:hyperlink r:id="rId21" w:tooltip="https://login.consultant.ru/link/?req=doc&amp;base=LAW&amp;n=513601&amp;dst=100710&amp;field=134&amp;date=09.09.2025" w:history="1">
              <w:r>
                <w:rPr>
                  <w:rFonts w:ascii="Times New Roman" w:eastAsia="Times New Roman" w:hAnsi="Times New Roman"/>
                  <w:i/>
                  <w:iCs/>
                  <w:sz w:val="24"/>
                  <w:szCs w:val="24"/>
                  <w:highlight w:val="white"/>
                  <w:lang w:eastAsia="ru-RU"/>
                </w:rPr>
                <w:t>141</w:t>
              </w:r>
            </w:hyperlink>
            <w:r>
              <w:rPr>
                <w:rFonts w:ascii="Times New Roman" w:eastAsia="Times New Roman" w:hAnsi="Times New Roman"/>
                <w:i/>
                <w:iCs/>
                <w:sz w:val="24"/>
                <w:szCs w:val="24"/>
                <w:highlight w:val="white"/>
                <w:lang w:eastAsia="ru-RU"/>
              </w:rPr>
              <w:t xml:space="preserve"> и </w:t>
            </w:r>
            <w:hyperlink r:id="rId22" w:tooltip="https://login.consultant.ru/link/?req=doc&amp;base=LAW&amp;n=513601&amp;dst=100719&amp;field=134&amp;date=09.09.2025" w:history="1">
              <w:r>
                <w:rPr>
                  <w:rFonts w:ascii="Times New Roman" w:eastAsia="Times New Roman" w:hAnsi="Times New Roman"/>
                  <w:i/>
                  <w:iCs/>
                  <w:sz w:val="24"/>
                  <w:szCs w:val="24"/>
                  <w:highlight w:val="white"/>
                  <w:lang w:eastAsia="ru-RU"/>
                </w:rPr>
                <w:t>144</w:t>
              </w:r>
            </w:hyperlink>
            <w:r>
              <w:rPr>
                <w:rFonts w:ascii="Times New Roman" w:eastAsia="Times New Roman" w:hAnsi="Times New Roman"/>
                <w:i/>
                <w:iCs/>
                <w:sz w:val="24"/>
                <w:szCs w:val="24"/>
                <w:highlight w:val="white"/>
                <w:lang w:eastAsia="ru-RU"/>
              </w:rPr>
              <w:t xml:space="preserve"> приложения N 1 (пластмассовые изделия, пробирки вакуумные для взятия образцов крови, медицинская мебель, медицинские маски и др.), в случае если  реестровые записи в реестре российской промышленной продукции на такие товары сформированы по 30 июня 2026 г.</w:t>
            </w:r>
          </w:p>
          <w:p w:rsidR="0003468E" w:rsidRDefault="00EA11F8">
            <w:pPr>
              <w:pStyle w:val="aff0"/>
              <w:widowControl w:val="0"/>
              <w:spacing w:before="240" w:after="0" w:line="240" w:lineRule="auto"/>
              <w:ind w:firstLine="540"/>
              <w:jc w:val="both"/>
              <w:rPr>
                <w:rFonts w:ascii="Times New Roman" w:eastAsia="Times New Roman" w:hAnsi="Times New Roman"/>
                <w:sz w:val="24"/>
                <w:szCs w:val="24"/>
                <w:highlight w:val="white"/>
              </w:rPr>
            </w:pPr>
            <w:r>
              <w:rPr>
                <w:rFonts w:ascii="Times New Roman" w:eastAsia="Times New Roman" w:hAnsi="Times New Roman"/>
                <w:b/>
                <w:i/>
                <w:sz w:val="24"/>
                <w:szCs w:val="24"/>
                <w:highlight w:val="white"/>
                <w:shd w:val="clear" w:color="auto" w:fill="FFFF00"/>
                <w:lang w:eastAsia="ru-RU"/>
              </w:rPr>
              <w:t xml:space="preserve">При осуществлении закупок специальных хирургических одноразовых стерильных изделий из нетканых материалов для защиты пациента и медицинского персонала, включенных в код </w:t>
            </w:r>
            <w:r>
              <w:rPr>
                <w:rFonts w:ascii="Times New Roman" w:eastAsia="Times New Roman" w:hAnsi="Times New Roman"/>
                <w:b/>
                <w:i/>
                <w:color w:val="0000FF"/>
                <w:sz w:val="24"/>
                <w:szCs w:val="24"/>
                <w:highlight w:val="white"/>
                <w:shd w:val="clear" w:color="auto" w:fill="FFFF00"/>
                <w:lang w:eastAsia="ru-RU"/>
              </w:rPr>
              <w:t>14.19.32.120</w:t>
            </w:r>
            <w:r>
              <w:rPr>
                <w:rFonts w:ascii="Times New Roman" w:eastAsia="Times New Roman" w:hAnsi="Times New Roman"/>
                <w:b/>
                <w:i/>
                <w:sz w:val="24"/>
                <w:szCs w:val="24"/>
                <w:highlight w:val="white"/>
                <w:shd w:val="clear" w:color="auto" w:fill="FFFF00"/>
                <w:lang w:eastAsia="ru-RU"/>
              </w:rPr>
              <w:t xml:space="preserve"> по Общероссийскому классификатору продукции по видам экономической деятельности ОК 034-2014 (КПЕС 2008) по 31 декабря 2025 г.  включительно, документом, подтверждающим происхождение таких товаров из государств - членов Евразийского экономического союза, в том числе из Российской Федерации, также является сертификат о происхождении товара, выданный уполномоченным органом (организацией) государства - члена Евразийского экономического союза по </w:t>
            </w:r>
            <w:hyperlink r:id="rId23" w:anchor="/document/2568717/entry/1200" w:history="1">
              <w:r>
                <w:rPr>
                  <w:rFonts w:ascii="Times New Roman" w:eastAsia="Times New Roman" w:hAnsi="Times New Roman"/>
                  <w:b/>
                  <w:i/>
                  <w:sz w:val="24"/>
                  <w:szCs w:val="24"/>
                  <w:highlight w:val="white"/>
                  <w:shd w:val="clear" w:color="auto" w:fill="FFFF00"/>
                  <w:lang w:eastAsia="ru-RU"/>
                </w:rPr>
                <w:t>форме</w:t>
              </w:r>
            </w:hyperlink>
            <w:r>
              <w:rPr>
                <w:rFonts w:ascii="Times New Roman" w:eastAsia="Times New Roman" w:hAnsi="Times New Roman"/>
                <w:b/>
                <w:i/>
                <w:sz w:val="24"/>
                <w:szCs w:val="24"/>
                <w:highlight w:val="white"/>
                <w:shd w:val="clear" w:color="auto" w:fill="FFFF00"/>
                <w:lang w:eastAsia="ru-RU"/>
              </w:rPr>
              <w:t>,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w:t>
            </w:r>
          </w:p>
          <w:p w:rsidR="0003468E" w:rsidRDefault="0003468E">
            <w:pPr>
              <w:pBdr>
                <w:top w:val="none" w:sz="4" w:space="0" w:color="000000"/>
                <w:left w:val="none" w:sz="4" w:space="0" w:color="000000"/>
                <w:bottom w:val="none" w:sz="4" w:space="0" w:color="000000"/>
                <w:right w:val="none" w:sz="4" w:space="0" w:color="000000"/>
              </w:pBdr>
              <w:spacing w:after="0" w:line="240" w:lineRule="auto"/>
              <w:ind w:left="349"/>
              <w:jc w:val="both"/>
              <w:rPr>
                <w:rFonts w:ascii="Times New Roman" w:eastAsia="Times New Roman" w:hAnsi="Times New Roman"/>
                <w:sz w:val="24"/>
                <w:szCs w:val="24"/>
                <w:highlight w:val="white"/>
              </w:rPr>
            </w:pPr>
          </w:p>
          <w:p w:rsidR="0003468E" w:rsidRDefault="00EA11F8">
            <w:pPr>
              <w:widowControl w:val="0"/>
              <w:spacing w:before="240" w:after="0" w:line="240" w:lineRule="auto"/>
              <w:ind w:firstLine="540"/>
              <w:jc w:val="both"/>
              <w:rPr>
                <w:rFonts w:ascii="Times New Roman" w:eastAsia="Times New Roman" w:hAnsi="Times New Roman"/>
                <w:sz w:val="24"/>
                <w:szCs w:val="24"/>
                <w:highlight w:val="white"/>
              </w:rPr>
            </w:pPr>
            <w:r>
              <w:rPr>
                <w:rFonts w:ascii="Times New Roman" w:eastAsia="Times New Roman" w:hAnsi="Times New Roman"/>
                <w:b/>
                <w:i/>
                <w:sz w:val="24"/>
                <w:szCs w:val="24"/>
                <w:highlight w:val="white"/>
                <w:lang w:eastAsia="ru-RU"/>
              </w:rPr>
              <w:t>В отношении одной позиции товара, указанной в извещении об осуществлении закупки участник закупки указывает не более одного номера реестровой записи из реестра российской промышленной продукции, за исключением случаев закупки технически сложных, многокомпонентных  товаров или комплектов товаров, состоящих из нескольких самостоятельных товаров, имеющих отдельные номера реестровой записи в реестре российской промышленной продукции.</w:t>
            </w:r>
          </w:p>
          <w:p w:rsidR="0003468E" w:rsidRDefault="00EA11F8">
            <w:pPr>
              <w:widowControl w:val="0"/>
              <w:spacing w:before="300" w:after="0" w:line="240" w:lineRule="auto"/>
              <w:ind w:firstLine="540"/>
              <w:jc w:val="both"/>
              <w:rPr>
                <w:rFonts w:ascii="Times New Roman" w:eastAsia="Times New Roman" w:hAnsi="Times New Roman"/>
                <w:b/>
                <w:i/>
                <w:color w:val="FF0000"/>
                <w:sz w:val="24"/>
                <w:szCs w:val="24"/>
                <w:highlight w:val="white"/>
              </w:rPr>
            </w:pPr>
            <w:r>
              <w:rPr>
                <w:rFonts w:ascii="Times New Roman" w:eastAsia="Times New Roman" w:hAnsi="Times New Roman"/>
                <w:b/>
                <w:i/>
                <w:color w:val="FF0000"/>
                <w:sz w:val="24"/>
                <w:szCs w:val="24"/>
                <w:highlight w:val="white"/>
                <w:lang w:eastAsia="ru-RU"/>
              </w:rPr>
              <w:t xml:space="preserve">Для товаров из </w:t>
            </w:r>
            <w:r>
              <w:rPr>
                <w:rFonts w:ascii="Times New Roman" w:eastAsia="Times New Roman" w:hAnsi="Times New Roman"/>
                <w:b/>
                <w:bCs/>
                <w:i/>
                <w:color w:val="FF0000"/>
                <w:sz w:val="24"/>
                <w:szCs w:val="24"/>
                <w:highlight w:val="white"/>
                <w:lang w:eastAsia="ru-RU"/>
              </w:rPr>
              <w:t>государств - членов Евразийского экономического союза,</w:t>
            </w:r>
            <w:r>
              <w:rPr>
                <w:rFonts w:ascii="Times New Roman" w:hAnsi="Times New Roman"/>
                <w:i/>
                <w:color w:val="FF0000"/>
                <w:sz w:val="24"/>
                <w:szCs w:val="24"/>
                <w:highlight w:val="white"/>
              </w:rPr>
              <w:t xml:space="preserve"> </w:t>
            </w:r>
            <w:r>
              <w:rPr>
                <w:rFonts w:ascii="Times New Roman" w:eastAsia="Times New Roman" w:hAnsi="Times New Roman"/>
                <w:b/>
                <w:bCs/>
                <w:i/>
                <w:color w:val="FF0000"/>
                <w:sz w:val="24"/>
                <w:szCs w:val="24"/>
                <w:highlight w:val="white"/>
                <w:lang w:eastAsia="ru-RU"/>
              </w:rPr>
              <w:t>за исключением Российской Федерации:</w:t>
            </w:r>
          </w:p>
          <w:p w:rsidR="0003468E" w:rsidRDefault="00EA11F8">
            <w:pPr>
              <w:widowControl w:val="0"/>
              <w:spacing w:before="300" w:after="0" w:line="240" w:lineRule="auto"/>
              <w:ind w:firstLine="540"/>
              <w:jc w:val="both"/>
              <w:rPr>
                <w:rFonts w:ascii="Times New Roman" w:eastAsia="Times New Roman" w:hAnsi="Times New Roman"/>
                <w:sz w:val="24"/>
                <w:szCs w:val="24"/>
                <w:highlight w:val="white"/>
              </w:rPr>
            </w:pPr>
            <w:r>
              <w:rPr>
                <w:rFonts w:ascii="Times New Roman" w:eastAsia="Times New Roman" w:hAnsi="Times New Roman"/>
                <w:b/>
                <w:sz w:val="24"/>
                <w:szCs w:val="24"/>
                <w:highlight w:val="white"/>
                <w:lang w:eastAsia="ru-RU"/>
              </w:rPr>
              <w:t>Н</w:t>
            </w:r>
            <w:r>
              <w:rPr>
                <w:rFonts w:ascii="Times New Roman" w:eastAsia="Times New Roman" w:hAnsi="Times New Roman"/>
                <w:b/>
                <w:bCs/>
                <w:sz w:val="24"/>
                <w:szCs w:val="24"/>
                <w:highlight w:val="white"/>
                <w:lang w:eastAsia="ru-RU"/>
              </w:rPr>
              <w:t>омер реестровой записи из евразийского реестра промышленных товаров государств - членов Евразийского экономического союза</w:t>
            </w:r>
            <w:r>
              <w:rPr>
                <w:rFonts w:ascii="Times New Roman" w:eastAsia="Times New Roman" w:hAnsi="Times New Roman"/>
                <w:sz w:val="24"/>
                <w:szCs w:val="24"/>
                <w:highlight w:val="white"/>
                <w:lang w:eastAsia="ru-RU"/>
              </w:rPr>
              <w:t>, порядок формирования и ведения которого устанавливается правом Евразийского экономического союза (далее - евразийский реестр промышленных товаров), содержащей в том числе:</w:t>
            </w:r>
          </w:p>
          <w:p w:rsidR="0003468E" w:rsidRDefault="00EA11F8">
            <w:pPr>
              <w:widowControl w:val="0"/>
              <w:spacing w:before="240" w:after="0" w:line="240" w:lineRule="auto"/>
              <w:ind w:firstLine="540"/>
              <w:jc w:val="both"/>
              <w:rPr>
                <w:rFonts w:ascii="Times New Roman" w:eastAsia="Times New Roman" w:hAnsi="Times New Roman"/>
                <w:sz w:val="20"/>
                <w:szCs w:val="20"/>
                <w:highlight w:val="white"/>
              </w:rPr>
            </w:pPr>
            <w:r>
              <w:rPr>
                <w:rFonts w:ascii="Times New Roman" w:eastAsia="Times New Roman" w:hAnsi="Times New Roman"/>
                <w:b/>
                <w:bCs/>
                <w:sz w:val="24"/>
                <w:szCs w:val="24"/>
                <w:highlight w:val="white"/>
                <w:lang w:eastAsia="ru-RU"/>
              </w:rPr>
              <w:lastRenderedPageBreak/>
              <w:t>информацию о совокупном количестве баллов</w:t>
            </w:r>
            <w:r>
              <w:rPr>
                <w:rFonts w:ascii="Times New Roman" w:eastAsia="Times New Roman" w:hAnsi="Times New Roman"/>
                <w:sz w:val="24"/>
                <w:szCs w:val="24"/>
                <w:highlight w:val="white"/>
                <w:lang w:eastAsia="ru-RU"/>
              </w:rPr>
              <w:t xml:space="preserve"> за выполнение (освоение) на территории Евразийского экономического союза соответствующих операций (условий), которое составляет или превышает значение, определенное правом Евразийского экономического союза</w:t>
            </w:r>
            <w:r>
              <w:rPr>
                <w:rFonts w:ascii="Times New Roman" w:eastAsia="Times New Roman" w:hAnsi="Times New Roman"/>
                <w:i/>
                <w:sz w:val="24"/>
                <w:szCs w:val="24"/>
                <w:highlight w:val="white"/>
                <w:lang w:eastAsia="ru-RU"/>
              </w:rPr>
              <w:t xml:space="preserve">                                         </w:t>
            </w:r>
            <w:r>
              <w:rPr>
                <w:rFonts w:ascii="Times New Roman" w:eastAsia="Times New Roman" w:hAnsi="Times New Roman"/>
                <w:i/>
                <w:sz w:val="20"/>
                <w:szCs w:val="20"/>
                <w:highlight w:val="white"/>
                <w:lang w:eastAsia="ru-RU"/>
              </w:rPr>
              <w:t>(данная информация должна содержаться в реестровой записи только при закупке тех товаров, в отношении которых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w:t>
            </w:r>
            <w:r>
              <w:rPr>
                <w:rFonts w:ascii="Times New Roman" w:eastAsia="Times New Roman" w:hAnsi="Times New Roman"/>
                <w:sz w:val="20"/>
                <w:szCs w:val="20"/>
                <w:highlight w:val="white"/>
                <w:lang w:eastAsia="ru-RU"/>
              </w:rPr>
              <w:t>)</w:t>
            </w:r>
          </w:p>
          <w:p w:rsidR="0003468E" w:rsidRDefault="00EA11F8">
            <w:pPr>
              <w:widowControl w:val="0"/>
              <w:spacing w:before="240" w:after="0" w:line="240" w:lineRule="auto"/>
              <w:ind w:firstLine="540"/>
              <w:jc w:val="both"/>
              <w:rPr>
                <w:rFonts w:ascii="Times New Roman" w:eastAsia="Times New Roman" w:hAnsi="Times New Roman"/>
                <w:sz w:val="20"/>
                <w:szCs w:val="20"/>
                <w:highlight w:val="white"/>
              </w:rPr>
            </w:pPr>
            <w:r>
              <w:rPr>
                <w:rFonts w:ascii="Times New Roman" w:eastAsia="Times New Roman" w:hAnsi="Times New Roman"/>
                <w:i/>
                <w:iCs/>
                <w:color w:val="000000"/>
                <w:sz w:val="24"/>
                <w:highlight w:val="white"/>
              </w:rPr>
              <w:t xml:space="preserve">До внесения изменений в право Евразийского экономического союза, предусматривающих подтверждение страны происхождения товаров, указанных в приложении N 1  к постановлению Правительства РФ 1875, путем предоставления информации из евразийского реестра промышленных товаров, документом, подтверждающим происхождение таких товаров из государств - членов Евразийского экономического союза, за исключением Российской Федерации, является </w:t>
            </w:r>
            <w:r>
              <w:rPr>
                <w:rFonts w:ascii="Times New Roman" w:eastAsia="Times New Roman" w:hAnsi="Times New Roman"/>
                <w:b/>
                <w:bCs/>
                <w:i/>
                <w:iCs/>
                <w:color w:val="000000"/>
                <w:sz w:val="24"/>
                <w:highlight w:val="white"/>
              </w:rPr>
              <w:t>сертификат о происхождении товара, выданный уполномоченным органом (организацией) государства</w:t>
            </w:r>
            <w:r>
              <w:rPr>
                <w:rFonts w:ascii="Times New Roman" w:eastAsia="Times New Roman" w:hAnsi="Times New Roman"/>
                <w:i/>
                <w:iCs/>
                <w:color w:val="000000"/>
                <w:sz w:val="24"/>
                <w:highlight w:val="white"/>
              </w:rPr>
              <w:t xml:space="preserve"> - члена Евразийского экономического союза по форме, установленной </w:t>
            </w:r>
            <w:hyperlink r:id="rId24" w:tooltip="https://login.consultant.ru/link/?req=doc&amp;base=LAW&amp;n=451182&amp;dst=100024&amp;field=134&amp;date=03.09.2025" w:history="1">
              <w:r>
                <w:rPr>
                  <w:rStyle w:val="af"/>
                  <w:rFonts w:ascii="Times New Roman" w:eastAsia="Times New Roman" w:hAnsi="Times New Roman"/>
                  <w:i/>
                  <w:iCs/>
                  <w:sz w:val="24"/>
                  <w:highlight w:val="white"/>
                  <w:u w:val="none"/>
                </w:rPr>
                <w:t>Правилами</w:t>
              </w:r>
            </w:hyperlink>
            <w:r>
              <w:rPr>
                <w:rFonts w:ascii="Times New Roman" w:eastAsia="Times New Roman" w:hAnsi="Times New Roman"/>
                <w:i/>
                <w:iCs/>
                <w:color w:val="000000"/>
                <w:sz w:val="24"/>
                <w:highlight w:val="white"/>
              </w:rPr>
              <w:t xml:space="preserve"> определения страны происхождения товаров, и в соответствии с критериями определения страны происхождения товаров, предусмотренными </w:t>
            </w:r>
            <w:hyperlink r:id="rId25" w:tooltip="https://login.consultant.ru/link/?req=doc&amp;base=LAW&amp;n=451182&amp;dst=100024&amp;field=134&amp;date=03.09.2025" w:history="1">
              <w:r>
                <w:rPr>
                  <w:rStyle w:val="af"/>
                  <w:rFonts w:ascii="Times New Roman" w:eastAsia="Times New Roman" w:hAnsi="Times New Roman"/>
                  <w:i/>
                  <w:iCs/>
                  <w:sz w:val="24"/>
                  <w:highlight w:val="white"/>
                  <w:u w:val="none"/>
                </w:rPr>
                <w:t>Правилами</w:t>
              </w:r>
            </w:hyperlink>
            <w:r>
              <w:rPr>
                <w:rFonts w:ascii="Times New Roman" w:eastAsia="Times New Roman" w:hAnsi="Times New Roman"/>
                <w:i/>
                <w:iCs/>
                <w:color w:val="000000"/>
                <w:sz w:val="24"/>
                <w:highlight w:val="white"/>
              </w:rPr>
              <w:t xml:space="preserve"> определения страны происхождения товаров.</w:t>
            </w:r>
          </w:p>
          <w:p w:rsidR="0003468E" w:rsidRDefault="00EA11F8">
            <w:pPr>
              <w:widowControl w:val="0"/>
              <w:spacing w:before="240" w:after="0" w:line="240" w:lineRule="auto"/>
              <w:ind w:firstLine="540"/>
              <w:jc w:val="both"/>
              <w:rPr>
                <w:rFonts w:ascii="Times New Roman" w:eastAsia="Times New Roman" w:hAnsi="Times New Roman"/>
                <w:sz w:val="24"/>
                <w:szCs w:val="24"/>
                <w:highlight w:val="white"/>
              </w:rPr>
            </w:pPr>
            <w:r>
              <w:rPr>
                <w:rFonts w:ascii="Times New Roman" w:eastAsia="Times New Roman" w:hAnsi="Times New Roman"/>
                <w:i/>
                <w:sz w:val="24"/>
                <w:szCs w:val="24"/>
                <w:highlight w:val="white"/>
                <w:lang w:eastAsia="ru-RU"/>
              </w:rPr>
              <w:t>В отношении одной позиции товара, указанной в извещении об осуществлении закупки участник закупки указывает не более одного номера реестровой записи из реестра евразийской промышленной продукции, за исключением случаев закупки технически сложных, многокомпонентных  товаров или комплектов товаров, состоящих из нескольких самостоятельных товаров, имеющих отдельные номера реестровой записи в реестре евразийской промышленной продукции.</w:t>
            </w:r>
          </w:p>
          <w:p w:rsidR="0003468E" w:rsidRDefault="0003468E">
            <w:pPr>
              <w:widowControl w:val="0"/>
              <w:spacing w:after="0" w:line="240" w:lineRule="auto"/>
              <w:ind w:firstLine="567"/>
              <w:rPr>
                <w:rFonts w:ascii="Times New Roman" w:eastAsia="Times New Roman" w:hAnsi="Times New Roman"/>
                <w:strike/>
                <w:sz w:val="24"/>
                <w:szCs w:val="24"/>
                <w:highlight w:val="white"/>
              </w:rPr>
            </w:pPr>
          </w:p>
        </w:tc>
      </w:tr>
      <w:tr w:rsidR="0003468E">
        <w:tc>
          <w:tcPr>
            <w:tcW w:w="2703"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lastRenderedPageBreak/>
              <w:t>ПРОГРАММНОЕ ОБЕСПЕЧЕНИЕ (позиция146 перечня № 1)</w:t>
            </w:r>
          </w:p>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подп. «</w:t>
            </w:r>
            <w:hyperlink r:id="rId26" w:anchor="_blank" w:history="1">
              <w:r>
                <w:rPr>
                  <w:rFonts w:ascii="Times New Roman" w:eastAsia="Times New Roman" w:hAnsi="Times New Roman"/>
                  <w:color w:val="0000FF"/>
                  <w:sz w:val="24"/>
                  <w:szCs w:val="24"/>
                  <w:highlight w:val="white"/>
                  <w:u w:val="single"/>
                  <w:lang w:eastAsia="ru-RU"/>
                </w:rPr>
                <w:t>г</w:t>
              </w:r>
            </w:hyperlink>
            <w:r>
              <w:rPr>
                <w:rFonts w:ascii="Times New Roman" w:eastAsia="Times New Roman" w:hAnsi="Times New Roman"/>
                <w:sz w:val="24"/>
                <w:szCs w:val="24"/>
                <w:highlight w:val="white"/>
                <w:lang w:eastAsia="ru-RU"/>
              </w:rPr>
              <w:t>»–«</w:t>
            </w:r>
            <w:hyperlink r:id="rId27" w:anchor="_blank" w:history="1">
              <w:r>
                <w:rPr>
                  <w:rFonts w:ascii="Times New Roman" w:eastAsia="Times New Roman" w:hAnsi="Times New Roman"/>
                  <w:color w:val="0000FF"/>
                  <w:sz w:val="24"/>
                  <w:szCs w:val="24"/>
                  <w:highlight w:val="white"/>
                  <w:u w:val="single"/>
                  <w:lang w:eastAsia="ru-RU"/>
                </w:rPr>
                <w:t>ж</w:t>
              </w:r>
            </w:hyperlink>
            <w:r>
              <w:rPr>
                <w:rFonts w:ascii="Times New Roman" w:eastAsia="Times New Roman" w:hAnsi="Times New Roman"/>
                <w:sz w:val="24"/>
                <w:szCs w:val="24"/>
                <w:highlight w:val="white"/>
                <w:lang w:eastAsia="ru-RU"/>
              </w:rPr>
              <w:t>» п. 3 ПП РФ № 1875</w:t>
            </w:r>
          </w:p>
        </w:tc>
        <w:tc>
          <w:tcPr>
            <w:tcW w:w="6651" w:type="dxa"/>
            <w:tcBorders>
              <w:top w:val="single" w:sz="4" w:space="0" w:color="000000"/>
              <w:left w:val="single" w:sz="4" w:space="0" w:color="000000"/>
              <w:bottom w:val="single" w:sz="4" w:space="0" w:color="000000"/>
              <w:right w:val="single" w:sz="4" w:space="0" w:color="000000"/>
            </w:tcBorders>
          </w:tcPr>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highlight w:val="white"/>
              </w:rPr>
            </w:pPr>
            <w:r>
              <w:rPr>
                <w:rFonts w:ascii="Times New Roman" w:eastAsia="Times New Roman" w:hAnsi="Times New Roman"/>
                <w:color w:val="000000"/>
                <w:sz w:val="24"/>
                <w:highlight w:val="white"/>
              </w:rPr>
              <w:t>- для подтверждения происхождения программного обеспечения и</w:t>
            </w:r>
            <w:r>
              <w:rPr>
                <w:rFonts w:ascii="Times New Roman" w:eastAsia="Times New Roman" w:hAnsi="Times New Roman"/>
                <w:b/>
                <w:bCs/>
                <w:color w:val="000000"/>
                <w:sz w:val="24"/>
                <w:highlight w:val="white"/>
              </w:rPr>
              <w:t>з Российской Федерации</w:t>
            </w:r>
            <w:r>
              <w:rPr>
                <w:rFonts w:ascii="Times New Roman" w:eastAsia="Times New Roman" w:hAnsi="Times New Roman"/>
                <w:color w:val="000000"/>
                <w:sz w:val="24"/>
                <w:highlight w:val="white"/>
              </w:rPr>
              <w:t xml:space="preserve"> и его соответствия требованиям</w:t>
            </w:r>
            <w:r>
              <w:rPr>
                <w:rFonts w:ascii="Times New Roman" w:eastAsia="Times New Roman" w:hAnsi="Times New Roman"/>
                <w:i/>
                <w:color w:val="000000"/>
                <w:sz w:val="24"/>
                <w:highlight w:val="white"/>
              </w:rPr>
              <w:t xml:space="preserve">, установленным </w:t>
            </w:r>
            <w:hyperlink r:id="rId28" w:anchor="/document/411824730/entry/237" w:tooltip="https://internet.garant.ru/#/document/411824730/entry/237" w:history="1">
              <w:r>
                <w:rPr>
                  <w:rStyle w:val="af"/>
                  <w:rFonts w:ascii="Times New Roman" w:eastAsia="Times New Roman" w:hAnsi="Times New Roman"/>
                  <w:i/>
                  <w:color w:val="0000EE"/>
                  <w:sz w:val="24"/>
                  <w:highlight w:val="white"/>
                </w:rPr>
                <w:t>частями 3</w:t>
              </w:r>
              <w:r>
                <w:rPr>
                  <w:rStyle w:val="af"/>
                  <w:rFonts w:ascii="Times New Roman" w:eastAsia="Times New Roman" w:hAnsi="Times New Roman"/>
                  <w:i/>
                  <w:color w:val="0000EE"/>
                  <w:sz w:val="20"/>
                  <w:highlight w:val="white"/>
                  <w:vertAlign w:val="superscript"/>
                </w:rPr>
                <w:t> 7</w:t>
              </w:r>
            </w:hyperlink>
            <w:r>
              <w:rPr>
                <w:rFonts w:ascii="Times New Roman" w:eastAsia="Times New Roman" w:hAnsi="Times New Roman"/>
                <w:color w:val="000000"/>
                <w:sz w:val="24"/>
                <w:highlight w:val="white"/>
              </w:rPr>
              <w:t xml:space="preserve"> и </w:t>
            </w:r>
            <w:hyperlink r:id="rId29" w:anchor="/document/411824730/entry/239" w:tooltip="https://internet.garant.ru/#/document/411824730/entry/239" w:history="1">
              <w:r>
                <w:rPr>
                  <w:rStyle w:val="af"/>
                  <w:rFonts w:ascii="Times New Roman" w:eastAsia="Times New Roman" w:hAnsi="Times New Roman"/>
                  <w:i/>
                  <w:color w:val="0000EE"/>
                  <w:sz w:val="24"/>
                  <w:highlight w:val="white"/>
                </w:rPr>
                <w:t>3</w:t>
              </w:r>
              <w:r>
                <w:rPr>
                  <w:rStyle w:val="af"/>
                  <w:rFonts w:ascii="Times New Roman" w:eastAsia="Times New Roman" w:hAnsi="Times New Roman"/>
                  <w:i/>
                  <w:color w:val="0000EE"/>
                  <w:sz w:val="20"/>
                  <w:highlight w:val="white"/>
                  <w:vertAlign w:val="superscript"/>
                </w:rPr>
                <w:t> 9</w:t>
              </w:r>
              <w:r>
                <w:rPr>
                  <w:rStyle w:val="af"/>
                  <w:rFonts w:ascii="Times New Roman" w:eastAsia="Times New Roman" w:hAnsi="Times New Roman"/>
                  <w:i/>
                  <w:color w:val="0000EE"/>
                  <w:sz w:val="24"/>
                  <w:highlight w:val="white"/>
                </w:rPr>
                <w:t xml:space="preserve"> статьи 2</w:t>
              </w:r>
            </w:hyperlink>
            <w:r>
              <w:rPr>
                <w:rFonts w:ascii="Times New Roman" w:eastAsia="Times New Roman" w:hAnsi="Times New Roman"/>
                <w:i/>
                <w:color w:val="000000"/>
                <w:sz w:val="24"/>
                <w:highlight w:val="white"/>
              </w:rPr>
              <w:t xml:space="preserve"> Федерального закона</w:t>
            </w:r>
            <w:r>
              <w:rPr>
                <w:rFonts w:ascii="Times New Roman" w:eastAsia="Times New Roman" w:hAnsi="Times New Roman"/>
                <w:color w:val="000000"/>
                <w:sz w:val="24"/>
                <w:highlight w:val="white"/>
              </w:rPr>
              <w:t xml:space="preserve"> "</w:t>
            </w:r>
            <w:r>
              <w:rPr>
                <w:rFonts w:ascii="Times New Roman" w:eastAsia="Times New Roman" w:hAnsi="Times New Roman"/>
                <w:i/>
                <w:color w:val="000000"/>
                <w:sz w:val="24"/>
                <w:highlight w:val="white"/>
              </w:rPr>
              <w:t>О</w:t>
            </w:r>
            <w:r>
              <w:rPr>
                <w:rFonts w:ascii="Times New Roman" w:eastAsia="Times New Roman" w:hAnsi="Times New Roman"/>
                <w:color w:val="000000"/>
                <w:sz w:val="24"/>
                <w:highlight w:val="white"/>
              </w:rPr>
              <w:t xml:space="preserve"> внесении изменений в </w:t>
            </w:r>
            <w:r>
              <w:rPr>
                <w:rFonts w:ascii="Times New Roman" w:eastAsia="Times New Roman" w:hAnsi="Times New Roman"/>
                <w:i/>
                <w:color w:val="000000"/>
                <w:sz w:val="24"/>
                <w:highlight w:val="white"/>
              </w:rPr>
              <w:t>Федеральный закон "О безопасности критической информационной инфраструктуры Российской Федерации</w:t>
            </w:r>
            <w:r>
              <w:rPr>
                <w:rFonts w:ascii="Times New Roman" w:eastAsia="Times New Roman" w:hAnsi="Times New Roman"/>
                <w:color w:val="000000"/>
                <w:sz w:val="24"/>
                <w:highlight w:val="white"/>
              </w:rPr>
              <w:t xml:space="preserve">" (далее - требования к </w:t>
            </w:r>
            <w:r>
              <w:rPr>
                <w:rFonts w:ascii="Times New Roman" w:eastAsia="Times New Roman" w:hAnsi="Times New Roman"/>
                <w:i/>
                <w:color w:val="000000"/>
                <w:sz w:val="24"/>
                <w:highlight w:val="white"/>
              </w:rPr>
              <w:t>доверенному</w:t>
            </w:r>
            <w:r>
              <w:rPr>
                <w:rFonts w:ascii="Times New Roman" w:eastAsia="Times New Roman" w:hAnsi="Times New Roman"/>
                <w:color w:val="000000"/>
                <w:sz w:val="24"/>
                <w:highlight w:val="white"/>
              </w:rPr>
              <w:t xml:space="preserve">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требованиям к </w:t>
            </w:r>
            <w:r>
              <w:rPr>
                <w:rFonts w:ascii="Times New Roman" w:eastAsia="Times New Roman" w:hAnsi="Times New Roman"/>
                <w:i/>
                <w:color w:val="000000"/>
                <w:sz w:val="24"/>
                <w:highlight w:val="white"/>
              </w:rPr>
              <w:t>доверенному</w:t>
            </w:r>
            <w:r>
              <w:rPr>
                <w:rFonts w:ascii="Times New Roman" w:eastAsia="Times New Roman" w:hAnsi="Times New Roman"/>
                <w:color w:val="000000"/>
                <w:sz w:val="24"/>
                <w:highlight w:val="white"/>
              </w:rPr>
              <w:t xml:space="preserve"> программному обеспечению;</w:t>
            </w:r>
            <w:r>
              <w:rPr>
                <w:rFonts w:ascii="Times New Roman" w:eastAsia="Times New Roman" w:hAnsi="Times New Roman"/>
                <w:color w:val="000000"/>
                <w:sz w:val="24"/>
                <w:highlight w:val="white"/>
              </w:rPr>
              <w:br/>
            </w:r>
          </w:p>
          <w:p w:rsidR="0003468E" w:rsidRDefault="00EA11F8">
            <w:pPr>
              <w:pBdr>
                <w:top w:val="none" w:sz="4" w:space="0" w:color="000000"/>
                <w:left w:val="none" w:sz="4" w:space="0" w:color="000000"/>
                <w:bottom w:val="none" w:sz="4" w:space="0" w:color="000000"/>
                <w:right w:val="none" w:sz="4" w:space="0" w:color="000000"/>
              </w:pBdr>
              <w:spacing w:before="168" w:after="0" w:line="288" w:lineRule="atLeast"/>
              <w:ind w:firstLine="540"/>
              <w:jc w:val="both"/>
              <w:rPr>
                <w:bCs/>
                <w:i/>
                <w:highlight w:val="white"/>
              </w:rPr>
            </w:pPr>
            <w:r>
              <w:rPr>
                <w:rFonts w:ascii="Times New Roman" w:eastAsia="Times New Roman" w:hAnsi="Times New Roman"/>
                <w:color w:val="000000"/>
                <w:sz w:val="24"/>
                <w:highlight w:val="white"/>
              </w:rPr>
              <w:lastRenderedPageBreak/>
              <w:t xml:space="preserve">- для подтверждения происхождения программного обеспечения </w:t>
            </w:r>
            <w:r>
              <w:rPr>
                <w:rFonts w:ascii="Times New Roman" w:eastAsia="Times New Roman" w:hAnsi="Times New Roman"/>
                <w:b/>
                <w:bCs/>
                <w:color w:val="000000"/>
                <w:sz w:val="24"/>
                <w:highlight w:val="white"/>
              </w:rPr>
              <w:t>из государств - членов Евразийского экономического союза, за исключением Российской Федерации</w:t>
            </w:r>
            <w:r>
              <w:rPr>
                <w:rFonts w:ascii="Times New Roman" w:eastAsia="Times New Roman" w:hAnsi="Times New Roman"/>
                <w:color w:val="000000"/>
                <w:sz w:val="24"/>
                <w:highlight w:val="white"/>
              </w:rPr>
              <w:t xml:space="preserve">,              - </w:t>
            </w:r>
            <w:r>
              <w:rPr>
                <w:rFonts w:ascii="Times New Roman" w:eastAsia="Times New Roman" w:hAnsi="Times New Roman"/>
                <w:i/>
                <w:iCs/>
                <w:color w:val="000000"/>
                <w:sz w:val="24"/>
                <w:highlight w:val="white"/>
              </w:rPr>
              <w:t>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03468E" w:rsidRDefault="00EA11F8">
            <w:pPr>
              <w:pBdr>
                <w:top w:val="none" w:sz="4" w:space="0" w:color="000000"/>
                <w:left w:val="none" w:sz="4" w:space="0" w:color="000000"/>
                <w:bottom w:val="none" w:sz="4" w:space="0" w:color="000000"/>
                <w:right w:val="none" w:sz="4" w:space="0" w:color="000000"/>
              </w:pBdr>
              <w:spacing w:before="168" w:after="0" w:line="288" w:lineRule="atLeast"/>
              <w:ind w:firstLine="540"/>
              <w:jc w:val="both"/>
              <w:rPr>
                <w:bCs/>
                <w:i/>
                <w:highlight w:val="white"/>
              </w:rPr>
            </w:pPr>
            <w:r>
              <w:rPr>
                <w:rFonts w:ascii="Times New Roman" w:eastAsia="Times New Roman" w:hAnsi="Times New Roman"/>
                <w:color w:val="000000"/>
                <w:sz w:val="24"/>
                <w:highlight w:val="white"/>
              </w:rPr>
              <w:t xml:space="preserve"> - для подтверждения происхождения программного обеспечения из государств - членов Евразийского экономического союза, за исключением Российской Федерации, и его соответствия </w:t>
            </w:r>
            <w:hyperlink r:id="rId30" w:tooltip="https://login.consultant.ru/link/?req=doc&amp;base=LAW&amp;n=301290&amp;dst=100017&amp;field=134&amp;date=03.02.2026" w:history="1">
              <w:r>
                <w:rPr>
                  <w:rStyle w:val="af"/>
                  <w:rFonts w:ascii="Times New Roman" w:eastAsia="Times New Roman" w:hAnsi="Times New Roman"/>
                  <w:sz w:val="24"/>
                  <w:highlight w:val="white"/>
                  <w:u w:val="none"/>
                </w:rPr>
                <w:t>требованиям</w:t>
              </w:r>
            </w:hyperlink>
            <w:r>
              <w:rPr>
                <w:rFonts w:ascii="Times New Roman" w:eastAsia="Times New Roman" w:hAnsi="Times New Roman"/>
                <w:color w:val="000000"/>
                <w:sz w:val="24"/>
                <w:highlight w:val="white"/>
              </w:rPr>
              <w:t xml:space="preserve"> к доверенному программному обеспечению - </w:t>
            </w:r>
            <w:r>
              <w:rPr>
                <w:rFonts w:ascii="Times New Roman" w:eastAsia="Times New Roman" w:hAnsi="Times New Roman"/>
                <w:i/>
                <w:iCs/>
                <w:color w:val="000000"/>
                <w:sz w:val="24"/>
                <w:highlight w:val="white"/>
              </w:rPr>
              <w:t xml:space="preserve">порядковый номер реестровой записи из реестра евразийского программного обеспечения, содержащей информацию о соответствии программного обеспечения </w:t>
            </w:r>
            <w:hyperlink r:id="rId31" w:tooltip="https://login.consultant.ru/link/?req=doc&amp;base=LAW&amp;n=301290&amp;dst=100017&amp;field=134&amp;date=03.02.2026" w:history="1">
              <w:r>
                <w:rPr>
                  <w:rStyle w:val="af"/>
                  <w:rFonts w:ascii="Times New Roman" w:eastAsia="Times New Roman" w:hAnsi="Times New Roman"/>
                  <w:i/>
                  <w:iCs/>
                  <w:sz w:val="24"/>
                  <w:highlight w:val="white"/>
                  <w:u w:val="none"/>
                </w:rPr>
                <w:t>требованиям</w:t>
              </w:r>
            </w:hyperlink>
            <w:r>
              <w:rPr>
                <w:rFonts w:ascii="Times New Roman" w:eastAsia="Times New Roman" w:hAnsi="Times New Roman"/>
                <w:i/>
                <w:iCs/>
                <w:color w:val="000000"/>
                <w:sz w:val="24"/>
                <w:highlight w:val="white"/>
              </w:rPr>
              <w:t xml:space="preserve"> к доверенному программному обеспечению.</w:t>
            </w:r>
          </w:p>
          <w:p w:rsidR="0003468E" w:rsidRDefault="0003468E">
            <w:pPr>
              <w:widowControl w:val="0"/>
              <w:spacing w:after="0" w:line="240" w:lineRule="auto"/>
              <w:ind w:firstLine="567"/>
              <w:jc w:val="both"/>
              <w:rPr>
                <w:rFonts w:ascii="Times New Roman" w:eastAsia="Times New Roman" w:hAnsi="Times New Roman"/>
                <w:i/>
                <w:iCs/>
                <w:sz w:val="24"/>
                <w:szCs w:val="24"/>
                <w:highlight w:val="white"/>
              </w:rPr>
            </w:pPr>
          </w:p>
          <w:p w:rsidR="0003468E" w:rsidRDefault="00EA11F8">
            <w:pPr>
              <w:widowControl w:val="0"/>
              <w:spacing w:after="0" w:line="240" w:lineRule="auto"/>
              <w:ind w:firstLine="567"/>
              <w:jc w:val="both"/>
              <w:rPr>
                <w:rFonts w:ascii="Times New Roman" w:eastAsia="Times New Roman" w:hAnsi="Times New Roman"/>
                <w:i/>
                <w:sz w:val="20"/>
                <w:szCs w:val="20"/>
                <w:highlight w:val="white"/>
              </w:rPr>
            </w:pPr>
            <w:r>
              <w:rPr>
                <w:rFonts w:ascii="Times New Roman" w:eastAsia="Times New Roman" w:hAnsi="Times New Roman"/>
                <w:i/>
                <w:sz w:val="20"/>
                <w:szCs w:val="20"/>
                <w:highlight w:val="white"/>
                <w:lang w:eastAsia="ru-RU"/>
              </w:rPr>
              <w:t>Участник закупки вправе не предоставить указанную информацию только в случае, если в извещении об осуществлении закупки (в описании объекта закупки) отсутствует описание поставляемого (используемого) программного обеспечения</w:t>
            </w:r>
            <w:r>
              <w:rPr>
                <w:rFonts w:ascii="Times New Roman" w:eastAsia="Times New Roman" w:hAnsi="Times New Roman"/>
                <w:i/>
                <w:color w:val="000000"/>
                <w:sz w:val="20"/>
                <w:szCs w:val="20"/>
                <w:highlight w:val="white"/>
                <w:lang w:eastAsia="ru-RU"/>
              </w:rPr>
              <w:t>, а также в случае указания заказчиком в описании объекта закупки конкретного программного обеспечения без возможности поставки  эквивалента.</w:t>
            </w:r>
          </w:p>
          <w:p w:rsidR="0003468E" w:rsidRDefault="0003468E">
            <w:pPr>
              <w:widowControl w:val="0"/>
              <w:spacing w:after="0" w:line="240" w:lineRule="auto"/>
              <w:ind w:firstLine="567"/>
              <w:jc w:val="both"/>
              <w:rPr>
                <w:rFonts w:ascii="Times New Roman" w:eastAsia="Times New Roman" w:hAnsi="Times New Roman"/>
                <w:i/>
                <w:sz w:val="20"/>
                <w:szCs w:val="20"/>
                <w:highlight w:val="white"/>
              </w:rPr>
            </w:pPr>
          </w:p>
        </w:tc>
      </w:tr>
      <w:tr w:rsidR="0003468E">
        <w:tc>
          <w:tcPr>
            <w:tcW w:w="2703" w:type="dxa"/>
            <w:tcBorders>
              <w:top w:val="single" w:sz="4" w:space="0" w:color="000000"/>
              <w:left w:val="single" w:sz="4" w:space="0" w:color="000000"/>
              <w:bottom w:val="single" w:sz="4" w:space="0" w:color="000000"/>
              <w:right w:val="single" w:sz="4" w:space="0" w:color="000000"/>
            </w:tcBorders>
          </w:tcPr>
          <w:p w:rsidR="0003468E" w:rsidRDefault="0003468E">
            <w:pPr>
              <w:widowControl w:val="0"/>
              <w:spacing w:after="0" w:line="240" w:lineRule="auto"/>
              <w:rPr>
                <w:rFonts w:ascii="Times New Roman" w:eastAsia="Times New Roman" w:hAnsi="Times New Roman"/>
                <w:sz w:val="24"/>
                <w:szCs w:val="24"/>
                <w:highlight w:val="white"/>
              </w:rPr>
            </w:pPr>
          </w:p>
          <w:p w:rsidR="0003468E" w:rsidRDefault="0003468E">
            <w:pPr>
              <w:widowControl w:val="0"/>
              <w:spacing w:after="0" w:line="240" w:lineRule="auto"/>
              <w:rPr>
                <w:rFonts w:ascii="Times New Roman" w:eastAsia="Times New Roman" w:hAnsi="Times New Roman"/>
                <w:sz w:val="24"/>
                <w:szCs w:val="24"/>
                <w:highlight w:val="white"/>
              </w:rPr>
            </w:pPr>
          </w:p>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xml:space="preserve">Товары из стран ЕАЭС, не указанные в позициях 1–146 перечня № 1                        </w:t>
            </w:r>
            <w:r>
              <w:rPr>
                <w:rFonts w:ascii="Times New Roman" w:eastAsia="Times New Roman" w:hAnsi="Times New Roman"/>
                <w:color w:val="0000FF"/>
                <w:sz w:val="24"/>
                <w:szCs w:val="24"/>
                <w:highlight w:val="white"/>
                <w:u w:val="single"/>
                <w:lang w:eastAsia="ru-RU"/>
              </w:rPr>
              <w:t>подп. «з»</w:t>
            </w:r>
            <w:r>
              <w:rPr>
                <w:rFonts w:ascii="Times New Roman" w:eastAsia="Times New Roman" w:hAnsi="Times New Roman"/>
                <w:sz w:val="24"/>
                <w:szCs w:val="24"/>
                <w:highlight w:val="white"/>
                <w:lang w:eastAsia="ru-RU"/>
              </w:rPr>
              <w:t xml:space="preserve"> п. 3 ПП РФ № 1875</w:t>
            </w:r>
          </w:p>
        </w:tc>
        <w:tc>
          <w:tcPr>
            <w:tcW w:w="6651" w:type="dxa"/>
            <w:tcBorders>
              <w:top w:val="single" w:sz="4" w:space="0" w:color="000000"/>
              <w:left w:val="single" w:sz="4" w:space="0" w:color="000000"/>
              <w:bottom w:val="single" w:sz="4" w:space="0" w:color="000000"/>
              <w:right w:val="single" w:sz="4" w:space="0" w:color="000000"/>
            </w:tcBorders>
          </w:tcPr>
          <w:p w:rsidR="0003468E" w:rsidRDefault="0003468E">
            <w:pPr>
              <w:widowControl w:val="0"/>
              <w:spacing w:after="0" w:line="240" w:lineRule="auto"/>
              <w:ind w:firstLine="432"/>
              <w:jc w:val="both"/>
              <w:rPr>
                <w:rFonts w:ascii="Times New Roman" w:eastAsia="Times New Roman" w:hAnsi="Times New Roman"/>
                <w:sz w:val="24"/>
                <w:szCs w:val="24"/>
                <w:highlight w:val="white"/>
              </w:rPr>
            </w:pPr>
          </w:p>
          <w:p w:rsidR="0003468E" w:rsidRDefault="0003468E">
            <w:pPr>
              <w:widowControl w:val="0"/>
              <w:spacing w:after="0" w:line="240" w:lineRule="auto"/>
              <w:ind w:firstLine="432"/>
              <w:jc w:val="both"/>
              <w:rPr>
                <w:rFonts w:ascii="Times New Roman" w:eastAsia="Times New Roman" w:hAnsi="Times New Roman"/>
                <w:sz w:val="24"/>
                <w:szCs w:val="24"/>
                <w:highlight w:val="white"/>
              </w:rPr>
            </w:pPr>
          </w:p>
          <w:p w:rsidR="0003468E" w:rsidRDefault="00EA11F8">
            <w:pPr>
              <w:widowControl w:val="0"/>
              <w:spacing w:after="0" w:line="240" w:lineRule="auto"/>
              <w:ind w:firstLine="432"/>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xml:space="preserve">наименование страны происхождения товара, указываемое в порядке, предусмотренном </w:t>
            </w:r>
            <w:hyperlink r:id="rId32" w:anchor="_blank" w:history="1">
              <w:r>
                <w:rPr>
                  <w:rFonts w:ascii="Times New Roman" w:eastAsia="Times New Roman" w:hAnsi="Times New Roman"/>
                  <w:color w:val="0000FF"/>
                  <w:sz w:val="24"/>
                  <w:szCs w:val="24"/>
                  <w:highlight w:val="white"/>
                  <w:u w:val="single"/>
                  <w:lang w:eastAsia="ru-RU"/>
                </w:rPr>
                <w:t>пп</w:t>
              </w:r>
            </w:hyperlink>
            <w:r>
              <w:rPr>
                <w:rFonts w:ascii="Times New Roman" w:eastAsia="Times New Roman" w:hAnsi="Times New Roman"/>
                <w:sz w:val="24"/>
                <w:szCs w:val="24"/>
                <w:highlight w:val="white"/>
                <w:lang w:eastAsia="ru-RU"/>
              </w:rPr>
              <w:t>. «б» пункта 2  части  1  статьи  43  Закона  № 44-ФЗ</w:t>
            </w:r>
          </w:p>
        </w:tc>
      </w:tr>
      <w:tr w:rsidR="0003468E">
        <w:tc>
          <w:tcPr>
            <w:tcW w:w="2703"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Иностранный товар, кроме стран ЕАЭС</w:t>
            </w:r>
          </w:p>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color w:val="0000FF"/>
                <w:sz w:val="24"/>
                <w:szCs w:val="24"/>
                <w:highlight w:val="white"/>
                <w:u w:val="single"/>
                <w:lang w:eastAsia="ru-RU"/>
              </w:rPr>
              <w:t>подп</w:t>
            </w:r>
            <w:bookmarkStart w:id="4" w:name="_Hlt188004865"/>
            <w:r>
              <w:rPr>
                <w:rFonts w:ascii="Times New Roman" w:eastAsia="Times New Roman" w:hAnsi="Times New Roman"/>
                <w:color w:val="0000FF"/>
                <w:sz w:val="24"/>
                <w:szCs w:val="24"/>
                <w:highlight w:val="white"/>
                <w:u w:val="single"/>
                <w:lang w:eastAsia="ru-RU"/>
              </w:rPr>
              <w:t>.</w:t>
            </w:r>
            <w:bookmarkEnd w:id="4"/>
            <w:r>
              <w:rPr>
                <w:rFonts w:ascii="Times New Roman" w:eastAsia="Times New Roman" w:hAnsi="Times New Roman"/>
                <w:color w:val="0000FF"/>
                <w:sz w:val="24"/>
                <w:szCs w:val="24"/>
                <w:highlight w:val="white"/>
                <w:u w:val="single"/>
                <w:lang w:eastAsia="ru-RU"/>
              </w:rPr>
              <w:t xml:space="preserve"> «з»</w:t>
            </w:r>
            <w:r>
              <w:rPr>
                <w:rFonts w:ascii="Times New Roman" w:eastAsia="Times New Roman" w:hAnsi="Times New Roman"/>
                <w:sz w:val="24"/>
                <w:szCs w:val="24"/>
                <w:highlight w:val="white"/>
                <w:lang w:eastAsia="ru-RU"/>
              </w:rPr>
              <w:t xml:space="preserve"> п. 3 ПП РФ № 1875</w:t>
            </w:r>
          </w:p>
        </w:tc>
        <w:tc>
          <w:tcPr>
            <w:tcW w:w="6651"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ind w:firstLine="432"/>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xml:space="preserve">наименование страны происхождения товара, указываемое в порядке, предусмотренном </w:t>
            </w:r>
            <w:hyperlink r:id="rId33" w:anchor="_blank" w:history="1">
              <w:r>
                <w:rPr>
                  <w:rFonts w:ascii="Times New Roman" w:eastAsia="Times New Roman" w:hAnsi="Times New Roman"/>
                  <w:color w:val="0000FF"/>
                  <w:sz w:val="24"/>
                  <w:szCs w:val="24"/>
                  <w:highlight w:val="white"/>
                  <w:u w:val="single"/>
                  <w:lang w:eastAsia="ru-RU"/>
                </w:rPr>
                <w:t>пп</w:t>
              </w:r>
            </w:hyperlink>
            <w:r>
              <w:rPr>
                <w:rFonts w:ascii="Times New Roman" w:eastAsia="Times New Roman" w:hAnsi="Times New Roman"/>
                <w:sz w:val="24"/>
                <w:szCs w:val="24"/>
                <w:highlight w:val="white"/>
                <w:lang w:eastAsia="ru-RU"/>
              </w:rPr>
              <w:t xml:space="preserve">. «б» пункта 2  части  1  статьи  43  Закона  № 44-ФЗ, </w:t>
            </w:r>
            <w:r>
              <w:rPr>
                <w:rFonts w:ascii="Times New Roman" w:eastAsia="Times New Roman" w:hAnsi="Times New Roman"/>
                <w:i/>
                <w:sz w:val="24"/>
                <w:szCs w:val="24"/>
                <w:highlight w:val="white"/>
                <w:lang w:eastAsia="ru-RU"/>
              </w:rPr>
              <w:t>кроме случаев, перечисленных в </w:t>
            </w:r>
            <w:r>
              <w:rPr>
                <w:rFonts w:ascii="Times New Roman" w:eastAsia="Times New Roman" w:hAnsi="Times New Roman"/>
                <w:i/>
                <w:color w:val="0000FF"/>
                <w:sz w:val="24"/>
                <w:szCs w:val="24"/>
                <w:highlight w:val="white"/>
                <w:u w:val="single"/>
                <w:lang w:eastAsia="ru-RU"/>
              </w:rPr>
              <w:t>пункте 3</w:t>
            </w:r>
            <w:r>
              <w:rPr>
                <w:rFonts w:ascii="Times New Roman" w:eastAsia="Times New Roman" w:hAnsi="Times New Roman"/>
                <w:i/>
                <w:sz w:val="24"/>
                <w:szCs w:val="24"/>
                <w:highlight w:val="white"/>
                <w:lang w:eastAsia="ru-RU"/>
              </w:rPr>
              <w:t xml:space="preserve"> Постановления № 1875, при которых предусмотрены иные информация и документы, подтверждающие происхождение товара из ЕАЭС</w:t>
            </w:r>
          </w:p>
        </w:tc>
      </w:tr>
    </w:tbl>
    <w:p w:rsidR="0003468E" w:rsidRDefault="0003468E">
      <w:pPr>
        <w:spacing w:after="0" w:line="240" w:lineRule="auto"/>
        <w:ind w:firstLine="567"/>
        <w:jc w:val="both"/>
        <w:rPr>
          <w:rFonts w:ascii="Times New Roman" w:eastAsia="Times New Roman" w:hAnsi="Times New Roman"/>
          <w:b/>
          <w:bCs/>
          <w:sz w:val="24"/>
          <w:szCs w:val="24"/>
          <w:highlight w:val="white"/>
        </w:rPr>
      </w:pPr>
    </w:p>
    <w:p w:rsidR="0003468E" w:rsidRDefault="0003468E">
      <w:pPr>
        <w:spacing w:after="0" w:line="240" w:lineRule="auto"/>
        <w:ind w:firstLine="567"/>
        <w:jc w:val="both"/>
        <w:rPr>
          <w:rFonts w:ascii="Times New Roman" w:eastAsia="Times New Roman" w:hAnsi="Times New Roman"/>
          <w:b/>
          <w:bCs/>
          <w:sz w:val="24"/>
          <w:szCs w:val="24"/>
          <w:highlight w:val="white"/>
        </w:rPr>
      </w:pPr>
    </w:p>
    <w:p w:rsidR="0003468E" w:rsidRDefault="00EA11F8">
      <w:pPr>
        <w:tabs>
          <w:tab w:val="left" w:pos="1020"/>
        </w:tabs>
        <w:spacing w:after="0" w:line="240" w:lineRule="auto"/>
        <w:ind w:firstLine="567"/>
        <w:jc w:val="both"/>
        <w:rPr>
          <w:rFonts w:ascii="Times New Roman" w:eastAsia="Times New Roman" w:hAnsi="Times New Roman"/>
          <w:b/>
          <w:bCs/>
          <w:sz w:val="24"/>
          <w:szCs w:val="24"/>
          <w:highlight w:val="white"/>
        </w:rPr>
      </w:pPr>
      <w:r>
        <w:rPr>
          <w:rFonts w:ascii="Times New Roman" w:eastAsia="Times New Roman" w:hAnsi="Times New Roman"/>
          <w:b/>
          <w:bCs/>
          <w:sz w:val="24"/>
          <w:szCs w:val="24"/>
          <w:highlight w:val="white"/>
          <w:lang w:eastAsia="ru-RU"/>
        </w:rPr>
        <w:tab/>
      </w:r>
    </w:p>
    <w:p w:rsidR="0003468E" w:rsidRDefault="0003468E">
      <w:pPr>
        <w:tabs>
          <w:tab w:val="left" w:pos="1020"/>
        </w:tabs>
        <w:spacing w:after="0" w:line="240" w:lineRule="auto"/>
        <w:ind w:firstLine="567"/>
        <w:jc w:val="both"/>
        <w:rPr>
          <w:rFonts w:ascii="Times New Roman" w:eastAsia="Times New Roman" w:hAnsi="Times New Roman"/>
          <w:b/>
          <w:bCs/>
          <w:sz w:val="24"/>
          <w:szCs w:val="24"/>
          <w:highlight w:val="white"/>
        </w:rPr>
      </w:pPr>
    </w:p>
    <w:p w:rsidR="0003468E" w:rsidRDefault="0003468E">
      <w:pPr>
        <w:tabs>
          <w:tab w:val="left" w:pos="1020"/>
        </w:tabs>
        <w:spacing w:after="0" w:line="240" w:lineRule="auto"/>
        <w:ind w:firstLine="567"/>
        <w:jc w:val="both"/>
        <w:rPr>
          <w:rFonts w:ascii="Times New Roman" w:eastAsia="Times New Roman" w:hAnsi="Times New Roman"/>
          <w:b/>
          <w:bCs/>
          <w:sz w:val="24"/>
          <w:szCs w:val="24"/>
          <w:highlight w:val="white"/>
        </w:rPr>
      </w:pPr>
    </w:p>
    <w:p w:rsidR="0003468E" w:rsidRDefault="0003468E">
      <w:pPr>
        <w:tabs>
          <w:tab w:val="left" w:pos="1020"/>
        </w:tabs>
        <w:spacing w:after="0" w:line="240" w:lineRule="auto"/>
        <w:ind w:firstLine="567"/>
        <w:jc w:val="both"/>
        <w:rPr>
          <w:rFonts w:ascii="Times New Roman" w:eastAsia="Times New Roman" w:hAnsi="Times New Roman"/>
          <w:b/>
          <w:bCs/>
          <w:sz w:val="24"/>
          <w:szCs w:val="24"/>
          <w:highlight w:val="white"/>
        </w:rPr>
      </w:pPr>
    </w:p>
    <w:p w:rsidR="0003468E" w:rsidRDefault="00EA11F8">
      <w:pPr>
        <w:tabs>
          <w:tab w:val="left" w:pos="1020"/>
        </w:tabs>
        <w:spacing w:after="0" w:line="240" w:lineRule="auto"/>
        <w:ind w:firstLine="567"/>
        <w:jc w:val="both"/>
        <w:rPr>
          <w:rFonts w:ascii="Times New Roman" w:eastAsia="Times New Roman" w:hAnsi="Times New Roman"/>
          <w:sz w:val="24"/>
          <w:szCs w:val="24"/>
          <w:highlight w:val="white"/>
        </w:rPr>
      </w:pPr>
      <w:r>
        <w:rPr>
          <w:rFonts w:ascii="Times New Roman" w:eastAsia="Times New Roman" w:hAnsi="Times New Roman"/>
          <w:b/>
          <w:color w:val="000000"/>
          <w:sz w:val="24"/>
          <w:szCs w:val="24"/>
          <w:highlight w:val="white"/>
          <w:lang w:eastAsia="ru-RU"/>
        </w:rPr>
        <w:t xml:space="preserve">б) Для подтверждения страны происхождения тех товаров, по которым в извещении об осуществлении данной закупки </w:t>
      </w:r>
      <w:r>
        <w:rPr>
          <w:rFonts w:ascii="Times New Roman" w:eastAsia="Times New Roman" w:hAnsi="Times New Roman"/>
          <w:b/>
          <w:bCs/>
          <w:i/>
          <w:color w:val="000000"/>
          <w:sz w:val="24"/>
          <w:szCs w:val="24"/>
          <w:highlight w:val="white"/>
          <w:lang w:eastAsia="ru-RU"/>
        </w:rPr>
        <w:t>(в печатной форме извещения в разделе «Применение национального режима по ст. 14 Закона № 44-ФЗ»)</w:t>
      </w:r>
      <w:r>
        <w:rPr>
          <w:rFonts w:ascii="Times New Roman" w:eastAsia="Times New Roman" w:hAnsi="Times New Roman"/>
          <w:b/>
          <w:color w:val="000000"/>
          <w:sz w:val="24"/>
          <w:szCs w:val="24"/>
          <w:highlight w:val="white"/>
          <w:lang w:eastAsia="ru-RU"/>
        </w:rPr>
        <w:t xml:space="preserve"> установлено                 </w:t>
      </w:r>
      <w:r>
        <w:rPr>
          <w:rFonts w:ascii="Times New Roman" w:eastAsia="Times New Roman" w:hAnsi="Times New Roman"/>
          <w:b/>
          <w:color w:val="FF0000"/>
          <w:sz w:val="24"/>
          <w:szCs w:val="24"/>
          <w:highlight w:val="white"/>
          <w:lang w:eastAsia="ru-RU"/>
        </w:rPr>
        <w:t xml:space="preserve">ОГРАНИЧЕНИЕ </w:t>
      </w:r>
      <w:r>
        <w:rPr>
          <w:rFonts w:ascii="Times New Roman" w:eastAsia="Times New Roman" w:hAnsi="Times New Roman"/>
          <w:b/>
          <w:color w:val="000000"/>
          <w:sz w:val="24"/>
          <w:szCs w:val="24"/>
          <w:highlight w:val="white"/>
          <w:lang w:eastAsia="ru-RU"/>
        </w:rPr>
        <w:t xml:space="preserve">закупок товаров (в т.ч. поставляемых при выполнении закупаемых </w:t>
      </w:r>
      <w:r>
        <w:rPr>
          <w:rFonts w:ascii="Times New Roman" w:eastAsia="Times New Roman" w:hAnsi="Times New Roman"/>
          <w:b/>
          <w:color w:val="000000"/>
          <w:sz w:val="24"/>
          <w:szCs w:val="24"/>
          <w:highlight w:val="white"/>
          <w:lang w:eastAsia="ru-RU"/>
        </w:rPr>
        <w:lastRenderedPageBreak/>
        <w:t>работ, оказании закупаемых услуг), происходящих из иностранных государств, участник закупки представляет в составе заявки следующие информацию и (или) документы:</w:t>
      </w:r>
    </w:p>
    <w:tbl>
      <w:tblPr>
        <w:tblW w:w="4900" w:type="pct"/>
        <w:tblLayout w:type="fixed"/>
        <w:tblCellMar>
          <w:top w:w="75" w:type="dxa"/>
          <w:left w:w="150" w:type="dxa"/>
          <w:bottom w:w="75" w:type="dxa"/>
          <w:right w:w="150" w:type="dxa"/>
        </w:tblCellMar>
        <w:tblLook w:val="04A0" w:firstRow="1" w:lastRow="0" w:firstColumn="1" w:lastColumn="0" w:noHBand="0" w:noVBand="1"/>
      </w:tblPr>
      <w:tblGrid>
        <w:gridCol w:w="2465"/>
        <w:gridCol w:w="6693"/>
      </w:tblGrid>
      <w:tr w:rsidR="0003468E">
        <w:tc>
          <w:tcPr>
            <w:tcW w:w="2467"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ind w:firstLine="567"/>
              <w:rPr>
                <w:rFonts w:ascii="Times New Roman" w:eastAsia="Times New Roman" w:hAnsi="Times New Roman"/>
                <w:sz w:val="24"/>
                <w:szCs w:val="24"/>
                <w:highlight w:val="white"/>
              </w:rPr>
            </w:pPr>
            <w:r>
              <w:rPr>
                <w:rFonts w:ascii="Times New Roman" w:eastAsia="Times New Roman" w:hAnsi="Times New Roman"/>
                <w:b/>
                <w:bCs/>
                <w:sz w:val="24"/>
                <w:szCs w:val="24"/>
                <w:highlight w:val="white"/>
                <w:lang w:eastAsia="ru-RU"/>
              </w:rPr>
              <w:t>Продукция</w:t>
            </w:r>
          </w:p>
        </w:tc>
        <w:tc>
          <w:tcPr>
            <w:tcW w:w="6699"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ind w:firstLine="567"/>
              <w:rPr>
                <w:rFonts w:ascii="Times New Roman" w:eastAsia="Times New Roman" w:hAnsi="Times New Roman"/>
                <w:sz w:val="24"/>
                <w:szCs w:val="24"/>
                <w:highlight w:val="white"/>
              </w:rPr>
            </w:pPr>
            <w:r>
              <w:rPr>
                <w:rFonts w:ascii="Times New Roman" w:eastAsia="Times New Roman" w:hAnsi="Times New Roman"/>
                <w:b/>
                <w:bCs/>
                <w:sz w:val="24"/>
                <w:szCs w:val="24"/>
                <w:highlight w:val="white"/>
                <w:lang w:eastAsia="ru-RU"/>
              </w:rPr>
              <w:t>Информация и документы, подтверждающие страну происхождения товара</w:t>
            </w:r>
          </w:p>
        </w:tc>
      </w:tr>
      <w:tr w:rsidR="0003468E">
        <w:tc>
          <w:tcPr>
            <w:tcW w:w="2467"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ind w:right="-151"/>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ПРОМЫШЛЕННЫЕ ТОВАРЫ,                          В Т.Ч. РАДИЭЛЕКТРОННАЯ ПРОДУКЦИЯ  И МЕДИЦИНСКИЕ ИЗДЕЛИЯ</w:t>
            </w:r>
          </w:p>
          <w:p w:rsidR="0003468E" w:rsidRDefault="00EA11F8">
            <w:pPr>
              <w:widowControl w:val="0"/>
              <w:spacing w:after="0" w:line="240" w:lineRule="auto"/>
              <w:ind w:right="-151"/>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(товары из позиций 1–399, 416-428  приложения № 2 ПП РФ № 1875</w:t>
            </w:r>
          </w:p>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(подп. «</w:t>
            </w:r>
            <w:hyperlink r:id="rId34" w:anchor="_blank" w:history="1">
              <w:r>
                <w:rPr>
                  <w:rFonts w:ascii="Times New Roman" w:eastAsia="Times New Roman" w:hAnsi="Times New Roman"/>
                  <w:color w:val="0000FF"/>
                  <w:sz w:val="24"/>
                  <w:szCs w:val="24"/>
                  <w:highlight w:val="white"/>
                  <w:u w:val="single"/>
                  <w:lang w:eastAsia="ru-RU"/>
                </w:rPr>
                <w:t>а</w:t>
              </w:r>
            </w:hyperlink>
            <w:r>
              <w:rPr>
                <w:rFonts w:ascii="Times New Roman" w:eastAsia="Times New Roman" w:hAnsi="Times New Roman"/>
                <w:sz w:val="24"/>
                <w:szCs w:val="24"/>
                <w:highlight w:val="white"/>
                <w:lang w:eastAsia="ru-RU"/>
              </w:rPr>
              <w:t>» и «</w:t>
            </w:r>
            <w:hyperlink r:id="rId35" w:anchor="_blank" w:history="1">
              <w:r>
                <w:rPr>
                  <w:rFonts w:ascii="Times New Roman" w:eastAsia="Times New Roman" w:hAnsi="Times New Roman"/>
                  <w:color w:val="0000FF"/>
                  <w:sz w:val="24"/>
                  <w:szCs w:val="24"/>
                  <w:highlight w:val="white"/>
                  <w:u w:val="single"/>
                  <w:lang w:eastAsia="ru-RU"/>
                </w:rPr>
                <w:t>б</w:t>
              </w:r>
            </w:hyperlink>
            <w:r>
              <w:rPr>
                <w:rFonts w:ascii="Times New Roman" w:eastAsia="Times New Roman" w:hAnsi="Times New Roman"/>
                <w:sz w:val="24"/>
                <w:szCs w:val="24"/>
                <w:highlight w:val="white"/>
                <w:lang w:eastAsia="ru-RU"/>
              </w:rPr>
              <w:t>» п. 3 ПП РФ № 1875</w:t>
            </w:r>
          </w:p>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подп. «</w:t>
            </w:r>
            <w:hyperlink r:id="rId36" w:anchor="_blank" w:history="1">
              <w:r>
                <w:rPr>
                  <w:rFonts w:ascii="Times New Roman" w:eastAsia="Times New Roman" w:hAnsi="Times New Roman"/>
                  <w:color w:val="0000FF"/>
                  <w:sz w:val="24"/>
                  <w:szCs w:val="24"/>
                  <w:highlight w:val="white"/>
                  <w:u w:val="single"/>
                  <w:lang w:eastAsia="ru-RU"/>
                </w:rPr>
                <w:t>б</w:t>
              </w:r>
            </w:hyperlink>
            <w:r>
              <w:rPr>
                <w:rFonts w:ascii="Times New Roman" w:eastAsia="Times New Roman" w:hAnsi="Times New Roman"/>
                <w:sz w:val="24"/>
                <w:szCs w:val="24"/>
                <w:highlight w:val="white"/>
                <w:lang w:eastAsia="ru-RU"/>
              </w:rPr>
              <w:t>» «в» и «</w:t>
            </w:r>
            <w:hyperlink r:id="rId37" w:anchor="_blank" w:history="1">
              <w:r>
                <w:rPr>
                  <w:rFonts w:ascii="Times New Roman" w:eastAsia="Times New Roman" w:hAnsi="Times New Roman"/>
                  <w:color w:val="0000FF"/>
                  <w:sz w:val="24"/>
                  <w:szCs w:val="24"/>
                  <w:highlight w:val="white"/>
                  <w:u w:val="single"/>
                  <w:lang w:eastAsia="ru-RU"/>
                </w:rPr>
                <w:t>г</w:t>
              </w:r>
            </w:hyperlink>
            <w:r>
              <w:rPr>
                <w:rFonts w:ascii="Times New Roman" w:eastAsia="Times New Roman" w:hAnsi="Times New Roman"/>
                <w:sz w:val="24"/>
                <w:szCs w:val="24"/>
                <w:highlight w:val="white"/>
                <w:lang w:eastAsia="ru-RU"/>
              </w:rPr>
              <w:t>» п. 10 ПП РФ № 1875)</w:t>
            </w:r>
          </w:p>
        </w:tc>
        <w:tc>
          <w:tcPr>
            <w:tcW w:w="6699"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before="300" w:after="0" w:line="240" w:lineRule="auto"/>
              <w:ind w:firstLine="540"/>
              <w:jc w:val="both"/>
              <w:rPr>
                <w:rFonts w:ascii="Times New Roman" w:eastAsia="Times New Roman" w:hAnsi="Times New Roman"/>
                <w:b/>
                <w:i/>
                <w:color w:val="FF0000"/>
                <w:sz w:val="24"/>
                <w:szCs w:val="24"/>
                <w:highlight w:val="white"/>
              </w:rPr>
            </w:pPr>
            <w:r>
              <w:rPr>
                <w:rFonts w:ascii="Times New Roman" w:eastAsia="Times New Roman" w:hAnsi="Times New Roman"/>
                <w:b/>
                <w:i/>
                <w:color w:val="FF0000"/>
                <w:sz w:val="24"/>
                <w:szCs w:val="24"/>
                <w:highlight w:val="white"/>
                <w:lang w:eastAsia="ru-RU"/>
              </w:rPr>
              <w:t>Для товаров из Российской Федерации:</w:t>
            </w:r>
          </w:p>
          <w:p w:rsidR="0003468E" w:rsidRDefault="0003468E">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color w:val="FF0000"/>
                <w:sz w:val="24"/>
                <w:szCs w:val="24"/>
                <w:highlight w:val="white"/>
              </w:rPr>
            </w:pP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b/>
                <w:bCs/>
                <w:color w:val="000000"/>
                <w:sz w:val="24"/>
                <w:szCs w:val="24"/>
                <w:highlight w:val="white"/>
              </w:rPr>
            </w:pPr>
            <w:r>
              <w:rPr>
                <w:rFonts w:ascii="Times New Roman" w:eastAsia="Times New Roman" w:hAnsi="Times New Roman"/>
                <w:b/>
                <w:bCs/>
                <w:color w:val="000000"/>
                <w:sz w:val="24"/>
                <w:highlight w:val="white"/>
              </w:rPr>
              <w:t xml:space="preserve">номер реестровой записи </w:t>
            </w:r>
            <w:r>
              <w:rPr>
                <w:rFonts w:ascii="Times New Roman" w:eastAsia="Times New Roman" w:hAnsi="Times New Roman"/>
                <w:color w:val="000000"/>
                <w:sz w:val="24"/>
                <w:highlight w:val="white"/>
              </w:rPr>
              <w:t xml:space="preserve">из реестра российской промышленной продукции, предусмотренного </w:t>
            </w:r>
            <w:hyperlink r:id="rId38" w:tooltip="https://login.consultant.ru/link/?req=doc&amp;base=LAW&amp;n=505888&amp;dst=225&amp;field=134&amp;date=05.09.2025" w:history="1">
              <w:r>
                <w:rPr>
                  <w:rStyle w:val="af"/>
                  <w:rFonts w:ascii="Times New Roman" w:eastAsia="Times New Roman" w:hAnsi="Times New Roman"/>
                  <w:sz w:val="24"/>
                  <w:highlight w:val="white"/>
                  <w:u w:val="none"/>
                </w:rPr>
                <w:t>статьей 17.1</w:t>
              </w:r>
            </w:hyperlink>
            <w:r>
              <w:rPr>
                <w:rFonts w:ascii="Times New Roman" w:eastAsia="Times New Roman" w:hAnsi="Times New Roman"/>
                <w:color w:val="000000"/>
                <w:sz w:val="24"/>
                <w:highlight w:val="white"/>
              </w:rPr>
              <w:t xml:space="preserve"> Федерального закона "О промышленной политике в Российской Федерации" (далее - реестр российской промышленной продукции), </w:t>
            </w:r>
            <w:r>
              <w:rPr>
                <w:rFonts w:ascii="Times New Roman" w:eastAsia="Times New Roman" w:hAnsi="Times New Roman"/>
                <w:b/>
                <w:bCs/>
                <w:color w:val="000000"/>
                <w:sz w:val="24"/>
                <w:highlight w:val="white"/>
              </w:rPr>
              <w:t>и справка</w:t>
            </w:r>
            <w:r>
              <w:rPr>
                <w:rFonts w:ascii="Times New Roman" w:eastAsia="Times New Roman" w:hAnsi="Times New Roman"/>
                <w:color w:val="000000"/>
                <w:sz w:val="24"/>
                <w:highlight w:val="white"/>
              </w:rPr>
              <w:t xml:space="preserve">, подтверждающая наличие специального инвестиционного контракта и предусмотренная </w:t>
            </w:r>
            <w:hyperlink r:id="rId39" w:tooltip="https://login.consultant.ru/link/?req=doc&amp;base=LAW&amp;n=511948&amp;dst=1170&amp;field=134&amp;date=05.09.2025" w:history="1">
              <w:r>
                <w:rPr>
                  <w:rStyle w:val="af"/>
                  <w:rFonts w:ascii="Times New Roman" w:eastAsia="Times New Roman" w:hAnsi="Times New Roman"/>
                  <w:sz w:val="24"/>
                  <w:highlight w:val="white"/>
                  <w:u w:val="none"/>
                </w:rPr>
                <w:t>пунктом 1(1)</w:t>
              </w:r>
            </w:hyperlink>
            <w:r>
              <w:rPr>
                <w:rFonts w:ascii="Times New Roman" w:eastAsia="Times New Roman" w:hAnsi="Times New Roman"/>
                <w:color w:val="000000"/>
                <w:sz w:val="24"/>
                <w:highlight w:val="white"/>
              </w:rPr>
              <w:t xml:space="preserve"> постановления Правительства Российской Федерации от 17 июля 2015 г. N 719 "О подтверждении производства российской промышленной продукции", </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b/>
                <w:bCs/>
                <w:color w:val="000000"/>
                <w:sz w:val="24"/>
                <w:szCs w:val="24"/>
                <w:highlight w:val="white"/>
              </w:rPr>
            </w:pPr>
            <w:r>
              <w:rPr>
                <w:rFonts w:ascii="Times New Roman" w:eastAsia="Times New Roman" w:hAnsi="Times New Roman"/>
                <w:b/>
                <w:bCs/>
                <w:color w:val="000000"/>
                <w:sz w:val="24"/>
                <w:highlight w:val="white"/>
              </w:rPr>
              <w:t xml:space="preserve">или </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color w:val="000000"/>
                <w:sz w:val="24"/>
                <w:szCs w:val="24"/>
                <w:highlight w:val="white"/>
              </w:rPr>
            </w:pPr>
            <w:r>
              <w:rPr>
                <w:rFonts w:ascii="Times New Roman" w:eastAsia="Times New Roman" w:hAnsi="Times New Roman"/>
                <w:b/>
                <w:bCs/>
                <w:color w:val="000000"/>
                <w:sz w:val="24"/>
                <w:highlight w:val="white"/>
              </w:rPr>
              <w:t xml:space="preserve">номер реестровой записи </w:t>
            </w:r>
            <w:r>
              <w:rPr>
                <w:rFonts w:ascii="Times New Roman" w:eastAsia="Times New Roman" w:hAnsi="Times New Roman"/>
                <w:color w:val="000000"/>
                <w:sz w:val="24"/>
                <w:highlight w:val="white"/>
              </w:rPr>
              <w:t xml:space="preserve">из реестра российской промышленной продукции, </w:t>
            </w:r>
            <w:r>
              <w:rPr>
                <w:rFonts w:ascii="Times New Roman" w:eastAsia="Times New Roman" w:hAnsi="Times New Roman"/>
                <w:b/>
                <w:bCs/>
                <w:color w:val="000000"/>
                <w:sz w:val="24"/>
                <w:highlight w:val="white"/>
              </w:rPr>
              <w:t>содержащей</w:t>
            </w:r>
            <w:r>
              <w:rPr>
                <w:rFonts w:ascii="Times New Roman" w:eastAsia="Times New Roman" w:hAnsi="Times New Roman"/>
                <w:color w:val="000000"/>
                <w:sz w:val="24"/>
                <w:highlight w:val="white"/>
              </w:rPr>
              <w:t xml:space="preserve"> в том числе:</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b/>
                <w:bCs/>
                <w:i/>
                <w:sz w:val="20"/>
                <w:szCs w:val="20"/>
                <w:highlight w:val="white"/>
              </w:rPr>
            </w:pPr>
            <w:r>
              <w:rPr>
                <w:rFonts w:ascii="Times New Roman" w:eastAsia="Times New Roman" w:hAnsi="Times New Roman"/>
                <w:b/>
                <w:bCs/>
                <w:sz w:val="24"/>
                <w:szCs w:val="24"/>
                <w:highlight w:val="white"/>
                <w:lang w:eastAsia="ru-RU"/>
              </w:rPr>
              <w:t>- информацию о совокупном количестве баллов</w:t>
            </w:r>
            <w:r>
              <w:rPr>
                <w:rFonts w:ascii="Times New Roman" w:eastAsia="Times New Roman" w:hAnsi="Times New Roman"/>
                <w:sz w:val="24"/>
                <w:szCs w:val="24"/>
                <w:highlight w:val="white"/>
                <w:lang w:eastAsia="ru-RU"/>
              </w:rPr>
              <w:t xml:space="preserve"> за выполнение (освоение) на территории Российской Федерации соответствующих операций (условий), которое составляет или превышает значение, определенное постановлением Правительства Российской Федерации от 17 июля 2015 г. N 719 для целей осуществления закупок (</w:t>
            </w:r>
            <w:r>
              <w:rPr>
                <w:rFonts w:ascii="Times New Roman" w:eastAsia="Times New Roman" w:hAnsi="Times New Roman"/>
                <w:i/>
                <w:sz w:val="20"/>
                <w:szCs w:val="20"/>
                <w:highlight w:val="white"/>
                <w:lang w:eastAsia="ru-RU"/>
              </w:rPr>
              <w:t xml:space="preserve">данная информация должна содержаться в реестровой записи </w:t>
            </w:r>
            <w:r>
              <w:rPr>
                <w:rFonts w:ascii="Times New Roman" w:eastAsia="Times New Roman" w:hAnsi="Times New Roman"/>
                <w:b/>
                <w:i/>
                <w:sz w:val="20"/>
                <w:szCs w:val="20"/>
                <w:highlight w:val="white"/>
                <w:lang w:eastAsia="ru-RU"/>
              </w:rPr>
              <w:t xml:space="preserve">только </w:t>
            </w:r>
            <w:r>
              <w:rPr>
                <w:rFonts w:ascii="Times New Roman" w:eastAsia="Times New Roman" w:hAnsi="Times New Roman"/>
                <w:i/>
                <w:sz w:val="20"/>
                <w:szCs w:val="20"/>
                <w:highlight w:val="white"/>
                <w:lang w:eastAsia="ru-RU"/>
              </w:rPr>
              <w:t xml:space="preserve">при закупке тех товаров, в отношении которых </w:t>
            </w:r>
            <w:r>
              <w:rPr>
                <w:rFonts w:ascii="Times New Roman" w:eastAsia="Times New Roman" w:hAnsi="Times New Roman"/>
                <w:b/>
                <w:i/>
                <w:sz w:val="20"/>
                <w:szCs w:val="20"/>
                <w:highlight w:val="white"/>
                <w:lang w:eastAsia="ru-RU"/>
              </w:rPr>
              <w:t>в разделе  «Примечания» Приложения</w:t>
            </w:r>
            <w:r>
              <w:rPr>
                <w:rFonts w:ascii="Times New Roman" w:eastAsia="Times New Roman" w:hAnsi="Times New Roman"/>
                <w:i/>
                <w:sz w:val="20"/>
                <w:szCs w:val="20"/>
                <w:highlight w:val="white"/>
                <w:lang w:eastAsia="ru-RU"/>
              </w:rPr>
              <w:t xml:space="preserve">  к  постановлению Правительства Российской Федерации от 17 июля 2015 г. №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w:t>
            </w:r>
            <w:r>
              <w:rPr>
                <w:rFonts w:ascii="Times New Roman" w:eastAsia="Times New Roman" w:hAnsi="Times New Roman"/>
                <w:b/>
                <w:i/>
                <w:sz w:val="20"/>
                <w:szCs w:val="20"/>
                <w:highlight w:val="white"/>
                <w:lang w:eastAsia="ru-RU"/>
              </w:rPr>
              <w:t>.                       (</w:t>
            </w:r>
            <w:r>
              <w:rPr>
                <w:rFonts w:ascii="Times New Roman" w:eastAsia="Times New Roman" w:hAnsi="Times New Roman"/>
                <w:i/>
                <w:iCs/>
                <w:sz w:val="24"/>
                <w:szCs w:val="24"/>
                <w:highlight w:val="white"/>
                <w:lang w:eastAsia="ru-RU"/>
              </w:rPr>
              <w:t>При этом, информация о совокупном количестве баллов может не содержаться в реестровой записи из реестра российской промышленной продукции в следующих случаях:</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sz w:val="24"/>
                <w:szCs w:val="24"/>
                <w:highlight w:val="white"/>
              </w:rPr>
            </w:pPr>
            <w:r>
              <w:rPr>
                <w:rFonts w:ascii="Times New Roman" w:eastAsia="Times New Roman" w:hAnsi="Times New Roman"/>
                <w:i/>
                <w:iCs/>
                <w:sz w:val="24"/>
                <w:szCs w:val="24"/>
                <w:highlight w:val="white"/>
                <w:lang w:eastAsia="ru-RU"/>
              </w:rPr>
              <w:t xml:space="preserve"> - при осуществлении закупок до   31 декабря 2026 г. товаров, указанных в </w:t>
            </w:r>
            <w:hyperlink r:id="rId40" w:tooltip="https://login.consultant.ru/link/?req=doc&amp;base=LAW&amp;n=513601&amp;dst=101563&amp;field=134&amp;date=09.09.2025" w:history="1">
              <w:r>
                <w:rPr>
                  <w:rFonts w:ascii="Times New Roman" w:eastAsia="Times New Roman" w:hAnsi="Times New Roman"/>
                  <w:i/>
                  <w:iCs/>
                  <w:sz w:val="24"/>
                  <w:szCs w:val="24"/>
                  <w:highlight w:val="white"/>
                  <w:lang w:eastAsia="ru-RU"/>
                </w:rPr>
                <w:t>позициях 273</w:t>
              </w:r>
            </w:hyperlink>
            <w:r>
              <w:rPr>
                <w:rFonts w:ascii="Times New Roman" w:eastAsia="Times New Roman" w:hAnsi="Times New Roman"/>
                <w:i/>
                <w:iCs/>
                <w:sz w:val="24"/>
                <w:szCs w:val="24"/>
                <w:highlight w:val="white"/>
                <w:lang w:eastAsia="ru-RU"/>
              </w:rPr>
              <w:t xml:space="preserve">, </w:t>
            </w:r>
            <w:hyperlink r:id="rId41" w:tooltip="https://login.consultant.ru/link/?req=doc&amp;base=LAW&amp;n=513601&amp;dst=101572&amp;field=134&amp;date=09.09.2025" w:history="1">
              <w:r>
                <w:rPr>
                  <w:rFonts w:ascii="Times New Roman" w:eastAsia="Times New Roman" w:hAnsi="Times New Roman"/>
                  <w:i/>
                  <w:iCs/>
                  <w:sz w:val="24"/>
                  <w:szCs w:val="24"/>
                  <w:highlight w:val="white"/>
                  <w:lang w:eastAsia="ru-RU"/>
                </w:rPr>
                <w:t>276</w:t>
              </w:r>
            </w:hyperlink>
            <w:r>
              <w:rPr>
                <w:rFonts w:ascii="Times New Roman" w:eastAsia="Times New Roman" w:hAnsi="Times New Roman"/>
                <w:i/>
                <w:iCs/>
                <w:sz w:val="24"/>
                <w:szCs w:val="24"/>
                <w:highlight w:val="white"/>
                <w:lang w:eastAsia="ru-RU"/>
              </w:rPr>
              <w:t xml:space="preserve">, </w:t>
            </w:r>
            <w:hyperlink r:id="rId42" w:tooltip="https://login.consultant.ru/link/?req=doc&amp;base=LAW&amp;n=513601&amp;dst=101635&amp;field=134&amp;date=09.09.2025" w:history="1">
              <w:r>
                <w:rPr>
                  <w:rFonts w:ascii="Times New Roman" w:eastAsia="Times New Roman" w:hAnsi="Times New Roman"/>
                  <w:i/>
                  <w:iCs/>
                  <w:sz w:val="24"/>
                  <w:szCs w:val="24"/>
                  <w:highlight w:val="white"/>
                  <w:lang w:eastAsia="ru-RU"/>
                </w:rPr>
                <w:t>297</w:t>
              </w:r>
            </w:hyperlink>
            <w:r>
              <w:rPr>
                <w:rFonts w:ascii="Times New Roman" w:eastAsia="Times New Roman" w:hAnsi="Times New Roman"/>
                <w:i/>
                <w:iCs/>
                <w:sz w:val="24"/>
                <w:szCs w:val="24"/>
                <w:highlight w:val="white"/>
                <w:lang w:eastAsia="ru-RU"/>
              </w:rPr>
              <w:t xml:space="preserve"> - </w:t>
            </w:r>
            <w:hyperlink r:id="rId43" w:tooltip="https://login.consultant.ru/link/?req=doc&amp;base=LAW&amp;n=513601&amp;dst=101641&amp;field=134&amp;date=09.09.2025" w:history="1">
              <w:r>
                <w:rPr>
                  <w:rFonts w:ascii="Times New Roman" w:eastAsia="Times New Roman" w:hAnsi="Times New Roman"/>
                  <w:i/>
                  <w:iCs/>
                  <w:sz w:val="24"/>
                  <w:szCs w:val="24"/>
                  <w:highlight w:val="white"/>
                  <w:lang w:eastAsia="ru-RU"/>
                </w:rPr>
                <w:t>299</w:t>
              </w:r>
            </w:hyperlink>
            <w:r>
              <w:rPr>
                <w:rFonts w:ascii="Times New Roman" w:eastAsia="Times New Roman" w:hAnsi="Times New Roman"/>
                <w:i/>
                <w:iCs/>
                <w:sz w:val="24"/>
                <w:szCs w:val="24"/>
                <w:highlight w:val="white"/>
                <w:lang w:eastAsia="ru-RU"/>
              </w:rPr>
              <w:t xml:space="preserve">, </w:t>
            </w:r>
            <w:hyperlink r:id="rId44" w:tooltip="https://login.consultant.ru/link/?req=doc&amp;base=LAW&amp;n=513601&amp;dst=101656&amp;field=134&amp;date=09.09.2025" w:history="1">
              <w:r>
                <w:rPr>
                  <w:rFonts w:ascii="Times New Roman" w:eastAsia="Times New Roman" w:hAnsi="Times New Roman"/>
                  <w:i/>
                  <w:iCs/>
                  <w:sz w:val="24"/>
                  <w:szCs w:val="24"/>
                  <w:highlight w:val="white"/>
                  <w:lang w:eastAsia="ru-RU"/>
                </w:rPr>
                <w:t>304</w:t>
              </w:r>
            </w:hyperlink>
            <w:r>
              <w:rPr>
                <w:rFonts w:ascii="Times New Roman" w:eastAsia="Times New Roman" w:hAnsi="Times New Roman"/>
                <w:i/>
                <w:iCs/>
                <w:sz w:val="24"/>
                <w:szCs w:val="24"/>
                <w:highlight w:val="white"/>
                <w:lang w:eastAsia="ru-RU"/>
              </w:rPr>
              <w:t xml:space="preserve"> - </w:t>
            </w:r>
            <w:hyperlink r:id="rId45" w:tooltip="https://login.consultant.ru/link/?req=doc&amp;base=LAW&amp;n=513601&amp;dst=101662&amp;field=134&amp;date=09.09.2025" w:history="1">
              <w:r>
                <w:rPr>
                  <w:rFonts w:ascii="Times New Roman" w:eastAsia="Times New Roman" w:hAnsi="Times New Roman"/>
                  <w:i/>
                  <w:iCs/>
                  <w:sz w:val="24"/>
                  <w:szCs w:val="24"/>
                  <w:highlight w:val="white"/>
                  <w:lang w:eastAsia="ru-RU"/>
                </w:rPr>
                <w:t>306</w:t>
              </w:r>
            </w:hyperlink>
            <w:r>
              <w:rPr>
                <w:rFonts w:ascii="Times New Roman" w:eastAsia="Times New Roman" w:hAnsi="Times New Roman"/>
                <w:i/>
                <w:iCs/>
                <w:sz w:val="24"/>
                <w:szCs w:val="24"/>
                <w:highlight w:val="white"/>
                <w:lang w:eastAsia="ru-RU"/>
              </w:rPr>
              <w:t xml:space="preserve">, </w:t>
            </w:r>
            <w:hyperlink r:id="rId46" w:tooltip="https://login.consultant.ru/link/?req=doc&amp;base=LAW&amp;n=513601&amp;dst=101673&amp;field=134&amp;date=09.09.2025" w:history="1">
              <w:r>
                <w:rPr>
                  <w:rFonts w:ascii="Times New Roman" w:eastAsia="Times New Roman" w:hAnsi="Times New Roman"/>
                  <w:i/>
                  <w:iCs/>
                  <w:sz w:val="24"/>
                  <w:szCs w:val="24"/>
                  <w:highlight w:val="white"/>
                  <w:lang w:eastAsia="ru-RU"/>
                </w:rPr>
                <w:t>309</w:t>
              </w:r>
            </w:hyperlink>
            <w:r>
              <w:rPr>
                <w:rFonts w:ascii="Times New Roman" w:eastAsia="Times New Roman" w:hAnsi="Times New Roman"/>
                <w:i/>
                <w:iCs/>
                <w:sz w:val="24"/>
                <w:szCs w:val="24"/>
                <w:highlight w:val="white"/>
                <w:lang w:eastAsia="ru-RU"/>
              </w:rPr>
              <w:t xml:space="preserve"> - </w:t>
            </w:r>
            <w:hyperlink r:id="rId47" w:tooltip="https://login.consultant.ru/link/?req=doc&amp;base=LAW&amp;n=513601&amp;dst=101682&amp;field=134&amp;date=09.09.2025" w:history="1">
              <w:r>
                <w:rPr>
                  <w:rFonts w:ascii="Times New Roman" w:eastAsia="Times New Roman" w:hAnsi="Times New Roman"/>
                  <w:i/>
                  <w:iCs/>
                  <w:sz w:val="24"/>
                  <w:szCs w:val="24"/>
                  <w:highlight w:val="white"/>
                  <w:lang w:eastAsia="ru-RU"/>
                </w:rPr>
                <w:t>312</w:t>
              </w:r>
            </w:hyperlink>
            <w:r>
              <w:rPr>
                <w:rFonts w:ascii="Times New Roman" w:eastAsia="Times New Roman" w:hAnsi="Times New Roman"/>
                <w:i/>
                <w:iCs/>
                <w:sz w:val="24"/>
                <w:szCs w:val="24"/>
                <w:highlight w:val="white"/>
                <w:lang w:eastAsia="ru-RU"/>
              </w:rPr>
              <w:t xml:space="preserve">, </w:t>
            </w:r>
            <w:hyperlink r:id="rId48" w:tooltip="https://login.consultant.ru/link/?req=doc&amp;base=LAW&amp;n=513601&amp;dst=101688&amp;field=134&amp;date=09.09.2025" w:history="1">
              <w:r>
                <w:rPr>
                  <w:rFonts w:ascii="Times New Roman" w:eastAsia="Times New Roman" w:hAnsi="Times New Roman"/>
                  <w:i/>
                  <w:iCs/>
                  <w:sz w:val="24"/>
                  <w:szCs w:val="24"/>
                  <w:highlight w:val="white"/>
                  <w:lang w:eastAsia="ru-RU"/>
                </w:rPr>
                <w:t>314</w:t>
              </w:r>
            </w:hyperlink>
            <w:r>
              <w:rPr>
                <w:rFonts w:ascii="Times New Roman" w:eastAsia="Times New Roman" w:hAnsi="Times New Roman"/>
                <w:i/>
                <w:iCs/>
                <w:sz w:val="24"/>
                <w:szCs w:val="24"/>
                <w:highlight w:val="white"/>
                <w:lang w:eastAsia="ru-RU"/>
              </w:rPr>
              <w:t xml:space="preserve">, </w:t>
            </w:r>
            <w:hyperlink r:id="rId49" w:tooltip="https://login.consultant.ru/link/?req=doc&amp;base=LAW&amp;n=513601&amp;dst=101694&amp;field=134&amp;date=09.09.2025" w:history="1">
              <w:r>
                <w:rPr>
                  <w:rFonts w:ascii="Times New Roman" w:eastAsia="Times New Roman" w:hAnsi="Times New Roman"/>
                  <w:i/>
                  <w:iCs/>
                  <w:sz w:val="24"/>
                  <w:szCs w:val="24"/>
                  <w:highlight w:val="white"/>
                  <w:lang w:eastAsia="ru-RU"/>
                </w:rPr>
                <w:t>316</w:t>
              </w:r>
            </w:hyperlink>
            <w:r>
              <w:rPr>
                <w:rFonts w:ascii="Times New Roman" w:eastAsia="Times New Roman" w:hAnsi="Times New Roman"/>
                <w:i/>
                <w:iCs/>
                <w:sz w:val="24"/>
                <w:szCs w:val="24"/>
                <w:highlight w:val="white"/>
                <w:lang w:eastAsia="ru-RU"/>
              </w:rPr>
              <w:t xml:space="preserve">, </w:t>
            </w:r>
            <w:hyperlink r:id="rId50" w:tooltip="https://login.consultant.ru/link/?req=doc&amp;base=LAW&amp;n=513601&amp;dst=101700&amp;field=134&amp;date=09.09.2025" w:history="1">
              <w:r>
                <w:rPr>
                  <w:rFonts w:ascii="Times New Roman" w:eastAsia="Times New Roman" w:hAnsi="Times New Roman"/>
                  <w:i/>
                  <w:iCs/>
                  <w:sz w:val="24"/>
                  <w:szCs w:val="24"/>
                  <w:highlight w:val="white"/>
                  <w:lang w:eastAsia="ru-RU"/>
                </w:rPr>
                <w:t>318</w:t>
              </w:r>
            </w:hyperlink>
            <w:r>
              <w:rPr>
                <w:rFonts w:ascii="Times New Roman" w:eastAsia="Times New Roman" w:hAnsi="Times New Roman"/>
                <w:i/>
                <w:iCs/>
                <w:sz w:val="24"/>
                <w:szCs w:val="24"/>
                <w:highlight w:val="white"/>
                <w:lang w:eastAsia="ru-RU"/>
              </w:rPr>
              <w:t xml:space="preserve">, </w:t>
            </w:r>
            <w:hyperlink r:id="rId51" w:tooltip="https://login.consultant.ru/link/?req=doc&amp;base=LAW&amp;n=513601&amp;dst=101706&amp;field=134&amp;date=09.09.2025" w:history="1">
              <w:r>
                <w:rPr>
                  <w:rFonts w:ascii="Times New Roman" w:eastAsia="Times New Roman" w:hAnsi="Times New Roman"/>
                  <w:i/>
                  <w:iCs/>
                  <w:sz w:val="24"/>
                  <w:szCs w:val="24"/>
                  <w:highlight w:val="white"/>
                  <w:lang w:eastAsia="ru-RU"/>
                </w:rPr>
                <w:t>320</w:t>
              </w:r>
            </w:hyperlink>
            <w:r>
              <w:rPr>
                <w:rFonts w:ascii="Times New Roman" w:eastAsia="Times New Roman" w:hAnsi="Times New Roman"/>
                <w:i/>
                <w:iCs/>
                <w:sz w:val="24"/>
                <w:szCs w:val="24"/>
                <w:highlight w:val="white"/>
                <w:lang w:eastAsia="ru-RU"/>
              </w:rPr>
              <w:t xml:space="preserve">, </w:t>
            </w:r>
            <w:hyperlink r:id="rId52" w:tooltip="https://login.consultant.ru/link/?req=doc&amp;base=LAW&amp;n=513601&amp;dst=101748&amp;field=134&amp;date=09.09.2025" w:history="1">
              <w:r>
                <w:rPr>
                  <w:rFonts w:ascii="Times New Roman" w:eastAsia="Times New Roman" w:hAnsi="Times New Roman"/>
                  <w:i/>
                  <w:iCs/>
                  <w:sz w:val="24"/>
                  <w:szCs w:val="24"/>
                  <w:highlight w:val="white"/>
                  <w:lang w:eastAsia="ru-RU"/>
                </w:rPr>
                <w:t>334</w:t>
              </w:r>
            </w:hyperlink>
            <w:r>
              <w:rPr>
                <w:rFonts w:ascii="Times New Roman" w:eastAsia="Times New Roman" w:hAnsi="Times New Roman"/>
                <w:i/>
                <w:iCs/>
                <w:sz w:val="24"/>
                <w:szCs w:val="24"/>
                <w:highlight w:val="white"/>
                <w:lang w:eastAsia="ru-RU"/>
              </w:rPr>
              <w:t xml:space="preserve">, </w:t>
            </w:r>
            <w:hyperlink r:id="rId53" w:tooltip="https://login.consultant.ru/link/?req=doc&amp;base=LAW&amp;n=513601&amp;dst=101808&amp;field=134&amp;date=09.09.2025" w:history="1">
              <w:r>
                <w:rPr>
                  <w:rFonts w:ascii="Times New Roman" w:eastAsia="Times New Roman" w:hAnsi="Times New Roman"/>
                  <w:i/>
                  <w:iCs/>
                  <w:sz w:val="24"/>
                  <w:szCs w:val="24"/>
                  <w:highlight w:val="white"/>
                  <w:lang w:eastAsia="ru-RU"/>
                </w:rPr>
                <w:t>354</w:t>
              </w:r>
            </w:hyperlink>
            <w:r>
              <w:rPr>
                <w:rFonts w:ascii="Times New Roman" w:eastAsia="Times New Roman" w:hAnsi="Times New Roman"/>
                <w:i/>
                <w:iCs/>
                <w:sz w:val="24"/>
                <w:szCs w:val="24"/>
                <w:highlight w:val="white"/>
                <w:lang w:eastAsia="ru-RU"/>
              </w:rPr>
              <w:t xml:space="preserve"> и </w:t>
            </w:r>
            <w:hyperlink r:id="rId54" w:tooltip="https://login.consultant.ru/link/?req=doc&amp;base=LAW&amp;n=513601&amp;dst=101892&amp;field=134&amp;date=09.09.2025" w:history="1">
              <w:r>
                <w:rPr>
                  <w:rFonts w:ascii="Times New Roman" w:eastAsia="Times New Roman" w:hAnsi="Times New Roman"/>
                  <w:i/>
                  <w:iCs/>
                  <w:sz w:val="24"/>
                  <w:szCs w:val="24"/>
                  <w:highlight w:val="white"/>
                  <w:lang w:eastAsia="ru-RU"/>
                </w:rPr>
                <w:t>382</w:t>
              </w:r>
            </w:hyperlink>
            <w:r>
              <w:rPr>
                <w:rFonts w:ascii="Times New Roman" w:eastAsia="Times New Roman" w:hAnsi="Times New Roman"/>
                <w:i/>
                <w:iCs/>
                <w:sz w:val="24"/>
                <w:szCs w:val="24"/>
                <w:highlight w:val="white"/>
                <w:lang w:eastAsia="ru-RU"/>
              </w:rPr>
              <w:t xml:space="preserve"> приложения N 2  (томографы, электрокардиографы, дефибрилляторы, хирургические или лабораторные стерилизаторы, лазерные терапевтические аппараты), в случае если  реестровая запись в реестре</w:t>
            </w:r>
            <w:r>
              <w:rPr>
                <w:rFonts w:ascii="Times New Roman" w:eastAsia="Times New Roman" w:hAnsi="Times New Roman"/>
                <w:i/>
                <w:iCs/>
                <w:color w:val="000000"/>
                <w:sz w:val="24"/>
                <w:highlight w:val="white"/>
              </w:rPr>
              <w:t xml:space="preserve"> российской промышленной продукции</w:t>
            </w:r>
            <w:r>
              <w:rPr>
                <w:rFonts w:ascii="Times New Roman" w:eastAsia="Times New Roman" w:hAnsi="Times New Roman"/>
                <w:i/>
                <w:iCs/>
                <w:sz w:val="24"/>
                <w:szCs w:val="24"/>
                <w:highlight w:val="white"/>
                <w:lang w:eastAsia="ru-RU"/>
              </w:rPr>
              <w:t xml:space="preserve"> на такие товары сформирована по 10 октября 2023 г;.</w:t>
            </w:r>
          </w:p>
          <w:p w:rsidR="0003468E" w:rsidRDefault="00EA11F8">
            <w:pPr>
              <w:pStyle w:val="aff3"/>
              <w:numPr>
                <w:ilvl w:val="0"/>
                <w:numId w:val="8"/>
              </w:numPr>
              <w:pBdr>
                <w:top w:val="none" w:sz="4" w:space="0" w:color="000000"/>
                <w:left w:val="none" w:sz="4" w:space="0" w:color="000000"/>
                <w:bottom w:val="none" w:sz="4" w:space="0" w:color="000000"/>
                <w:right w:val="none" w:sz="4" w:space="0" w:color="000000"/>
              </w:pBdr>
              <w:spacing w:line="288" w:lineRule="atLeast"/>
              <w:ind w:left="0" w:firstLine="540"/>
              <w:jc w:val="both"/>
              <w:rPr>
                <w:rFonts w:ascii="Times New Roman" w:eastAsia="Times New Roman" w:hAnsi="Times New Roman"/>
                <w:sz w:val="24"/>
                <w:szCs w:val="24"/>
                <w:highlight w:val="white"/>
              </w:rPr>
            </w:pPr>
            <w:r>
              <w:rPr>
                <w:rFonts w:ascii="Times New Roman" w:eastAsia="Times New Roman" w:hAnsi="Times New Roman"/>
                <w:i/>
                <w:iCs/>
                <w:sz w:val="24"/>
                <w:szCs w:val="24"/>
                <w:highlight w:val="white"/>
                <w:lang w:eastAsia="ru-RU"/>
              </w:rPr>
              <w:t xml:space="preserve">при осуществлении закупок до 31 августа 2026 г.  товаров, указанных в </w:t>
            </w:r>
            <w:hyperlink r:id="rId55" w:tooltip="https://login.consultant.ru/link/?req=doc&amp;base=LAW&amp;n=513601&amp;dst=101359&amp;field=134&amp;date=09.09.2025" w:history="1">
              <w:r>
                <w:rPr>
                  <w:rFonts w:ascii="Times New Roman" w:eastAsia="Times New Roman" w:hAnsi="Times New Roman"/>
                  <w:i/>
                  <w:iCs/>
                  <w:sz w:val="24"/>
                  <w:szCs w:val="24"/>
                  <w:highlight w:val="white"/>
                  <w:lang w:eastAsia="ru-RU"/>
                </w:rPr>
                <w:t>позициях 205</w:t>
              </w:r>
            </w:hyperlink>
            <w:r>
              <w:rPr>
                <w:rFonts w:ascii="Times New Roman" w:eastAsia="Times New Roman" w:hAnsi="Times New Roman"/>
                <w:i/>
                <w:iCs/>
                <w:sz w:val="24"/>
                <w:szCs w:val="24"/>
                <w:highlight w:val="white"/>
                <w:lang w:eastAsia="ru-RU"/>
              </w:rPr>
              <w:t xml:space="preserve"> - </w:t>
            </w:r>
            <w:hyperlink r:id="rId56" w:tooltip="https://login.consultant.ru/link/?req=doc&amp;base=LAW&amp;n=513601&amp;dst=101374&amp;field=134&amp;date=09.09.2025" w:history="1">
              <w:r>
                <w:rPr>
                  <w:rFonts w:ascii="Times New Roman" w:eastAsia="Times New Roman" w:hAnsi="Times New Roman"/>
                  <w:i/>
                  <w:iCs/>
                  <w:sz w:val="24"/>
                  <w:szCs w:val="24"/>
                  <w:highlight w:val="white"/>
                  <w:lang w:eastAsia="ru-RU"/>
                </w:rPr>
                <w:t>210</w:t>
              </w:r>
            </w:hyperlink>
            <w:r>
              <w:rPr>
                <w:rFonts w:ascii="Times New Roman" w:eastAsia="Times New Roman" w:hAnsi="Times New Roman"/>
                <w:i/>
                <w:iCs/>
                <w:sz w:val="24"/>
                <w:szCs w:val="24"/>
                <w:highlight w:val="white"/>
                <w:lang w:eastAsia="ru-RU"/>
              </w:rPr>
              <w:t xml:space="preserve">, </w:t>
            </w:r>
            <w:hyperlink r:id="rId57" w:tooltip="https://login.consultant.ru/link/?req=doc&amp;base=LAW&amp;n=513601&amp;dst=101383&amp;field=134&amp;date=09.09.2025" w:history="1">
              <w:r>
                <w:rPr>
                  <w:rFonts w:ascii="Times New Roman" w:eastAsia="Times New Roman" w:hAnsi="Times New Roman"/>
                  <w:i/>
                  <w:iCs/>
                  <w:sz w:val="24"/>
                  <w:szCs w:val="24"/>
                  <w:highlight w:val="white"/>
                  <w:lang w:eastAsia="ru-RU"/>
                </w:rPr>
                <w:t>213</w:t>
              </w:r>
            </w:hyperlink>
            <w:r>
              <w:rPr>
                <w:rFonts w:ascii="Times New Roman" w:eastAsia="Times New Roman" w:hAnsi="Times New Roman"/>
                <w:i/>
                <w:iCs/>
                <w:sz w:val="24"/>
                <w:szCs w:val="24"/>
                <w:highlight w:val="white"/>
                <w:lang w:eastAsia="ru-RU"/>
              </w:rPr>
              <w:t xml:space="preserve"> - </w:t>
            </w:r>
            <w:hyperlink r:id="rId58" w:tooltip="https://login.consultant.ru/link/?req=doc&amp;base=LAW&amp;n=513601&amp;dst=101440&amp;field=134&amp;date=09.09.2025" w:history="1">
              <w:r>
                <w:rPr>
                  <w:rFonts w:ascii="Times New Roman" w:eastAsia="Times New Roman" w:hAnsi="Times New Roman"/>
                  <w:i/>
                  <w:iCs/>
                  <w:sz w:val="24"/>
                  <w:szCs w:val="24"/>
                  <w:highlight w:val="white"/>
                  <w:lang w:eastAsia="ru-RU"/>
                </w:rPr>
                <w:t>232</w:t>
              </w:r>
            </w:hyperlink>
            <w:r>
              <w:rPr>
                <w:rFonts w:ascii="Times New Roman" w:eastAsia="Times New Roman" w:hAnsi="Times New Roman"/>
                <w:i/>
                <w:iCs/>
                <w:sz w:val="24"/>
                <w:szCs w:val="24"/>
                <w:highlight w:val="white"/>
                <w:lang w:eastAsia="ru-RU"/>
              </w:rPr>
              <w:t xml:space="preserve">, </w:t>
            </w:r>
            <w:hyperlink r:id="rId59" w:tooltip="https://login.consultant.ru/link/?req=doc&amp;base=LAW&amp;n=513601&amp;dst=101449&amp;field=134&amp;date=09.09.2025" w:history="1">
              <w:r>
                <w:rPr>
                  <w:rFonts w:ascii="Times New Roman" w:eastAsia="Times New Roman" w:hAnsi="Times New Roman"/>
                  <w:i/>
                  <w:iCs/>
                  <w:sz w:val="24"/>
                  <w:szCs w:val="24"/>
                  <w:highlight w:val="white"/>
                  <w:lang w:eastAsia="ru-RU"/>
                </w:rPr>
                <w:t>235</w:t>
              </w:r>
            </w:hyperlink>
            <w:r>
              <w:rPr>
                <w:rFonts w:ascii="Times New Roman" w:eastAsia="Times New Roman" w:hAnsi="Times New Roman"/>
                <w:i/>
                <w:iCs/>
                <w:sz w:val="24"/>
                <w:szCs w:val="24"/>
                <w:highlight w:val="white"/>
                <w:lang w:eastAsia="ru-RU"/>
              </w:rPr>
              <w:t xml:space="preserve">, </w:t>
            </w:r>
            <w:hyperlink r:id="rId60" w:tooltip="https://login.consultant.ru/link/?req=doc&amp;base=LAW&amp;n=513601&amp;dst=101467&amp;field=134&amp;date=09.09.2025" w:history="1">
              <w:r>
                <w:rPr>
                  <w:rFonts w:ascii="Times New Roman" w:eastAsia="Times New Roman" w:hAnsi="Times New Roman"/>
                  <w:i/>
                  <w:iCs/>
                  <w:sz w:val="24"/>
                  <w:szCs w:val="24"/>
                  <w:highlight w:val="white"/>
                  <w:lang w:eastAsia="ru-RU"/>
                </w:rPr>
                <w:t>241</w:t>
              </w:r>
            </w:hyperlink>
            <w:r>
              <w:rPr>
                <w:rFonts w:ascii="Times New Roman" w:eastAsia="Times New Roman" w:hAnsi="Times New Roman"/>
                <w:i/>
                <w:iCs/>
                <w:sz w:val="24"/>
                <w:szCs w:val="24"/>
                <w:highlight w:val="white"/>
                <w:lang w:eastAsia="ru-RU"/>
              </w:rPr>
              <w:t xml:space="preserve">, </w:t>
            </w:r>
            <w:hyperlink r:id="rId61" w:tooltip="https://login.consultant.ru/link/?req=doc&amp;base=LAW&amp;n=513601&amp;dst=101488&amp;field=134&amp;date=09.09.2025" w:history="1">
              <w:r>
                <w:rPr>
                  <w:rFonts w:ascii="Times New Roman" w:eastAsia="Times New Roman" w:hAnsi="Times New Roman"/>
                  <w:i/>
                  <w:iCs/>
                  <w:sz w:val="24"/>
                  <w:szCs w:val="24"/>
                  <w:highlight w:val="white"/>
                  <w:lang w:eastAsia="ru-RU"/>
                </w:rPr>
                <w:t>248</w:t>
              </w:r>
            </w:hyperlink>
            <w:r>
              <w:rPr>
                <w:rFonts w:ascii="Times New Roman" w:eastAsia="Times New Roman" w:hAnsi="Times New Roman"/>
                <w:i/>
                <w:iCs/>
                <w:sz w:val="24"/>
                <w:szCs w:val="24"/>
                <w:highlight w:val="white"/>
                <w:lang w:eastAsia="ru-RU"/>
              </w:rPr>
              <w:t xml:space="preserve"> - </w:t>
            </w:r>
            <w:hyperlink r:id="rId62" w:tooltip="https://login.consultant.ru/link/?req=doc&amp;base=LAW&amp;n=513601&amp;dst=101497&amp;field=134&amp;date=09.09.2025" w:history="1">
              <w:r>
                <w:rPr>
                  <w:rFonts w:ascii="Times New Roman" w:eastAsia="Times New Roman" w:hAnsi="Times New Roman"/>
                  <w:i/>
                  <w:iCs/>
                  <w:sz w:val="24"/>
                  <w:szCs w:val="24"/>
                  <w:highlight w:val="white"/>
                  <w:lang w:eastAsia="ru-RU"/>
                </w:rPr>
                <w:t>251</w:t>
              </w:r>
            </w:hyperlink>
            <w:r>
              <w:rPr>
                <w:rFonts w:ascii="Times New Roman" w:eastAsia="Times New Roman" w:hAnsi="Times New Roman"/>
                <w:i/>
                <w:iCs/>
                <w:sz w:val="24"/>
                <w:szCs w:val="24"/>
                <w:highlight w:val="white"/>
                <w:lang w:eastAsia="ru-RU"/>
              </w:rPr>
              <w:t xml:space="preserve"> приложения N 2 к настоящему постановлению (средства связи, телефоны, сигнализация, телевизоры, микрофоны, громкоговорители, радиолокационная аппаратура), в случае если  реестровая запись в </w:t>
            </w:r>
            <w:r>
              <w:rPr>
                <w:rFonts w:ascii="Times New Roman" w:eastAsia="Times New Roman" w:hAnsi="Times New Roman"/>
                <w:i/>
                <w:iCs/>
                <w:color w:val="000000"/>
                <w:sz w:val="24"/>
                <w:highlight w:val="white"/>
              </w:rPr>
              <w:t xml:space="preserve">реестр российской промышленной </w:t>
            </w:r>
            <w:r>
              <w:rPr>
                <w:rFonts w:ascii="Times New Roman" w:eastAsia="Times New Roman" w:hAnsi="Times New Roman"/>
                <w:i/>
                <w:iCs/>
                <w:color w:val="000000"/>
                <w:sz w:val="24"/>
                <w:highlight w:val="white"/>
              </w:rPr>
              <w:lastRenderedPageBreak/>
              <w:t>продукции</w:t>
            </w:r>
            <w:r>
              <w:rPr>
                <w:rFonts w:ascii="Times New Roman" w:eastAsia="Times New Roman" w:hAnsi="Times New Roman"/>
                <w:i/>
                <w:iCs/>
                <w:sz w:val="24"/>
                <w:szCs w:val="24"/>
                <w:highlight w:val="white"/>
                <w:lang w:eastAsia="ru-RU"/>
              </w:rPr>
              <w:t xml:space="preserve"> на такие товары сформирована по 10 августа 2025 г;</w:t>
            </w:r>
          </w:p>
          <w:p w:rsidR="0003468E" w:rsidRDefault="00EA11F8">
            <w:pPr>
              <w:pStyle w:val="aff3"/>
              <w:numPr>
                <w:ilvl w:val="0"/>
                <w:numId w:val="8"/>
              </w:numPr>
              <w:pBdr>
                <w:top w:val="none" w:sz="4" w:space="0" w:color="000000"/>
                <w:left w:val="none" w:sz="4" w:space="0" w:color="000000"/>
                <w:bottom w:val="none" w:sz="4" w:space="0" w:color="000000"/>
                <w:right w:val="none" w:sz="4" w:space="0" w:color="000000"/>
              </w:pBdr>
              <w:spacing w:line="288" w:lineRule="atLeast"/>
              <w:ind w:left="0" w:firstLine="540"/>
              <w:jc w:val="both"/>
              <w:rPr>
                <w:rFonts w:ascii="Times New Roman" w:eastAsia="Times New Roman" w:hAnsi="Times New Roman"/>
                <w:highlight w:val="white"/>
              </w:rPr>
            </w:pPr>
            <w:r>
              <w:rPr>
                <w:rFonts w:ascii="Times New Roman" w:eastAsia="Times New Roman" w:hAnsi="Times New Roman"/>
                <w:i/>
                <w:iCs/>
                <w:sz w:val="24"/>
                <w:szCs w:val="24"/>
                <w:highlight w:val="white"/>
                <w:lang w:eastAsia="ru-RU"/>
              </w:rPr>
              <w:t xml:space="preserve">при осуществлении закупок до 30 ноября 2026 г.  товаров, указанных в  </w:t>
            </w:r>
            <w:hyperlink r:id="rId63" w:tooltip="https://login.consultant.ru/link/?req=doc&amp;base=LAW&amp;n=513601&amp;dst=100750&amp;field=134&amp;date=09.09.2025" w:history="1">
              <w:r>
                <w:rPr>
                  <w:rFonts w:ascii="Times New Roman" w:eastAsia="Times New Roman" w:hAnsi="Times New Roman"/>
                  <w:i/>
                  <w:iCs/>
                  <w:sz w:val="24"/>
                  <w:szCs w:val="24"/>
                  <w:highlight w:val="white"/>
                  <w:lang w:eastAsia="ru-RU"/>
                </w:rPr>
                <w:t>позициях 2</w:t>
              </w:r>
            </w:hyperlink>
            <w:r>
              <w:rPr>
                <w:rFonts w:ascii="Times New Roman" w:eastAsia="Times New Roman" w:hAnsi="Times New Roman"/>
                <w:i/>
                <w:iCs/>
                <w:sz w:val="24"/>
                <w:szCs w:val="24"/>
                <w:highlight w:val="white"/>
                <w:lang w:eastAsia="ru-RU"/>
              </w:rPr>
              <w:t xml:space="preserve">, </w:t>
            </w:r>
            <w:hyperlink r:id="rId64" w:tooltip="https://login.consultant.ru/link/?req=doc&amp;base=LAW&amp;n=513601&amp;dst=101260&amp;field=134&amp;date=09.09.2025" w:history="1">
              <w:r>
                <w:rPr>
                  <w:rFonts w:ascii="Times New Roman" w:eastAsia="Times New Roman" w:hAnsi="Times New Roman"/>
                  <w:i/>
                  <w:iCs/>
                  <w:sz w:val="24"/>
                  <w:szCs w:val="24"/>
                  <w:highlight w:val="white"/>
                  <w:lang w:eastAsia="ru-RU"/>
                </w:rPr>
                <w:t>172</w:t>
              </w:r>
            </w:hyperlink>
            <w:r>
              <w:rPr>
                <w:rFonts w:ascii="Times New Roman" w:eastAsia="Times New Roman" w:hAnsi="Times New Roman"/>
                <w:i/>
                <w:iCs/>
                <w:sz w:val="24"/>
                <w:szCs w:val="24"/>
                <w:highlight w:val="white"/>
                <w:lang w:eastAsia="ru-RU"/>
              </w:rPr>
              <w:t xml:space="preserve"> - </w:t>
            </w:r>
            <w:hyperlink r:id="rId65" w:tooltip="https://login.consultant.ru/link/?req=doc&amp;base=LAW&amp;n=513601&amp;dst=101281&amp;field=134&amp;date=09.09.2025" w:history="1">
              <w:r>
                <w:rPr>
                  <w:rFonts w:ascii="Times New Roman" w:eastAsia="Times New Roman" w:hAnsi="Times New Roman"/>
                  <w:i/>
                  <w:iCs/>
                  <w:sz w:val="24"/>
                  <w:szCs w:val="24"/>
                  <w:highlight w:val="white"/>
                  <w:lang w:eastAsia="ru-RU"/>
                </w:rPr>
                <w:t>179</w:t>
              </w:r>
            </w:hyperlink>
            <w:r>
              <w:rPr>
                <w:rFonts w:ascii="Times New Roman" w:eastAsia="Times New Roman" w:hAnsi="Times New Roman"/>
                <w:i/>
                <w:iCs/>
                <w:sz w:val="24"/>
                <w:szCs w:val="24"/>
                <w:highlight w:val="white"/>
                <w:lang w:eastAsia="ru-RU"/>
              </w:rPr>
              <w:t xml:space="preserve">, </w:t>
            </w:r>
            <w:hyperlink r:id="rId66" w:tooltip="https://login.consultant.ru/link/?req=doc&amp;base=LAW&amp;n=513601&amp;dst=101311&amp;field=134&amp;date=09.09.2025" w:history="1">
              <w:r>
                <w:rPr>
                  <w:rFonts w:ascii="Times New Roman" w:eastAsia="Times New Roman" w:hAnsi="Times New Roman"/>
                  <w:i/>
                  <w:iCs/>
                  <w:sz w:val="24"/>
                  <w:szCs w:val="24"/>
                  <w:highlight w:val="white"/>
                  <w:lang w:eastAsia="ru-RU"/>
                </w:rPr>
                <w:t>189</w:t>
              </w:r>
            </w:hyperlink>
            <w:r>
              <w:rPr>
                <w:rFonts w:ascii="Times New Roman" w:eastAsia="Times New Roman" w:hAnsi="Times New Roman"/>
                <w:i/>
                <w:iCs/>
                <w:sz w:val="24"/>
                <w:szCs w:val="24"/>
                <w:highlight w:val="white"/>
                <w:lang w:eastAsia="ru-RU"/>
              </w:rPr>
              <w:t xml:space="preserve">, </w:t>
            </w:r>
            <w:hyperlink r:id="rId67" w:tooltip="https://login.consultant.ru/link/?req=doc&amp;base=LAW&amp;n=513601&amp;dst=101832&amp;field=134&amp;date=09.09.2025" w:history="1">
              <w:r>
                <w:rPr>
                  <w:rFonts w:ascii="Times New Roman" w:eastAsia="Times New Roman" w:hAnsi="Times New Roman"/>
                  <w:i/>
                  <w:iCs/>
                  <w:sz w:val="24"/>
                  <w:szCs w:val="24"/>
                  <w:highlight w:val="white"/>
                  <w:lang w:eastAsia="ru-RU"/>
                </w:rPr>
                <w:t>362</w:t>
              </w:r>
            </w:hyperlink>
            <w:r>
              <w:rPr>
                <w:rFonts w:ascii="Times New Roman" w:eastAsia="Times New Roman" w:hAnsi="Times New Roman"/>
                <w:i/>
                <w:iCs/>
                <w:sz w:val="24"/>
                <w:szCs w:val="24"/>
                <w:highlight w:val="white"/>
                <w:lang w:eastAsia="ru-RU"/>
              </w:rPr>
              <w:t xml:space="preserve"> - </w:t>
            </w:r>
            <w:hyperlink r:id="rId68" w:tooltip="https://login.consultant.ru/link/?req=doc&amp;base=LAW&amp;n=513601&amp;dst=101838&amp;field=134&amp;date=09.09.2025" w:history="1">
              <w:r>
                <w:rPr>
                  <w:rFonts w:ascii="Times New Roman" w:eastAsia="Times New Roman" w:hAnsi="Times New Roman"/>
                  <w:i/>
                  <w:iCs/>
                  <w:sz w:val="24"/>
                  <w:szCs w:val="24"/>
                  <w:highlight w:val="white"/>
                  <w:lang w:eastAsia="ru-RU"/>
                </w:rPr>
                <w:t>364</w:t>
              </w:r>
            </w:hyperlink>
            <w:r>
              <w:rPr>
                <w:rFonts w:ascii="Times New Roman" w:eastAsia="Times New Roman" w:hAnsi="Times New Roman"/>
                <w:i/>
                <w:iCs/>
                <w:sz w:val="24"/>
                <w:szCs w:val="24"/>
                <w:highlight w:val="white"/>
                <w:lang w:eastAsia="ru-RU"/>
              </w:rPr>
              <w:t xml:space="preserve">, </w:t>
            </w:r>
            <w:hyperlink r:id="rId69" w:tooltip="https://login.consultant.ru/link/?req=doc&amp;base=LAW&amp;n=513601&amp;dst=101844&amp;field=134&amp;date=09.09.2025" w:history="1">
              <w:r>
                <w:rPr>
                  <w:rFonts w:ascii="Times New Roman" w:eastAsia="Times New Roman" w:hAnsi="Times New Roman"/>
                  <w:i/>
                  <w:iCs/>
                  <w:sz w:val="24"/>
                  <w:szCs w:val="24"/>
                  <w:highlight w:val="white"/>
                  <w:lang w:eastAsia="ru-RU"/>
                </w:rPr>
                <w:t>366</w:t>
              </w:r>
            </w:hyperlink>
            <w:r>
              <w:rPr>
                <w:rFonts w:ascii="Times New Roman" w:eastAsia="Times New Roman" w:hAnsi="Times New Roman"/>
                <w:i/>
                <w:iCs/>
                <w:sz w:val="24"/>
                <w:szCs w:val="24"/>
                <w:highlight w:val="white"/>
                <w:lang w:eastAsia="ru-RU"/>
              </w:rPr>
              <w:t xml:space="preserve"> - </w:t>
            </w:r>
            <w:hyperlink r:id="rId70" w:tooltip="https://login.consultant.ru/link/?req=doc&amp;base=LAW&amp;n=513601&amp;dst=101880&amp;field=134&amp;date=09.09.2025" w:history="1">
              <w:r>
                <w:rPr>
                  <w:rFonts w:ascii="Times New Roman" w:eastAsia="Times New Roman" w:hAnsi="Times New Roman"/>
                  <w:i/>
                  <w:iCs/>
                  <w:sz w:val="24"/>
                  <w:szCs w:val="24"/>
                  <w:highlight w:val="white"/>
                  <w:lang w:eastAsia="ru-RU"/>
                </w:rPr>
                <w:t>378</w:t>
              </w:r>
            </w:hyperlink>
            <w:r>
              <w:rPr>
                <w:rFonts w:ascii="Times New Roman" w:eastAsia="Times New Roman" w:hAnsi="Times New Roman"/>
                <w:i/>
                <w:iCs/>
                <w:sz w:val="24"/>
                <w:szCs w:val="24"/>
                <w:highlight w:val="white"/>
                <w:lang w:eastAsia="ru-RU"/>
              </w:rPr>
              <w:t xml:space="preserve">, </w:t>
            </w:r>
            <w:hyperlink r:id="rId71" w:tooltip="https://login.consultant.ru/link/?req=doc&amp;base=LAW&amp;n=513601&amp;dst=101895&amp;field=134&amp;date=09.09.2025" w:history="1">
              <w:r>
                <w:rPr>
                  <w:rFonts w:ascii="Times New Roman" w:eastAsia="Times New Roman" w:hAnsi="Times New Roman"/>
                  <w:i/>
                  <w:iCs/>
                  <w:sz w:val="24"/>
                  <w:szCs w:val="24"/>
                  <w:highlight w:val="white"/>
                  <w:lang w:eastAsia="ru-RU"/>
                </w:rPr>
                <w:t>383</w:t>
              </w:r>
            </w:hyperlink>
            <w:r>
              <w:rPr>
                <w:rFonts w:ascii="Times New Roman" w:eastAsia="Times New Roman" w:hAnsi="Times New Roman"/>
                <w:i/>
                <w:iCs/>
                <w:sz w:val="24"/>
                <w:szCs w:val="24"/>
                <w:highlight w:val="white"/>
                <w:lang w:eastAsia="ru-RU"/>
              </w:rPr>
              <w:t xml:space="preserve"> - </w:t>
            </w:r>
            <w:hyperlink r:id="rId72" w:tooltip="https://login.consultant.ru/link/?req=doc&amp;base=LAW&amp;n=513601&amp;dst=101910&amp;field=134&amp;date=09.09.2025" w:history="1">
              <w:r>
                <w:rPr>
                  <w:rFonts w:ascii="Times New Roman" w:eastAsia="Times New Roman" w:hAnsi="Times New Roman"/>
                  <w:i/>
                  <w:iCs/>
                  <w:sz w:val="24"/>
                  <w:szCs w:val="24"/>
                  <w:highlight w:val="white"/>
                  <w:lang w:eastAsia="ru-RU"/>
                </w:rPr>
                <w:t>388</w:t>
              </w:r>
            </w:hyperlink>
            <w:r>
              <w:rPr>
                <w:rFonts w:ascii="Times New Roman" w:eastAsia="Times New Roman" w:hAnsi="Times New Roman"/>
                <w:i/>
                <w:iCs/>
                <w:sz w:val="24"/>
                <w:szCs w:val="24"/>
                <w:highlight w:val="white"/>
                <w:lang w:eastAsia="ru-RU"/>
              </w:rPr>
              <w:t xml:space="preserve">, </w:t>
            </w:r>
            <w:hyperlink r:id="rId73" w:tooltip="https://login.consultant.ru/link/?req=doc&amp;base=LAW&amp;n=513601&amp;dst=101916&amp;field=134&amp;date=09.09.2025" w:history="1">
              <w:r>
                <w:rPr>
                  <w:rFonts w:ascii="Times New Roman" w:eastAsia="Times New Roman" w:hAnsi="Times New Roman"/>
                  <w:i/>
                  <w:iCs/>
                  <w:sz w:val="24"/>
                  <w:szCs w:val="24"/>
                  <w:highlight w:val="white"/>
                  <w:lang w:eastAsia="ru-RU"/>
                </w:rPr>
                <w:t>390</w:t>
              </w:r>
            </w:hyperlink>
            <w:r>
              <w:rPr>
                <w:rFonts w:ascii="Times New Roman" w:eastAsia="Times New Roman" w:hAnsi="Times New Roman"/>
                <w:i/>
                <w:iCs/>
                <w:sz w:val="24"/>
                <w:szCs w:val="24"/>
                <w:highlight w:val="white"/>
                <w:lang w:eastAsia="ru-RU"/>
              </w:rPr>
              <w:t xml:space="preserve"> - 399 приложения N 2  (детские подгузники и пеленки, протезы, коляски инвалидные, костыли трости), в случае если  реестровая запись в </w:t>
            </w:r>
            <w:r>
              <w:rPr>
                <w:rFonts w:ascii="Times New Roman" w:eastAsia="Times New Roman" w:hAnsi="Times New Roman"/>
                <w:i/>
                <w:iCs/>
                <w:color w:val="000000"/>
                <w:sz w:val="24"/>
                <w:highlight w:val="white"/>
              </w:rPr>
              <w:t>реестре российской промышленной продукции</w:t>
            </w:r>
            <w:r>
              <w:rPr>
                <w:rFonts w:ascii="Times New Roman" w:eastAsia="Times New Roman" w:hAnsi="Times New Roman"/>
                <w:i/>
                <w:iCs/>
                <w:sz w:val="24"/>
                <w:szCs w:val="24"/>
                <w:highlight w:val="white"/>
                <w:lang w:eastAsia="ru-RU"/>
              </w:rPr>
              <w:t xml:space="preserve"> на такие товары сформирована по 30 июня 2025 г.)</w:t>
            </w:r>
          </w:p>
          <w:p w:rsidR="0003468E" w:rsidRDefault="00EA11F8">
            <w:pPr>
              <w:widowControl w:val="0"/>
              <w:spacing w:after="0" w:line="240" w:lineRule="auto"/>
              <w:ind w:firstLine="540"/>
              <w:jc w:val="both"/>
              <w:rPr>
                <w:rFonts w:ascii="Times New Roman" w:hAnsi="Times New Roman"/>
                <w:color w:val="22272F"/>
                <w:sz w:val="24"/>
                <w:szCs w:val="24"/>
                <w:highlight w:val="white"/>
                <w:shd w:val="clear" w:color="auto" w:fill="FFFFFF"/>
              </w:rPr>
            </w:pPr>
            <w:r>
              <w:rPr>
                <w:rFonts w:ascii="Times New Roman" w:eastAsia="Times New Roman" w:hAnsi="Times New Roman"/>
                <w:sz w:val="24"/>
                <w:szCs w:val="24"/>
                <w:highlight w:val="white"/>
                <w:lang w:eastAsia="ru-RU"/>
              </w:rPr>
              <w:t xml:space="preserve">- </w:t>
            </w:r>
            <w:r>
              <w:rPr>
                <w:rFonts w:ascii="Times New Roman" w:eastAsia="Times New Roman" w:hAnsi="Times New Roman"/>
                <w:b/>
                <w:bCs/>
                <w:sz w:val="24"/>
                <w:szCs w:val="24"/>
                <w:highlight w:val="white"/>
                <w:lang w:eastAsia="ru-RU"/>
              </w:rPr>
              <w:t>информацию об уровне радиоэлектронной продукции</w:t>
            </w:r>
            <w:r>
              <w:rPr>
                <w:rFonts w:ascii="Times New Roman" w:eastAsia="Times New Roman" w:hAnsi="Times New Roman"/>
                <w:sz w:val="24"/>
                <w:szCs w:val="24"/>
                <w:highlight w:val="white"/>
                <w:lang w:eastAsia="ru-RU"/>
              </w:rPr>
              <w:t xml:space="preserve"> (для товара, являющегося в соответствии с постановлением Правительства Российской Федерации от 17 июля 2015 г. N 719 "О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 (</w:t>
            </w:r>
            <w:r>
              <w:rPr>
                <w:rFonts w:ascii="Times New Roman" w:hAnsi="Times New Roman"/>
                <w:b/>
                <w:i/>
                <w:color w:val="22272F"/>
                <w:sz w:val="24"/>
                <w:szCs w:val="24"/>
                <w:highlight w:val="white"/>
                <w:shd w:val="clear" w:color="auto" w:fill="FFFFFF"/>
              </w:rPr>
              <w:t>данная информация должна содержаться в реестровой записи только при закупке товаров, указанных в </w:t>
            </w:r>
            <w:hyperlink r:id="rId74" w:anchor="/document/411197447/entry/2195" w:history="1">
              <w:r>
                <w:rPr>
                  <w:rFonts w:ascii="Times New Roman" w:hAnsi="Times New Roman"/>
                  <w:b/>
                  <w:i/>
                  <w:color w:val="3272C0"/>
                  <w:sz w:val="24"/>
                  <w:szCs w:val="24"/>
                  <w:highlight w:val="white"/>
                  <w:shd w:val="clear" w:color="auto" w:fill="FFFFFF"/>
                </w:rPr>
                <w:t>позициях 195</w:t>
              </w:r>
            </w:hyperlink>
            <w:r>
              <w:rPr>
                <w:rFonts w:ascii="Times New Roman" w:hAnsi="Times New Roman"/>
                <w:b/>
                <w:i/>
                <w:color w:val="22272F"/>
                <w:sz w:val="24"/>
                <w:szCs w:val="24"/>
                <w:highlight w:val="white"/>
                <w:shd w:val="clear" w:color="auto" w:fill="FFFFFF"/>
              </w:rPr>
              <w:t>, </w:t>
            </w:r>
            <w:hyperlink r:id="rId75" w:anchor="/document/411197447/entry/2197" w:history="1">
              <w:r>
                <w:rPr>
                  <w:rFonts w:ascii="Times New Roman" w:hAnsi="Times New Roman"/>
                  <w:b/>
                  <w:i/>
                  <w:color w:val="3272C0"/>
                  <w:sz w:val="24"/>
                  <w:szCs w:val="24"/>
                  <w:highlight w:val="white"/>
                  <w:shd w:val="clear" w:color="auto" w:fill="FFFFFF"/>
                </w:rPr>
                <w:t>197 - 199</w:t>
              </w:r>
            </w:hyperlink>
            <w:r>
              <w:rPr>
                <w:rFonts w:ascii="Times New Roman" w:hAnsi="Times New Roman"/>
                <w:b/>
                <w:i/>
                <w:color w:val="22272F"/>
                <w:sz w:val="24"/>
                <w:szCs w:val="24"/>
                <w:highlight w:val="white"/>
                <w:shd w:val="clear" w:color="auto" w:fill="FFFFFF"/>
              </w:rPr>
              <w:t> и </w:t>
            </w:r>
            <w:hyperlink r:id="rId76" w:anchor="/document/411197447/entry/2203" w:history="1">
              <w:r>
                <w:rPr>
                  <w:rFonts w:ascii="Times New Roman" w:hAnsi="Times New Roman"/>
                  <w:b/>
                  <w:i/>
                  <w:color w:val="3272C0"/>
                  <w:sz w:val="24"/>
                  <w:szCs w:val="24"/>
                  <w:highlight w:val="white"/>
                  <w:shd w:val="clear" w:color="auto" w:fill="FFFFFF"/>
                </w:rPr>
                <w:t>203</w:t>
              </w:r>
            </w:hyperlink>
            <w:r>
              <w:rPr>
                <w:rFonts w:ascii="Times New Roman" w:hAnsi="Times New Roman"/>
                <w:b/>
                <w:i/>
                <w:color w:val="22272F"/>
                <w:sz w:val="24"/>
                <w:szCs w:val="24"/>
                <w:highlight w:val="white"/>
                <w:shd w:val="clear" w:color="auto" w:fill="FFFFFF"/>
              </w:rPr>
              <w:t xml:space="preserve"> приложения N 2 </w:t>
            </w:r>
            <w:r>
              <w:rPr>
                <w:rFonts w:ascii="Times New Roman" w:eastAsia="Times New Roman" w:hAnsi="Times New Roman"/>
                <w:b/>
                <w:i/>
                <w:sz w:val="24"/>
                <w:szCs w:val="24"/>
                <w:highlight w:val="white"/>
                <w:lang w:eastAsia="ru-RU"/>
              </w:rPr>
              <w:t>ПП РФ № 1875</w:t>
            </w:r>
            <w:r>
              <w:rPr>
                <w:rFonts w:ascii="Times New Roman" w:eastAsia="Times New Roman" w:hAnsi="Times New Roman"/>
                <w:sz w:val="24"/>
                <w:szCs w:val="24"/>
                <w:highlight w:val="white"/>
                <w:lang w:eastAsia="ru-RU"/>
              </w:rPr>
              <w:t>)</w:t>
            </w:r>
            <w:r>
              <w:rPr>
                <w:rFonts w:ascii="Times New Roman" w:hAnsi="Times New Roman"/>
                <w:color w:val="22272F"/>
                <w:sz w:val="24"/>
                <w:szCs w:val="24"/>
                <w:highlight w:val="white"/>
                <w:shd w:val="clear" w:color="auto" w:fill="FFFFFF"/>
              </w:rPr>
              <w:t> .</w:t>
            </w:r>
          </w:p>
          <w:p w:rsidR="0003468E" w:rsidRDefault="0003468E">
            <w:pPr>
              <w:widowControl w:val="0"/>
              <w:spacing w:after="0" w:line="240" w:lineRule="auto"/>
              <w:ind w:firstLine="540"/>
              <w:jc w:val="both"/>
              <w:rPr>
                <w:rFonts w:ascii="Times New Roman" w:eastAsia="Times New Roman" w:hAnsi="Times New Roman"/>
                <w:sz w:val="24"/>
                <w:szCs w:val="24"/>
                <w:highlight w:val="white"/>
              </w:rPr>
            </w:pP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sz w:val="24"/>
                <w:szCs w:val="24"/>
                <w:highlight w:val="white"/>
              </w:rPr>
            </w:pPr>
            <w:r>
              <w:rPr>
                <w:rFonts w:ascii="Times New Roman" w:hAnsi="Times New Roman"/>
                <w:color w:val="22272F"/>
                <w:sz w:val="24"/>
                <w:szCs w:val="24"/>
                <w:highlight w:val="white"/>
                <w:shd w:val="clear" w:color="auto" w:fill="FFFFFF"/>
              </w:rPr>
              <w:t xml:space="preserve">По 30 июня 2026 г. включительно, при осуществлении закупок товаров, указанных в  </w:t>
            </w:r>
            <w:r>
              <w:rPr>
                <w:rFonts w:ascii="Times New Roman" w:eastAsia="Times New Roman" w:hAnsi="Times New Roman"/>
                <w:color w:val="000000"/>
                <w:sz w:val="24"/>
                <w:highlight w:val="white"/>
              </w:rPr>
              <w:t xml:space="preserve">позициях 362 - 378, 383 - 388, 390 - 399 </w:t>
            </w:r>
            <w:r>
              <w:rPr>
                <w:rFonts w:ascii="Times New Roman" w:hAnsi="Times New Roman"/>
                <w:color w:val="22272F"/>
                <w:sz w:val="24"/>
                <w:szCs w:val="24"/>
                <w:highlight w:val="white"/>
                <w:shd w:val="clear" w:color="auto" w:fill="FFFFFF"/>
              </w:rPr>
              <w:t xml:space="preserve">приложения № 2 к ПП РФ 1875, документом, подтверждающим происхождение таких товаров из государств - членов Евразийского экономического союза, </w:t>
            </w:r>
            <w:r>
              <w:rPr>
                <w:rFonts w:ascii="Times New Roman" w:hAnsi="Times New Roman"/>
                <w:b/>
                <w:bCs/>
                <w:color w:val="22272F"/>
                <w:sz w:val="24"/>
                <w:szCs w:val="24"/>
                <w:highlight w:val="white"/>
                <w:shd w:val="clear" w:color="auto" w:fill="FFFFFF"/>
              </w:rPr>
              <w:t>в том числе из Российской Федерации,</w:t>
            </w:r>
            <w:r>
              <w:rPr>
                <w:rFonts w:ascii="Times New Roman" w:hAnsi="Times New Roman"/>
                <w:color w:val="22272F"/>
                <w:sz w:val="24"/>
                <w:szCs w:val="24"/>
                <w:highlight w:val="white"/>
                <w:shd w:val="clear" w:color="auto" w:fill="FFFFFF"/>
              </w:rPr>
              <w:t xml:space="preserve"> наряду с вышеуказанной информацией, также является </w:t>
            </w:r>
            <w:r>
              <w:rPr>
                <w:rFonts w:ascii="Times New Roman" w:hAnsi="Times New Roman"/>
                <w:b/>
                <w:color w:val="22272F"/>
                <w:sz w:val="24"/>
                <w:szCs w:val="24"/>
                <w:highlight w:val="white"/>
                <w:shd w:val="clear" w:color="auto" w:fill="FFFFFF"/>
              </w:rPr>
              <w:t>сертификат  о происхождении товара, выданный уполномоченным органом (организацией) государства - члена Евразийского экономического союза по </w:t>
            </w:r>
            <w:hyperlink r:id="rId77" w:anchor="/document/2568717/entry/1200" w:history="1">
              <w:r>
                <w:rPr>
                  <w:rFonts w:ascii="Times New Roman" w:hAnsi="Times New Roman"/>
                  <w:b/>
                  <w:color w:val="3272C0"/>
                  <w:sz w:val="24"/>
                  <w:szCs w:val="24"/>
                  <w:highlight w:val="white"/>
                  <w:shd w:val="clear" w:color="auto" w:fill="FFFFFF"/>
                </w:rPr>
                <w:t>форме</w:t>
              </w:r>
            </w:hyperlink>
            <w:r>
              <w:rPr>
                <w:rFonts w:ascii="Times New Roman" w:hAnsi="Times New Roman"/>
                <w:color w:val="22272F"/>
                <w:sz w:val="24"/>
                <w:szCs w:val="24"/>
                <w:highlight w:val="white"/>
                <w:shd w:val="clear" w:color="auto" w:fill="FFFFFF"/>
              </w:rPr>
              <w:t>,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w:t>
            </w:r>
            <w:r>
              <w:rPr>
                <w:rFonts w:ascii="Times New Roman" w:eastAsia="Times New Roman" w:hAnsi="Times New Roman"/>
                <w:color w:val="0000FF"/>
                <w:sz w:val="24"/>
                <w:szCs w:val="24"/>
                <w:highlight w:val="white"/>
                <w:u w:val="single"/>
                <w:lang w:eastAsia="ru-RU"/>
              </w:rPr>
              <w:t>подп. «в» п. 10 ПП РФ № 1875</w:t>
            </w:r>
            <w:r>
              <w:rPr>
                <w:rFonts w:ascii="Times New Roman" w:eastAsia="Times New Roman" w:hAnsi="Times New Roman"/>
                <w:sz w:val="24"/>
                <w:szCs w:val="24"/>
                <w:highlight w:val="white"/>
                <w:lang w:eastAsia="ru-RU"/>
              </w:rPr>
              <w:t>).</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highlight w:val="white"/>
              </w:rPr>
            </w:pPr>
            <w:r>
              <w:rPr>
                <w:rFonts w:ascii="Times New Roman" w:eastAsia="Times New Roman" w:hAnsi="Times New Roman"/>
                <w:b/>
                <w:sz w:val="24"/>
                <w:szCs w:val="24"/>
                <w:highlight w:val="white"/>
                <w:shd w:val="clear" w:color="auto" w:fill="FFFF00"/>
                <w:lang w:eastAsia="ru-RU"/>
              </w:rPr>
              <w:t xml:space="preserve">При осуществлении закупок товаров из числа мебели медицинской, включая хирургическую, стоматологическую или ветеринарную, и ее частей, включенных в коды </w:t>
            </w:r>
            <w:r>
              <w:rPr>
                <w:rFonts w:ascii="Times New Roman" w:eastAsia="Times New Roman" w:hAnsi="Times New Roman"/>
                <w:b/>
                <w:color w:val="0000FF"/>
                <w:sz w:val="24"/>
                <w:szCs w:val="24"/>
                <w:highlight w:val="white"/>
                <w:shd w:val="clear" w:color="auto" w:fill="FFFF00"/>
                <w:lang w:eastAsia="ru-RU"/>
              </w:rPr>
              <w:t>32.50.30.110</w:t>
            </w:r>
            <w:r>
              <w:rPr>
                <w:rFonts w:ascii="Times New Roman" w:eastAsia="Times New Roman" w:hAnsi="Times New Roman"/>
                <w:b/>
                <w:sz w:val="24"/>
                <w:szCs w:val="24"/>
                <w:highlight w:val="white"/>
                <w:shd w:val="clear" w:color="auto" w:fill="FFFF00"/>
                <w:lang w:eastAsia="ru-RU"/>
              </w:rPr>
              <w:t xml:space="preserve">, </w:t>
            </w:r>
            <w:r>
              <w:rPr>
                <w:rFonts w:ascii="Times New Roman" w:eastAsia="Times New Roman" w:hAnsi="Times New Roman"/>
                <w:b/>
                <w:color w:val="0000FF"/>
                <w:sz w:val="24"/>
                <w:szCs w:val="24"/>
                <w:highlight w:val="white"/>
                <w:shd w:val="clear" w:color="auto" w:fill="FFFF00"/>
                <w:lang w:eastAsia="ru-RU"/>
              </w:rPr>
              <w:t>32.50.30.119</w:t>
            </w:r>
            <w:r>
              <w:rPr>
                <w:rFonts w:ascii="Times New Roman" w:eastAsia="Times New Roman" w:hAnsi="Times New Roman"/>
                <w:b/>
                <w:sz w:val="24"/>
                <w:szCs w:val="24"/>
                <w:highlight w:val="white"/>
                <w:shd w:val="clear" w:color="auto" w:fill="FFFF00"/>
                <w:lang w:eastAsia="ru-RU"/>
              </w:rPr>
              <w:t xml:space="preserve">, </w:t>
            </w:r>
            <w:r>
              <w:rPr>
                <w:rFonts w:ascii="Times New Roman" w:eastAsia="Times New Roman" w:hAnsi="Times New Roman"/>
                <w:b/>
                <w:color w:val="0000FF"/>
                <w:sz w:val="24"/>
                <w:szCs w:val="24"/>
                <w:highlight w:val="white"/>
                <w:shd w:val="clear" w:color="auto" w:fill="FFFF00"/>
                <w:lang w:eastAsia="ru-RU"/>
              </w:rPr>
              <w:t>32.50.50</w:t>
            </w:r>
            <w:r>
              <w:rPr>
                <w:rFonts w:ascii="Times New Roman" w:eastAsia="Times New Roman" w:hAnsi="Times New Roman"/>
                <w:b/>
                <w:sz w:val="24"/>
                <w:szCs w:val="24"/>
                <w:highlight w:val="white"/>
                <w:shd w:val="clear" w:color="auto" w:fill="FFFF00"/>
                <w:lang w:eastAsia="ru-RU"/>
              </w:rPr>
              <w:t xml:space="preserve"> по Общероссийскому классификатору продукции по видам экономической деятельности ОК 034-2014 (КПЕС 2008) (</w:t>
            </w:r>
            <w:r>
              <w:rPr>
                <w:rFonts w:ascii="Times New Roman" w:eastAsia="Times New Roman" w:hAnsi="Times New Roman"/>
                <w:color w:val="000000"/>
                <w:sz w:val="24"/>
                <w:highlight w:val="white"/>
              </w:rPr>
              <w:t xml:space="preserve">за исключением кровати больничной механической, соответствующей коду 120210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 (далее - номенклатурная классификация), кровати больничной стандартной с электроприводом, соответствующей коду 136210 вида медицинского изделия в соответствии с номенклатурной классификацией, стеллажа для палаты пациента, соответствующего коду 156900 вида медицинского изделия в соответствии с номенклатурной классификацией, шкафа вытяжного, соответствующего коду 181470 вида медицинского </w:t>
            </w:r>
            <w:r>
              <w:rPr>
                <w:rFonts w:ascii="Times New Roman" w:eastAsia="Times New Roman" w:hAnsi="Times New Roman"/>
                <w:color w:val="000000"/>
                <w:sz w:val="24"/>
                <w:highlight w:val="white"/>
              </w:rPr>
              <w:lastRenderedPageBreak/>
              <w:t>изделия в соответствии с номенклатурной классификацией, ширмы прикроватной, соответствующей коду 184200 вида медицинского изделия в соответствии с номенклатурной классификацией, стеллажа общего назначения, соответствующего коду 260470 вида медицинского изделия в соответствии с номенклатурной классификацией, шкафа для сушки и хранения эндоскопов, соответствующего коду 271740 вида медицинского изделия в соответствии с номенклатурной классификацией</w:t>
            </w:r>
            <w:r>
              <w:rPr>
                <w:rFonts w:ascii="Times New Roman" w:eastAsia="Times New Roman" w:hAnsi="Times New Roman"/>
                <w:b/>
                <w:sz w:val="24"/>
                <w:szCs w:val="24"/>
                <w:highlight w:val="white"/>
                <w:shd w:val="clear" w:color="auto" w:fill="FFFF00"/>
                <w:lang w:eastAsia="ru-RU"/>
              </w:rPr>
              <w:t>) по 30 июня 2026 г.  включительно, документом, подтверждающим происхождение таких товаров из государств - членов Евразийского экономического союза, в том числе из Российской Федерации, также является сертификат о происхождении товара, выданный уполномоченным органом (организацией) государства - члена Евразийского экономического союза по </w:t>
            </w:r>
            <w:hyperlink r:id="rId78" w:anchor="/document/2568717/entry/1200" w:history="1">
              <w:r>
                <w:rPr>
                  <w:rFonts w:ascii="Times New Roman" w:eastAsia="Times New Roman" w:hAnsi="Times New Roman"/>
                  <w:b/>
                  <w:sz w:val="24"/>
                  <w:szCs w:val="24"/>
                  <w:highlight w:val="white"/>
                  <w:shd w:val="clear" w:color="auto" w:fill="FFFF00"/>
                  <w:lang w:eastAsia="ru-RU"/>
                </w:rPr>
                <w:t>форме</w:t>
              </w:r>
            </w:hyperlink>
            <w:r>
              <w:rPr>
                <w:rFonts w:ascii="Times New Roman" w:eastAsia="Times New Roman" w:hAnsi="Times New Roman"/>
                <w:b/>
                <w:sz w:val="24"/>
                <w:szCs w:val="24"/>
                <w:highlight w:val="white"/>
                <w:shd w:val="clear" w:color="auto" w:fill="FFFF00"/>
                <w:lang w:eastAsia="ru-RU"/>
              </w:rPr>
              <w:t>,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w:t>
            </w:r>
          </w:p>
          <w:p w:rsidR="0003468E" w:rsidRDefault="00EA11F8">
            <w:pPr>
              <w:pStyle w:val="aff0"/>
              <w:widowControl w:val="0"/>
              <w:spacing w:before="240" w:after="0" w:line="240" w:lineRule="auto"/>
              <w:ind w:firstLine="540"/>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shd w:val="clear" w:color="FFFFFF" w:themeColor="background1" w:fill="FFFFFF" w:themeFill="background1"/>
                <w:lang w:eastAsia="ru-RU"/>
              </w:rPr>
              <w:t xml:space="preserve">Для подтверждения происхождения товаров из Российской Федерации, (если отсутствие в реестре российской промышленной продукции такого товара с характеристиками, соответствующими потребности заказчика, </w:t>
            </w:r>
            <w:r>
              <w:rPr>
                <w:rFonts w:ascii="Times New Roman" w:eastAsia="Times New Roman" w:hAnsi="Times New Roman"/>
                <w:b/>
                <w:bCs/>
                <w:sz w:val="24"/>
                <w:szCs w:val="24"/>
                <w:highlight w:val="white"/>
                <w:shd w:val="clear" w:color="FFFFFF" w:themeColor="background1" w:fill="FFFFFF" w:themeFill="background1"/>
                <w:lang w:eastAsia="ru-RU"/>
              </w:rPr>
              <w:t>задекларировано</w:t>
            </w:r>
            <w:r>
              <w:rPr>
                <w:rFonts w:ascii="Times New Roman" w:eastAsia="Times New Roman" w:hAnsi="Times New Roman"/>
                <w:sz w:val="24"/>
                <w:szCs w:val="24"/>
                <w:highlight w:val="white"/>
                <w:shd w:val="clear" w:color="FFFFFF" w:themeColor="background1" w:fill="FFFFFF" w:themeFill="background1"/>
                <w:lang w:eastAsia="ru-RU"/>
              </w:rPr>
              <w:t xml:space="preserve"> заказчиком в соответствии с абзацем четвертым подпункта "а" пункта 7 ПП РФ № 1875), за исключением случая, если в заявке на участие в закупке содержится предложение о поставке товара, который по состоянию на момент подачи заявки на участие в закупке включен в реестр российской промышленной продукции  - </w:t>
            </w:r>
            <w:r>
              <w:rPr>
                <w:rFonts w:ascii="Times New Roman" w:eastAsia="Times New Roman" w:hAnsi="Times New Roman"/>
                <w:b/>
                <w:bCs/>
                <w:sz w:val="24"/>
                <w:szCs w:val="24"/>
                <w:highlight w:val="white"/>
                <w:shd w:val="clear" w:color="FFFFFF" w:themeColor="background1" w:fill="FFFFFF" w:themeFill="background1"/>
                <w:lang w:eastAsia="ru-RU"/>
              </w:rPr>
              <w:t>наименование страны происхождения товара в соответствии с подпунктом «б» пункта 2 части 1 статьи 43 Федерального закона о контрактной системе.</w:t>
            </w:r>
          </w:p>
          <w:p w:rsidR="0003468E" w:rsidRDefault="0003468E">
            <w:pPr>
              <w:widowControl w:val="0"/>
              <w:spacing w:after="0" w:line="240" w:lineRule="auto"/>
              <w:ind w:firstLine="540"/>
              <w:jc w:val="both"/>
              <w:rPr>
                <w:rFonts w:ascii="Times New Roman" w:hAnsi="Times New Roman"/>
                <w:color w:val="22272F"/>
                <w:sz w:val="24"/>
                <w:szCs w:val="24"/>
                <w:highlight w:val="white"/>
              </w:rPr>
            </w:pPr>
          </w:p>
          <w:p w:rsidR="0003468E" w:rsidRDefault="00EA11F8">
            <w:pPr>
              <w:widowControl w:val="0"/>
              <w:spacing w:after="0" w:line="240" w:lineRule="auto"/>
              <w:ind w:firstLine="540"/>
              <w:jc w:val="both"/>
              <w:rPr>
                <w:rFonts w:ascii="Times New Roman" w:hAnsi="Times New Roman"/>
                <w:color w:val="22272F"/>
                <w:sz w:val="24"/>
                <w:szCs w:val="24"/>
                <w:highlight w:val="white"/>
              </w:rPr>
            </w:pPr>
            <w:r>
              <w:rPr>
                <w:rFonts w:ascii="Times New Roman" w:hAnsi="Times New Roman"/>
                <w:color w:val="22272F"/>
                <w:sz w:val="24"/>
                <w:szCs w:val="24"/>
                <w:highlight w:val="white"/>
                <w:shd w:val="clear" w:color="auto" w:fill="FFFFFF"/>
              </w:rPr>
              <w:t>В отношении одной позиции товара, указанной в извещении об осуществлении закупки участник закупки указывает не более одного номера реестровой записи из реестра российской промышленной продукции, за исключением случаев закупки технически сложных, многокомпонентных  товаров или комплектов товаров, состоящих из нескольких самостоятельных товаров, имеющих отдельные номера реестровой записи в реестре российской промышленной продукции.</w:t>
            </w:r>
          </w:p>
          <w:p w:rsidR="0003468E" w:rsidRDefault="0003468E">
            <w:pPr>
              <w:widowControl w:val="0"/>
              <w:spacing w:after="0" w:line="240" w:lineRule="auto"/>
              <w:ind w:firstLine="540"/>
              <w:jc w:val="both"/>
              <w:rPr>
                <w:rFonts w:ascii="Times New Roman" w:eastAsia="Times New Roman" w:hAnsi="Times New Roman"/>
                <w:b/>
                <w:sz w:val="24"/>
                <w:szCs w:val="24"/>
                <w:highlight w:val="white"/>
              </w:rPr>
            </w:pPr>
          </w:p>
          <w:p w:rsidR="0003468E" w:rsidRDefault="00EA11F8">
            <w:pPr>
              <w:widowControl w:val="0"/>
              <w:spacing w:after="0" w:line="240" w:lineRule="auto"/>
              <w:ind w:firstLine="540"/>
              <w:jc w:val="both"/>
              <w:rPr>
                <w:rFonts w:ascii="Times New Roman" w:eastAsia="Times New Roman" w:hAnsi="Times New Roman"/>
                <w:color w:val="FF0000"/>
                <w:sz w:val="24"/>
                <w:szCs w:val="24"/>
                <w:highlight w:val="white"/>
              </w:rPr>
            </w:pPr>
            <w:r>
              <w:rPr>
                <w:rFonts w:ascii="Times New Roman" w:eastAsia="Times New Roman" w:hAnsi="Times New Roman"/>
                <w:b/>
                <w:color w:val="FF0000"/>
                <w:sz w:val="24"/>
                <w:szCs w:val="24"/>
                <w:highlight w:val="white"/>
                <w:lang w:eastAsia="ru-RU"/>
              </w:rPr>
              <w:t>Для товаров из государств - членов Евразийского экономического союза, з</w:t>
            </w:r>
            <w:r>
              <w:rPr>
                <w:rFonts w:ascii="Times New Roman" w:eastAsia="Times New Roman" w:hAnsi="Times New Roman"/>
                <w:color w:val="FF0000"/>
                <w:sz w:val="24"/>
                <w:szCs w:val="24"/>
                <w:highlight w:val="white"/>
                <w:lang w:eastAsia="ru-RU"/>
              </w:rPr>
              <w:t>а исключением Российской Федерации:</w:t>
            </w:r>
          </w:p>
          <w:p w:rsidR="0003468E" w:rsidRDefault="0003468E">
            <w:pPr>
              <w:widowControl w:val="0"/>
              <w:spacing w:after="0" w:line="240" w:lineRule="auto"/>
              <w:ind w:firstLine="540"/>
              <w:jc w:val="both"/>
              <w:rPr>
                <w:rFonts w:ascii="Times New Roman" w:eastAsia="Times New Roman" w:hAnsi="Times New Roman"/>
                <w:b/>
                <w:bCs/>
                <w:sz w:val="24"/>
                <w:szCs w:val="24"/>
                <w:highlight w:val="white"/>
              </w:rPr>
            </w:pPr>
          </w:p>
          <w:p w:rsidR="0003468E" w:rsidRDefault="00EA11F8">
            <w:pPr>
              <w:widowControl w:val="0"/>
              <w:spacing w:after="0" w:line="240" w:lineRule="auto"/>
              <w:ind w:firstLine="540"/>
              <w:jc w:val="both"/>
              <w:rPr>
                <w:rFonts w:ascii="Times New Roman" w:eastAsia="Times New Roman" w:hAnsi="Times New Roman"/>
                <w:sz w:val="24"/>
                <w:szCs w:val="24"/>
                <w:highlight w:val="white"/>
              </w:rPr>
            </w:pPr>
            <w:r>
              <w:rPr>
                <w:rFonts w:ascii="Times New Roman" w:eastAsia="Times New Roman" w:hAnsi="Times New Roman"/>
                <w:b/>
                <w:sz w:val="24"/>
                <w:szCs w:val="24"/>
                <w:highlight w:val="white"/>
                <w:lang w:eastAsia="ru-RU"/>
              </w:rPr>
              <w:t>-Н</w:t>
            </w:r>
            <w:r>
              <w:rPr>
                <w:rFonts w:ascii="Times New Roman" w:eastAsia="Times New Roman" w:hAnsi="Times New Roman"/>
                <w:b/>
                <w:bCs/>
                <w:sz w:val="24"/>
                <w:szCs w:val="24"/>
                <w:highlight w:val="white"/>
                <w:lang w:eastAsia="ru-RU"/>
              </w:rPr>
              <w:t>омер реестровой записи из евразийского реестра промышленных товаров государств - членов Евразийского экономического союза</w:t>
            </w:r>
            <w:r>
              <w:rPr>
                <w:rFonts w:ascii="Times New Roman" w:eastAsia="Times New Roman" w:hAnsi="Times New Roman"/>
                <w:sz w:val="24"/>
                <w:szCs w:val="24"/>
                <w:highlight w:val="white"/>
                <w:lang w:eastAsia="ru-RU"/>
              </w:rPr>
              <w:t>, порядок формирования и ведения которого устанавливается правом Евразийского экономического союза (далее - евразийский реестр промышленных товаров), содержащей в том числе:</w:t>
            </w:r>
          </w:p>
          <w:p w:rsidR="0003468E" w:rsidRDefault="00EA11F8">
            <w:pPr>
              <w:widowControl w:val="0"/>
              <w:spacing w:before="240" w:after="0" w:line="240" w:lineRule="auto"/>
              <w:ind w:firstLine="540"/>
              <w:jc w:val="both"/>
              <w:rPr>
                <w:rFonts w:ascii="Times New Roman" w:eastAsia="Times New Roman" w:hAnsi="Times New Roman"/>
                <w:sz w:val="20"/>
                <w:szCs w:val="20"/>
                <w:highlight w:val="white"/>
              </w:rPr>
            </w:pPr>
            <w:r>
              <w:rPr>
                <w:rFonts w:ascii="Times New Roman" w:eastAsia="Times New Roman" w:hAnsi="Times New Roman"/>
                <w:b/>
                <w:bCs/>
                <w:sz w:val="24"/>
                <w:szCs w:val="24"/>
                <w:highlight w:val="white"/>
                <w:lang w:eastAsia="ru-RU"/>
              </w:rPr>
              <w:lastRenderedPageBreak/>
              <w:t>-информацию о совокупном количестве баллов</w:t>
            </w:r>
            <w:r>
              <w:rPr>
                <w:rFonts w:ascii="Times New Roman" w:eastAsia="Times New Roman" w:hAnsi="Times New Roman"/>
                <w:sz w:val="24"/>
                <w:szCs w:val="24"/>
                <w:highlight w:val="white"/>
                <w:lang w:eastAsia="ru-RU"/>
              </w:rPr>
              <w:t xml:space="preserve"> за выполнение (освоение) на территории Евразийского экономического союза соответствующих операций (условий), которое составляет или превышает значение, определенное правом Евразийского экономического союза</w:t>
            </w:r>
            <w:r>
              <w:rPr>
                <w:rFonts w:ascii="Times New Roman" w:eastAsia="Times New Roman" w:hAnsi="Times New Roman"/>
                <w:i/>
                <w:sz w:val="24"/>
                <w:szCs w:val="24"/>
                <w:highlight w:val="white"/>
                <w:lang w:eastAsia="ru-RU"/>
              </w:rPr>
              <w:t xml:space="preserve">                                         </w:t>
            </w:r>
            <w:r>
              <w:rPr>
                <w:rFonts w:ascii="Times New Roman" w:eastAsia="Times New Roman" w:hAnsi="Times New Roman"/>
                <w:i/>
                <w:sz w:val="20"/>
                <w:szCs w:val="20"/>
                <w:highlight w:val="white"/>
                <w:lang w:eastAsia="ru-RU"/>
              </w:rPr>
              <w:t>(данная информация должна содержаться в реестровой записи только при закупке тех товаров, в отношении которых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w:t>
            </w:r>
            <w:r>
              <w:rPr>
                <w:rFonts w:ascii="Times New Roman" w:eastAsia="Times New Roman" w:hAnsi="Times New Roman"/>
                <w:sz w:val="20"/>
                <w:szCs w:val="20"/>
                <w:highlight w:val="white"/>
                <w:lang w:eastAsia="ru-RU"/>
              </w:rPr>
              <w:t>).</w:t>
            </w:r>
          </w:p>
          <w:p w:rsidR="0003468E" w:rsidRDefault="00EA11F8">
            <w:pPr>
              <w:widowControl w:val="0"/>
              <w:spacing w:after="0" w:line="240" w:lineRule="auto"/>
              <w:ind w:left="-7" w:firstLine="574"/>
              <w:jc w:val="both"/>
              <w:rPr>
                <w:rFonts w:ascii="Times New Roman" w:eastAsia="Times New Roman" w:hAnsi="Times New Roman"/>
                <w:sz w:val="24"/>
                <w:szCs w:val="24"/>
                <w:highlight w:val="white"/>
              </w:rPr>
            </w:pPr>
            <w:r>
              <w:rPr>
                <w:rFonts w:ascii="Times New Roman" w:eastAsia="Times New Roman" w:hAnsi="Times New Roman"/>
                <w:b/>
                <w:bCs/>
                <w:sz w:val="24"/>
                <w:szCs w:val="24"/>
                <w:highlight w:val="white"/>
                <w:lang w:eastAsia="ru-RU"/>
              </w:rPr>
              <w:t>- информацию об уровне радиоэлектронной продукции</w:t>
            </w:r>
            <w:r>
              <w:rPr>
                <w:rFonts w:ascii="Times New Roman" w:eastAsia="Times New Roman" w:hAnsi="Times New Roman"/>
                <w:sz w:val="24"/>
                <w:szCs w:val="24"/>
                <w:highlight w:val="white"/>
                <w:lang w:eastAsia="ru-RU"/>
              </w:rPr>
              <w:t xml:space="preserve">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 (</w:t>
            </w:r>
            <w:r>
              <w:rPr>
                <w:rFonts w:ascii="Times New Roman" w:hAnsi="Times New Roman"/>
                <w:b/>
                <w:i/>
                <w:color w:val="22272F"/>
                <w:sz w:val="24"/>
                <w:szCs w:val="24"/>
                <w:highlight w:val="white"/>
                <w:shd w:val="clear" w:color="auto" w:fill="FFFFFF"/>
              </w:rPr>
              <w:t>данная информация должна содержаться в реестровой записи только при закупке товаров, указанных в </w:t>
            </w:r>
            <w:hyperlink r:id="rId79" w:anchor="/document/411197447/entry/2195" w:history="1">
              <w:r>
                <w:rPr>
                  <w:rFonts w:ascii="Times New Roman" w:hAnsi="Times New Roman"/>
                  <w:b/>
                  <w:i/>
                  <w:color w:val="3272C0"/>
                  <w:sz w:val="24"/>
                  <w:szCs w:val="24"/>
                  <w:highlight w:val="white"/>
                  <w:shd w:val="clear" w:color="auto" w:fill="FFFFFF"/>
                </w:rPr>
                <w:t>позициях 195</w:t>
              </w:r>
            </w:hyperlink>
            <w:r>
              <w:rPr>
                <w:rFonts w:ascii="Times New Roman" w:hAnsi="Times New Roman"/>
                <w:b/>
                <w:i/>
                <w:color w:val="22272F"/>
                <w:sz w:val="24"/>
                <w:szCs w:val="24"/>
                <w:highlight w:val="white"/>
                <w:shd w:val="clear" w:color="auto" w:fill="FFFFFF"/>
              </w:rPr>
              <w:t>, </w:t>
            </w:r>
            <w:hyperlink r:id="rId80" w:anchor="/document/411197447/entry/2197" w:history="1">
              <w:r>
                <w:rPr>
                  <w:rFonts w:ascii="Times New Roman" w:hAnsi="Times New Roman"/>
                  <w:b/>
                  <w:i/>
                  <w:color w:val="3272C0"/>
                  <w:sz w:val="24"/>
                  <w:szCs w:val="24"/>
                  <w:highlight w:val="white"/>
                  <w:shd w:val="clear" w:color="auto" w:fill="FFFFFF"/>
                </w:rPr>
                <w:t>197 - 199</w:t>
              </w:r>
            </w:hyperlink>
            <w:r>
              <w:rPr>
                <w:rFonts w:ascii="Times New Roman" w:hAnsi="Times New Roman"/>
                <w:b/>
                <w:i/>
                <w:color w:val="22272F"/>
                <w:sz w:val="24"/>
                <w:szCs w:val="24"/>
                <w:highlight w:val="white"/>
                <w:shd w:val="clear" w:color="auto" w:fill="FFFFFF"/>
              </w:rPr>
              <w:t> и </w:t>
            </w:r>
            <w:hyperlink r:id="rId81" w:anchor="/document/411197447/entry/2203" w:history="1">
              <w:r>
                <w:rPr>
                  <w:rFonts w:ascii="Times New Roman" w:hAnsi="Times New Roman"/>
                  <w:b/>
                  <w:i/>
                  <w:color w:val="3272C0"/>
                  <w:sz w:val="24"/>
                  <w:szCs w:val="24"/>
                  <w:highlight w:val="white"/>
                  <w:shd w:val="clear" w:color="auto" w:fill="FFFFFF"/>
                </w:rPr>
                <w:t>203</w:t>
              </w:r>
            </w:hyperlink>
            <w:r>
              <w:rPr>
                <w:rFonts w:ascii="Times New Roman" w:hAnsi="Times New Roman"/>
                <w:b/>
                <w:i/>
                <w:color w:val="22272F"/>
                <w:sz w:val="24"/>
                <w:szCs w:val="24"/>
                <w:highlight w:val="white"/>
                <w:shd w:val="clear" w:color="auto" w:fill="FFFFFF"/>
              </w:rPr>
              <w:t xml:space="preserve"> приложения N 2 </w:t>
            </w:r>
            <w:r>
              <w:rPr>
                <w:rFonts w:ascii="Times New Roman" w:eastAsia="Times New Roman" w:hAnsi="Times New Roman"/>
                <w:b/>
                <w:i/>
                <w:sz w:val="24"/>
                <w:szCs w:val="24"/>
                <w:highlight w:val="white"/>
                <w:lang w:eastAsia="ru-RU"/>
              </w:rPr>
              <w:t>ПП РФ № 1875</w:t>
            </w:r>
            <w:r>
              <w:rPr>
                <w:rFonts w:ascii="Times New Roman" w:eastAsia="Times New Roman" w:hAnsi="Times New Roman"/>
                <w:sz w:val="24"/>
                <w:szCs w:val="24"/>
                <w:highlight w:val="white"/>
                <w:lang w:eastAsia="ru-RU"/>
              </w:rPr>
              <w:t>)</w:t>
            </w:r>
          </w:p>
          <w:p w:rsidR="0003468E" w:rsidRDefault="0003468E">
            <w:pPr>
              <w:widowControl w:val="0"/>
              <w:spacing w:after="0" w:line="240" w:lineRule="auto"/>
              <w:ind w:left="-7" w:firstLine="574"/>
              <w:jc w:val="both"/>
              <w:rPr>
                <w:rFonts w:ascii="Times New Roman" w:eastAsia="Times New Roman" w:hAnsi="Times New Roman"/>
                <w:sz w:val="24"/>
                <w:szCs w:val="24"/>
                <w:highlight w:val="white"/>
              </w:rPr>
            </w:pP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highlight w:val="white"/>
              </w:rPr>
            </w:pPr>
            <w:r>
              <w:rPr>
                <w:rFonts w:ascii="Times New Roman" w:eastAsia="Times New Roman" w:hAnsi="Times New Roman"/>
                <w:i/>
                <w:iCs/>
                <w:color w:val="000000"/>
                <w:sz w:val="24"/>
                <w:highlight w:val="white"/>
              </w:rPr>
              <w:t xml:space="preserve">До внесения изменений в право Евразийского экономического союза, предусматривающих подтверждение страны происхождения товаров, указанных в приложении N 2  к постановлению Правительства РФ 1875, путем предоставления информации из евразийского реестра промышленных товаров, документом, подтверждающим происхождение таких товаров из государств - членов Евразийского экономического союза, за исключением Российской Федерации, является </w:t>
            </w:r>
            <w:r>
              <w:rPr>
                <w:rFonts w:ascii="Times New Roman" w:eastAsia="Times New Roman" w:hAnsi="Times New Roman"/>
                <w:b/>
                <w:bCs/>
                <w:i/>
                <w:iCs/>
                <w:color w:val="000000"/>
                <w:sz w:val="24"/>
                <w:highlight w:val="white"/>
              </w:rPr>
              <w:t>сертификат о происхождении товара, выданный уполномоченным органом (организацией) государства</w:t>
            </w:r>
            <w:r>
              <w:rPr>
                <w:rFonts w:ascii="Times New Roman" w:eastAsia="Times New Roman" w:hAnsi="Times New Roman"/>
                <w:i/>
                <w:iCs/>
                <w:color w:val="000000"/>
                <w:sz w:val="24"/>
                <w:highlight w:val="white"/>
              </w:rPr>
              <w:t xml:space="preserve"> - члена Евразийского экономического союза по форме, установленной </w:t>
            </w:r>
            <w:hyperlink r:id="rId82" w:tooltip="https://login.consultant.ru/link/?req=doc&amp;base=LAW&amp;n=451182&amp;dst=100024&amp;field=134&amp;date=03.09.2025" w:history="1">
              <w:r>
                <w:rPr>
                  <w:rStyle w:val="af"/>
                  <w:rFonts w:ascii="Times New Roman" w:eastAsia="Times New Roman" w:hAnsi="Times New Roman"/>
                  <w:i/>
                  <w:iCs/>
                  <w:sz w:val="24"/>
                  <w:highlight w:val="white"/>
                  <w:u w:val="none"/>
                </w:rPr>
                <w:t>Правилами</w:t>
              </w:r>
            </w:hyperlink>
            <w:r>
              <w:rPr>
                <w:rFonts w:ascii="Times New Roman" w:eastAsia="Times New Roman" w:hAnsi="Times New Roman"/>
                <w:i/>
                <w:iCs/>
                <w:color w:val="000000"/>
                <w:sz w:val="24"/>
                <w:highlight w:val="white"/>
              </w:rPr>
              <w:t xml:space="preserve"> определения страны происхождения товаров, и в соответствии с критериями определения страны происхождения товаров, предусмотренными </w:t>
            </w:r>
            <w:hyperlink r:id="rId83" w:tooltip="https://login.consultant.ru/link/?req=doc&amp;base=LAW&amp;n=451182&amp;dst=100024&amp;field=134&amp;date=03.09.2025" w:history="1">
              <w:r>
                <w:rPr>
                  <w:rStyle w:val="af"/>
                  <w:rFonts w:ascii="Times New Roman" w:eastAsia="Times New Roman" w:hAnsi="Times New Roman"/>
                  <w:i/>
                  <w:iCs/>
                  <w:sz w:val="24"/>
                  <w:highlight w:val="white"/>
                  <w:u w:val="none"/>
                </w:rPr>
                <w:t>Правилами</w:t>
              </w:r>
            </w:hyperlink>
            <w:r>
              <w:rPr>
                <w:rFonts w:ascii="Times New Roman" w:eastAsia="Times New Roman" w:hAnsi="Times New Roman"/>
                <w:i/>
                <w:iCs/>
                <w:color w:val="000000"/>
                <w:sz w:val="24"/>
                <w:highlight w:val="white"/>
              </w:rPr>
              <w:t xml:space="preserve"> определения страны происхождения товаров.</w:t>
            </w:r>
          </w:p>
          <w:p w:rsidR="0003468E" w:rsidRDefault="00EA11F8">
            <w:pPr>
              <w:widowControl w:val="0"/>
              <w:spacing w:after="0" w:line="240" w:lineRule="auto"/>
              <w:ind w:firstLine="702"/>
              <w:jc w:val="both"/>
              <w:rPr>
                <w:rFonts w:ascii="Times New Roman" w:hAnsi="Times New Roman"/>
                <w:b/>
                <w:i/>
                <w:color w:val="22272F"/>
                <w:sz w:val="24"/>
                <w:szCs w:val="24"/>
                <w:highlight w:val="white"/>
                <w:shd w:val="clear" w:color="auto" w:fill="FFFFFF"/>
              </w:rPr>
            </w:pPr>
            <w:r>
              <w:rPr>
                <w:rFonts w:ascii="Times New Roman" w:hAnsi="Times New Roman"/>
                <w:b/>
                <w:i/>
                <w:color w:val="22272F"/>
                <w:sz w:val="24"/>
                <w:szCs w:val="24"/>
                <w:highlight w:val="white"/>
                <w:shd w:val="clear" w:color="auto" w:fill="FFFFFF"/>
              </w:rPr>
              <w:t>В отношении одной позиции товара, указанной в извещении об осуществлении закупки участник закупки указывает не более одного номера реестровой записи из реестра евразийской промышленной продукции, за исключением случаев закупки технически сложных, многокомпонентных  товаров или комплектов товаров, состоящих из нескольких самостоятельных товаров, имеющих отдельные номера реестровой записи в реестре евразийской промышленной продукции.</w:t>
            </w:r>
          </w:p>
          <w:p w:rsidR="0003468E" w:rsidRDefault="0003468E">
            <w:pPr>
              <w:pBdr>
                <w:top w:val="none" w:sz="4" w:space="0" w:color="000000"/>
                <w:left w:val="none" w:sz="4" w:space="0" w:color="000000"/>
                <w:bottom w:val="none" w:sz="4" w:space="0" w:color="000000"/>
                <w:right w:val="none" w:sz="4" w:space="0" w:color="000000"/>
              </w:pBdr>
              <w:spacing w:after="0" w:line="288" w:lineRule="atLeast"/>
              <w:ind w:firstLine="540"/>
              <w:jc w:val="both"/>
              <w:rPr>
                <w:highlight w:val="white"/>
              </w:rPr>
            </w:pPr>
          </w:p>
        </w:tc>
      </w:tr>
      <w:tr w:rsidR="0003468E">
        <w:tc>
          <w:tcPr>
            <w:tcW w:w="2467" w:type="dxa"/>
            <w:tcBorders>
              <w:top w:val="single" w:sz="4" w:space="0" w:color="000000"/>
              <w:left w:val="single" w:sz="4" w:space="0" w:color="000000"/>
              <w:bottom w:val="single" w:sz="4" w:space="0" w:color="000000"/>
              <w:right w:val="single" w:sz="4" w:space="0" w:color="000000"/>
            </w:tcBorders>
          </w:tcPr>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highlight w:val="white"/>
              </w:rPr>
            </w:pPr>
            <w:r>
              <w:rPr>
                <w:rFonts w:ascii="Times New Roman" w:eastAsia="Times New Roman" w:hAnsi="Times New Roman"/>
                <w:sz w:val="24"/>
                <w:szCs w:val="24"/>
                <w:highlight w:val="white"/>
                <w:lang w:eastAsia="ru-RU"/>
              </w:rPr>
              <w:lastRenderedPageBreak/>
              <w:t xml:space="preserve">МЕДИЦИНСКИЕ ИЗДЕЛИЯ,                            указанные в позициях </w:t>
            </w:r>
            <w:r>
              <w:rPr>
                <w:rFonts w:ascii="Times New Roman" w:eastAsia="Times New Roman" w:hAnsi="Times New Roman"/>
                <w:color w:val="000000"/>
                <w:sz w:val="24"/>
                <w:highlight w:val="white"/>
              </w:rPr>
              <w:t>400 - 415 и 429 - 432</w:t>
            </w:r>
            <w:r>
              <w:rPr>
                <w:rFonts w:ascii="Times New Roman" w:eastAsia="Times New Roman" w:hAnsi="Times New Roman"/>
                <w:sz w:val="24"/>
                <w:szCs w:val="24"/>
                <w:highlight w:val="white"/>
                <w:lang w:eastAsia="ru-RU"/>
              </w:rPr>
              <w:t xml:space="preserve"> приложения № 2 ПП РФ № 1875</w:t>
            </w:r>
          </w:p>
          <w:p w:rsidR="0003468E" w:rsidRDefault="00EA11F8">
            <w:pPr>
              <w:widowControl w:val="0"/>
              <w:spacing w:after="0" w:line="240" w:lineRule="auto"/>
              <w:ind w:right="-151"/>
              <w:rPr>
                <w:rFonts w:ascii="Times New Roman" w:eastAsia="Times New Roman" w:hAnsi="Times New Roman"/>
                <w:sz w:val="24"/>
                <w:szCs w:val="24"/>
                <w:highlight w:val="white"/>
              </w:rPr>
            </w:pPr>
            <w:r>
              <w:rPr>
                <w:rFonts w:ascii="Times New Roman" w:eastAsia="Times New Roman" w:hAnsi="Times New Roman"/>
                <w:b/>
                <w:bCs/>
                <w:i/>
                <w:iCs/>
                <w:sz w:val="24"/>
                <w:szCs w:val="24"/>
                <w:highlight w:val="white"/>
                <w:lang w:eastAsia="ru-RU"/>
              </w:rPr>
              <w:t>(</w:t>
            </w:r>
            <w:r>
              <w:rPr>
                <w:b/>
                <w:bCs/>
                <w:sz w:val="20"/>
                <w:szCs w:val="20"/>
                <w:highlight w:val="white"/>
              </w:rPr>
              <w:t xml:space="preserve">устройства и контейнеры </w:t>
            </w:r>
            <w:r>
              <w:rPr>
                <w:b/>
                <w:bCs/>
                <w:sz w:val="20"/>
                <w:szCs w:val="20"/>
                <w:highlight w:val="white"/>
              </w:rPr>
              <w:lastRenderedPageBreak/>
              <w:t>для переливания крови, мочеприемники, калоприемники</w:t>
            </w:r>
            <w:r>
              <w:rPr>
                <w:rFonts w:ascii="Times New Roman" w:eastAsia="Times New Roman" w:hAnsi="Times New Roman"/>
                <w:b/>
                <w:bCs/>
                <w:i/>
                <w:iCs/>
                <w:sz w:val="20"/>
                <w:szCs w:val="20"/>
                <w:highlight w:val="white"/>
                <w:lang w:eastAsia="ru-RU"/>
              </w:rPr>
              <w:t xml:space="preserve">) </w:t>
            </w:r>
          </w:p>
        </w:tc>
        <w:tc>
          <w:tcPr>
            <w:tcW w:w="6699"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beforeAutospacing="1" w:afterAutospacing="1" w:line="240" w:lineRule="auto"/>
              <w:ind w:firstLine="567"/>
              <w:jc w:val="both"/>
              <w:rPr>
                <w:rFonts w:ascii="Times New Roman" w:eastAsia="Times New Roman" w:hAnsi="Times New Roman"/>
                <w:sz w:val="24"/>
                <w:szCs w:val="24"/>
                <w:highlight w:val="white"/>
              </w:rPr>
            </w:pPr>
            <w:r>
              <w:rPr>
                <w:rFonts w:ascii="Times New Roman" w:hAnsi="Times New Roman"/>
                <w:color w:val="22272F"/>
                <w:sz w:val="24"/>
                <w:szCs w:val="24"/>
                <w:highlight w:val="white"/>
                <w:shd w:val="clear" w:color="auto" w:fill="FFFFFF"/>
              </w:rPr>
              <w:lastRenderedPageBreak/>
              <w:t>По 30 июня 2026 г. включительно, информацией и документами, подтверждающими происхождение таких товаров из государств - членов Евразийского экономического союза, в том числе из Российской Федерации, являются следующие информация и документы в совокупности:</w:t>
            </w:r>
          </w:p>
          <w:p w:rsidR="0003468E" w:rsidRDefault="00EA11F8">
            <w:pPr>
              <w:widowControl w:val="0"/>
              <w:spacing w:beforeAutospacing="1" w:afterAutospacing="1" w:line="240" w:lineRule="auto"/>
              <w:ind w:firstLine="567"/>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с</w:t>
            </w:r>
            <w:r>
              <w:rPr>
                <w:rFonts w:ascii="Times New Roman" w:eastAsia="Times New Roman" w:hAnsi="Times New Roman"/>
                <w:b/>
                <w:sz w:val="24"/>
                <w:szCs w:val="24"/>
                <w:highlight w:val="white"/>
                <w:lang w:eastAsia="ru-RU"/>
              </w:rPr>
              <w:t>ертификат о происхождении товара</w:t>
            </w:r>
            <w:r>
              <w:rPr>
                <w:rFonts w:ascii="Times New Roman" w:eastAsia="Times New Roman" w:hAnsi="Times New Roman"/>
                <w:sz w:val="24"/>
                <w:szCs w:val="24"/>
                <w:highlight w:val="white"/>
                <w:lang w:eastAsia="ru-RU"/>
              </w:rPr>
              <w:t xml:space="preserve">, выданный </w:t>
            </w:r>
            <w:r>
              <w:rPr>
                <w:rFonts w:ascii="Times New Roman" w:eastAsia="Times New Roman" w:hAnsi="Times New Roman"/>
                <w:sz w:val="24"/>
                <w:szCs w:val="24"/>
                <w:highlight w:val="white"/>
                <w:lang w:eastAsia="ru-RU"/>
              </w:rPr>
              <w:lastRenderedPageBreak/>
              <w:t>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и в соответствии с критериями определения страны происхождения товаров, предусмотренными Правилами определения страны происхождения товаров;</w:t>
            </w:r>
          </w:p>
          <w:p w:rsidR="0003468E" w:rsidRDefault="00EA11F8">
            <w:pPr>
              <w:widowControl w:val="0"/>
              <w:spacing w:after="0" w:line="240" w:lineRule="auto"/>
              <w:ind w:firstLine="560"/>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акт экспертизы Торгово-промышленной палаты Российской Федерации или аналогичный документ, выданный уполномоченным органом (организацией) государства - члена Евразийского экономического союза, содержащий информацию о рассчитанной в соответствии с подпунктом "в" пункта 2.4 Правил определения страны происхождения товаров доле стоимости используемых для производства одной единицы медицинского изделия иностранных материалов (сырья) в цене конечной продукции, величина которой не превышает предельные значения согласно приложению № 4 ПП РФ №1875;</w:t>
            </w:r>
          </w:p>
          <w:p w:rsidR="0003468E" w:rsidRDefault="00EA11F8">
            <w:pPr>
              <w:widowControl w:val="0"/>
              <w:spacing w:before="240" w:after="0" w:line="240" w:lineRule="auto"/>
              <w:ind w:firstLine="540"/>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реквизиты (дата и номер) документа, подтверждающего соответствие производства медицинских изделий требованиям ГОСТ ISO 13485-2017 «Межгосударственный стандарт. Изделия медицинские. Системы менеджмента качества. Требования для целей регулирования».</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b/>
                <w:bCs/>
                <w:color w:val="000000"/>
                <w:sz w:val="24"/>
                <w:szCs w:val="24"/>
                <w:highlight w:val="white"/>
              </w:rPr>
            </w:pPr>
            <w:r>
              <w:rPr>
                <w:rFonts w:ascii="Times New Roman" w:hAnsi="Times New Roman"/>
                <w:color w:val="000000"/>
                <w:sz w:val="24"/>
                <w:szCs w:val="24"/>
                <w:highlight w:val="white"/>
                <w:shd w:val="clear" w:color="auto" w:fill="FFFFFF"/>
              </w:rPr>
              <w:t xml:space="preserve">Для подтверждения происхождения данных товаров из Российской Федерации </w:t>
            </w:r>
            <w:r>
              <w:rPr>
                <w:rFonts w:ascii="Times New Roman" w:hAnsi="Times New Roman"/>
                <w:b/>
                <w:color w:val="000000"/>
                <w:sz w:val="24"/>
                <w:szCs w:val="24"/>
                <w:highlight w:val="white"/>
                <w:shd w:val="clear" w:color="auto" w:fill="FFFFFF"/>
              </w:rPr>
              <w:t xml:space="preserve">участник закупки вправе предоставить </w:t>
            </w:r>
            <w:r>
              <w:rPr>
                <w:rFonts w:ascii="Times New Roman" w:eastAsia="Times New Roman" w:hAnsi="Times New Roman"/>
                <w:b/>
                <w:bCs/>
                <w:color w:val="000000"/>
                <w:sz w:val="24"/>
                <w:highlight w:val="white"/>
              </w:rPr>
              <w:t xml:space="preserve">номер реестровой записи </w:t>
            </w:r>
            <w:r>
              <w:rPr>
                <w:rFonts w:ascii="Times New Roman" w:eastAsia="Times New Roman" w:hAnsi="Times New Roman"/>
                <w:color w:val="000000"/>
                <w:sz w:val="24"/>
                <w:highlight w:val="white"/>
              </w:rPr>
              <w:t xml:space="preserve">из реестра российской промышленной продукции </w:t>
            </w:r>
            <w:r>
              <w:rPr>
                <w:rFonts w:ascii="Times New Roman" w:eastAsia="Times New Roman" w:hAnsi="Times New Roman"/>
                <w:bCs/>
                <w:color w:val="000000"/>
                <w:sz w:val="24"/>
                <w:highlight w:val="white"/>
              </w:rPr>
              <w:t>и, в случае если согласно указанной реестровой записи товар произведен по</w:t>
            </w:r>
            <w:r>
              <w:rPr>
                <w:rFonts w:ascii="Times New Roman" w:eastAsia="Times New Roman" w:hAnsi="Times New Roman"/>
                <w:color w:val="000000"/>
                <w:sz w:val="24"/>
                <w:highlight w:val="white"/>
              </w:rPr>
              <w:t xml:space="preserve"> специальному инвестиционному контракту (СПИК), </w:t>
            </w:r>
            <w:r>
              <w:rPr>
                <w:rFonts w:ascii="Times New Roman" w:eastAsia="Times New Roman" w:hAnsi="Times New Roman"/>
                <w:b/>
                <w:bCs/>
                <w:color w:val="000000"/>
                <w:sz w:val="24"/>
                <w:highlight w:val="white"/>
              </w:rPr>
              <w:t>справка</w:t>
            </w:r>
            <w:r>
              <w:rPr>
                <w:rFonts w:ascii="Times New Roman" w:eastAsia="Times New Roman" w:hAnsi="Times New Roman"/>
                <w:color w:val="000000"/>
                <w:sz w:val="24"/>
                <w:highlight w:val="white"/>
              </w:rPr>
              <w:t xml:space="preserve">, подтверждающая наличие данного СПИК, предусмотренная </w:t>
            </w:r>
            <w:hyperlink r:id="rId84" w:tooltip="https://login.consultant.ru/link/?req=doc&amp;base=LAW&amp;n=511948&amp;dst=1170&amp;field=134&amp;date=05.09.2025" w:history="1">
              <w:r>
                <w:rPr>
                  <w:rStyle w:val="af"/>
                  <w:rFonts w:ascii="Times New Roman" w:eastAsia="Times New Roman" w:hAnsi="Times New Roman"/>
                  <w:sz w:val="24"/>
                  <w:highlight w:val="white"/>
                  <w:u w:val="none"/>
                </w:rPr>
                <w:t>пунктом 1(1)</w:t>
              </w:r>
            </w:hyperlink>
            <w:r>
              <w:rPr>
                <w:rFonts w:ascii="Times New Roman" w:eastAsia="Times New Roman" w:hAnsi="Times New Roman"/>
                <w:color w:val="000000"/>
                <w:sz w:val="24"/>
                <w:highlight w:val="white"/>
              </w:rPr>
              <w:t xml:space="preserve"> постановления Правительства Российской Федерации от 17 июля 2015 г. N 719 "О подтверждении производства российской промышленной продукции"  </w:t>
            </w:r>
            <w:r>
              <w:rPr>
                <w:rFonts w:ascii="Times New Roman" w:eastAsia="Times New Roman" w:hAnsi="Times New Roman"/>
                <w:b/>
                <w:bCs/>
                <w:color w:val="000000"/>
                <w:sz w:val="24"/>
                <w:highlight w:val="white"/>
              </w:rPr>
              <w:t xml:space="preserve">или </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color w:val="000000"/>
                <w:sz w:val="24"/>
                <w:szCs w:val="24"/>
                <w:highlight w:val="white"/>
              </w:rPr>
            </w:pPr>
            <w:r>
              <w:rPr>
                <w:rFonts w:ascii="Times New Roman" w:eastAsia="Times New Roman" w:hAnsi="Times New Roman"/>
                <w:b/>
                <w:bCs/>
                <w:color w:val="000000"/>
                <w:sz w:val="24"/>
                <w:highlight w:val="white"/>
              </w:rPr>
              <w:t xml:space="preserve">номер реестровой записи </w:t>
            </w:r>
            <w:r>
              <w:rPr>
                <w:rFonts w:ascii="Times New Roman" w:eastAsia="Times New Roman" w:hAnsi="Times New Roman"/>
                <w:color w:val="000000"/>
                <w:sz w:val="24"/>
                <w:highlight w:val="white"/>
              </w:rPr>
              <w:t xml:space="preserve">из реестра российской промышленной продукции, </w:t>
            </w:r>
            <w:r>
              <w:rPr>
                <w:rFonts w:ascii="Times New Roman" w:eastAsia="Times New Roman" w:hAnsi="Times New Roman"/>
                <w:b/>
                <w:bCs/>
                <w:color w:val="000000"/>
                <w:sz w:val="24"/>
                <w:highlight w:val="white"/>
              </w:rPr>
              <w:t>содержащей</w:t>
            </w:r>
            <w:r>
              <w:rPr>
                <w:rFonts w:ascii="Times New Roman" w:eastAsia="Times New Roman" w:hAnsi="Times New Roman"/>
                <w:color w:val="000000"/>
                <w:sz w:val="24"/>
                <w:highlight w:val="white"/>
              </w:rPr>
              <w:t xml:space="preserve"> в том числе:</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color w:val="000000"/>
                <w:sz w:val="24"/>
                <w:szCs w:val="24"/>
                <w:highlight w:val="white"/>
              </w:rPr>
            </w:pPr>
            <w:r>
              <w:rPr>
                <w:rFonts w:ascii="Times New Roman" w:eastAsia="Times New Roman" w:hAnsi="Times New Roman"/>
                <w:b/>
                <w:bCs/>
                <w:sz w:val="24"/>
                <w:szCs w:val="24"/>
                <w:highlight w:val="white"/>
                <w:lang w:eastAsia="ru-RU"/>
              </w:rPr>
              <w:t>- информацию о совокупном количестве баллов</w:t>
            </w:r>
            <w:r>
              <w:rPr>
                <w:rFonts w:ascii="Times New Roman" w:eastAsia="Times New Roman" w:hAnsi="Times New Roman"/>
                <w:sz w:val="24"/>
                <w:szCs w:val="24"/>
                <w:highlight w:val="white"/>
                <w:lang w:eastAsia="ru-RU"/>
              </w:rPr>
              <w:t xml:space="preserve"> за выполнение (освоение) на территории Российской Федерации соответствующих операций (условий), которое составляет или превышает значение, определенное постановлением Правительства Российской Федерации от 17 июля 2015 г. N 719 для целей осуществления закупок (</w:t>
            </w:r>
            <w:r>
              <w:rPr>
                <w:rFonts w:ascii="Times New Roman" w:eastAsia="Times New Roman" w:hAnsi="Times New Roman"/>
                <w:i/>
                <w:sz w:val="20"/>
                <w:szCs w:val="20"/>
                <w:highlight w:val="white"/>
                <w:lang w:eastAsia="ru-RU"/>
              </w:rPr>
              <w:t xml:space="preserve">данная информация должна содержаться в реестровой записи </w:t>
            </w:r>
            <w:r>
              <w:rPr>
                <w:rFonts w:ascii="Times New Roman" w:eastAsia="Times New Roman" w:hAnsi="Times New Roman"/>
                <w:b/>
                <w:i/>
                <w:sz w:val="20"/>
                <w:szCs w:val="20"/>
                <w:highlight w:val="white"/>
                <w:lang w:eastAsia="ru-RU"/>
              </w:rPr>
              <w:t xml:space="preserve">только </w:t>
            </w:r>
            <w:r>
              <w:rPr>
                <w:rFonts w:ascii="Times New Roman" w:eastAsia="Times New Roman" w:hAnsi="Times New Roman"/>
                <w:i/>
                <w:sz w:val="20"/>
                <w:szCs w:val="20"/>
                <w:highlight w:val="white"/>
                <w:lang w:eastAsia="ru-RU"/>
              </w:rPr>
              <w:t xml:space="preserve">при закупке тех товаров, в отношении которых </w:t>
            </w:r>
            <w:r>
              <w:rPr>
                <w:rFonts w:ascii="Times New Roman" w:eastAsia="Times New Roman" w:hAnsi="Times New Roman"/>
                <w:b/>
                <w:i/>
                <w:sz w:val="20"/>
                <w:szCs w:val="20"/>
                <w:highlight w:val="white"/>
                <w:lang w:eastAsia="ru-RU"/>
              </w:rPr>
              <w:t>в разделе  «Примечания» Приложения</w:t>
            </w:r>
            <w:r>
              <w:rPr>
                <w:rFonts w:ascii="Times New Roman" w:eastAsia="Times New Roman" w:hAnsi="Times New Roman"/>
                <w:i/>
                <w:sz w:val="20"/>
                <w:szCs w:val="20"/>
                <w:highlight w:val="white"/>
                <w:lang w:eastAsia="ru-RU"/>
              </w:rPr>
              <w:t xml:space="preserve">  к  постановлению Правительства Российской Федерации от 17 июля 2015 г. №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w:t>
            </w:r>
            <w:r>
              <w:rPr>
                <w:rFonts w:ascii="Times New Roman" w:eastAsia="Times New Roman" w:hAnsi="Times New Roman"/>
                <w:b/>
                <w:i/>
                <w:sz w:val="20"/>
                <w:szCs w:val="20"/>
                <w:highlight w:val="white"/>
                <w:lang w:eastAsia="ru-RU"/>
              </w:rPr>
              <w:t xml:space="preserve">.                         </w:t>
            </w:r>
            <w:r>
              <w:rPr>
                <w:rFonts w:ascii="Times New Roman" w:eastAsia="Times New Roman" w:hAnsi="Times New Roman"/>
                <w:i/>
                <w:iCs/>
                <w:color w:val="000000"/>
                <w:sz w:val="24"/>
                <w:szCs w:val="24"/>
                <w:highlight w:val="white"/>
              </w:rPr>
              <w:t xml:space="preserve">При этом, </w:t>
            </w:r>
            <w:r>
              <w:rPr>
                <w:rFonts w:ascii="Times New Roman" w:hAnsi="Times New Roman"/>
                <w:i/>
                <w:iCs/>
                <w:color w:val="000000"/>
                <w:sz w:val="24"/>
                <w:szCs w:val="24"/>
                <w:highlight w:val="white"/>
                <w:shd w:val="clear" w:color="auto" w:fill="FFFFFF"/>
              </w:rPr>
              <w:t xml:space="preserve">при осуществлении закупок таких товаров по 30 ноября 2026 г., </w:t>
            </w:r>
            <w:r>
              <w:rPr>
                <w:rFonts w:ascii="Times New Roman" w:hAnsi="Times New Roman"/>
                <w:b/>
                <w:bCs/>
                <w:i/>
                <w:iCs/>
                <w:color w:val="000000"/>
                <w:sz w:val="24"/>
                <w:szCs w:val="24"/>
                <w:highlight w:val="white"/>
                <w:shd w:val="clear" w:color="auto" w:fill="FFFFFF"/>
              </w:rPr>
              <w:t xml:space="preserve">реестровые записи </w:t>
            </w:r>
            <w:r>
              <w:rPr>
                <w:rFonts w:ascii="Times New Roman" w:hAnsi="Times New Roman"/>
                <w:i/>
                <w:iCs/>
                <w:color w:val="000000"/>
                <w:sz w:val="24"/>
                <w:szCs w:val="24"/>
                <w:highlight w:val="white"/>
                <w:shd w:val="clear" w:color="auto" w:fill="FFFFFF"/>
              </w:rPr>
              <w:t>в ре</w:t>
            </w:r>
            <w:r>
              <w:rPr>
                <w:rFonts w:ascii="Times New Roman" w:hAnsi="Times New Roman"/>
                <w:i/>
                <w:iCs/>
                <w:color w:val="000000"/>
                <w:sz w:val="24"/>
                <w:szCs w:val="24"/>
                <w:highlight w:val="white"/>
                <w:shd w:val="clear" w:color="auto" w:fill="FFFFFF"/>
              </w:rPr>
              <w:lastRenderedPageBreak/>
              <w:t xml:space="preserve">естре российской промышленной продукции в отношении которых сформированы по 30 июня 2026 г. включительно, </w:t>
            </w:r>
            <w:r>
              <w:rPr>
                <w:rFonts w:ascii="Times New Roman" w:hAnsi="Times New Roman"/>
                <w:b/>
                <w:i/>
                <w:iCs/>
                <w:color w:val="000000"/>
                <w:sz w:val="24"/>
                <w:szCs w:val="24"/>
                <w:highlight w:val="white"/>
                <w:shd w:val="clear" w:color="auto" w:fill="FFFFFF"/>
              </w:rPr>
              <w:t>могут не содержать информацию о совокупном количестве баллов</w:t>
            </w:r>
            <w:r>
              <w:rPr>
                <w:rFonts w:ascii="Times New Roman" w:hAnsi="Times New Roman"/>
                <w:i/>
                <w:iCs/>
                <w:color w:val="000000"/>
                <w:sz w:val="24"/>
                <w:szCs w:val="24"/>
                <w:highlight w:val="white"/>
                <w:shd w:val="clear" w:color="auto" w:fill="FFFFFF"/>
              </w:rPr>
              <w:t xml:space="preserve"> за выполнение (освоение) на территории Российской Федерации соответствующих операций (условий), которое составляет или превышает значение, определенное постановлением Правительства Российской Федерации от 17 июля 2015 г. № 719</w:t>
            </w:r>
            <w:r>
              <w:rPr>
                <w:rFonts w:ascii="Times New Roman" w:hAnsi="Times New Roman"/>
                <w:color w:val="000000"/>
                <w:sz w:val="24"/>
                <w:szCs w:val="24"/>
                <w:highlight w:val="white"/>
                <w:shd w:val="clear" w:color="auto" w:fill="FFFFFF"/>
              </w:rPr>
              <w:t xml:space="preserve"> </w:t>
            </w:r>
          </w:p>
          <w:p w:rsidR="0003468E" w:rsidRDefault="00EA11F8">
            <w:pPr>
              <w:widowControl w:val="0"/>
              <w:spacing w:before="240" w:after="0" w:line="240" w:lineRule="auto"/>
              <w:ind w:firstLine="540"/>
              <w:jc w:val="both"/>
              <w:rPr>
                <w:rFonts w:ascii="Times New Roman" w:eastAsia="Times New Roman" w:hAnsi="Times New Roman"/>
                <w:b/>
                <w:bCs/>
                <w:sz w:val="24"/>
                <w:szCs w:val="24"/>
                <w:highlight w:val="white"/>
              </w:rPr>
            </w:pPr>
            <w:r>
              <w:rPr>
                <w:rFonts w:ascii="Times New Roman" w:eastAsia="Times New Roman" w:hAnsi="Times New Roman"/>
                <w:sz w:val="24"/>
                <w:szCs w:val="24"/>
                <w:highlight w:val="white"/>
                <w:shd w:val="clear" w:color="FFFFFF" w:themeColor="background1" w:fill="FFFFFF" w:themeFill="background1"/>
                <w:lang w:eastAsia="ru-RU"/>
              </w:rPr>
              <w:t xml:space="preserve">Для подтверждения происхождения товаров из Российской Федерации, (если отсутствие в реестре российской промышленной продукции такого товара с характеристиками, соответствующими потребности заказчика, </w:t>
            </w:r>
            <w:r>
              <w:rPr>
                <w:rFonts w:ascii="Times New Roman" w:eastAsia="Times New Roman" w:hAnsi="Times New Roman"/>
                <w:b/>
                <w:bCs/>
                <w:sz w:val="24"/>
                <w:szCs w:val="24"/>
                <w:highlight w:val="white"/>
                <w:shd w:val="clear" w:color="FFFFFF" w:themeColor="background1" w:fill="FFFFFF" w:themeFill="background1"/>
                <w:lang w:eastAsia="ru-RU"/>
              </w:rPr>
              <w:t xml:space="preserve">задекларировано </w:t>
            </w:r>
            <w:r>
              <w:rPr>
                <w:rFonts w:ascii="Times New Roman" w:eastAsia="Times New Roman" w:hAnsi="Times New Roman"/>
                <w:sz w:val="24"/>
                <w:szCs w:val="24"/>
                <w:highlight w:val="white"/>
                <w:shd w:val="clear" w:color="FFFFFF" w:themeColor="background1" w:fill="FFFFFF" w:themeFill="background1"/>
                <w:lang w:eastAsia="ru-RU"/>
              </w:rPr>
              <w:t xml:space="preserve">заказчиком в соответствии с абзацем четвертым подпункта "а" пункта 7 ПП РФ № 1875), за исключением случая, если в заявке на участие в закупке содержится предложение о поставке товара, который по состоянию на момент подачи заявки на участие в закупке включен в реестр российской промышленной продукции </w:t>
            </w:r>
            <w:r>
              <w:rPr>
                <w:rFonts w:ascii="Times New Roman" w:eastAsia="Times New Roman" w:hAnsi="Times New Roman"/>
                <w:b/>
                <w:sz w:val="24"/>
                <w:szCs w:val="24"/>
                <w:highlight w:val="white"/>
                <w:shd w:val="clear" w:color="FFFFFF" w:themeColor="background1" w:fill="FFFFFF" w:themeFill="background1"/>
                <w:lang w:eastAsia="ru-RU"/>
              </w:rPr>
              <w:t xml:space="preserve"> - наименование страны происхождения товара в соответствии с подпунктом «б» пункта 2 части 1 статьи 43 Федерального закона о контрактной системе.</w:t>
            </w:r>
          </w:p>
        </w:tc>
      </w:tr>
      <w:tr w:rsidR="0003468E">
        <w:tc>
          <w:tcPr>
            <w:tcW w:w="2467"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lastRenderedPageBreak/>
              <w:t>ЛЕКАРСТВЕННЫЕ ПРЕПАРАТЫ, указанные в позиции 433 приложения № 2 ПП РФ № 1875</w:t>
            </w:r>
          </w:p>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подп. «</w:t>
            </w:r>
            <w:hyperlink r:id="rId85" w:anchor="_blank" w:history="1">
              <w:r>
                <w:rPr>
                  <w:rFonts w:ascii="Times New Roman" w:eastAsia="Times New Roman" w:hAnsi="Times New Roman"/>
                  <w:color w:val="0000FF"/>
                  <w:sz w:val="24"/>
                  <w:szCs w:val="24"/>
                  <w:highlight w:val="white"/>
                  <w:u w:val="single"/>
                  <w:lang w:eastAsia="ru-RU"/>
                </w:rPr>
                <w:t>а</w:t>
              </w:r>
            </w:hyperlink>
            <w:r>
              <w:rPr>
                <w:rFonts w:ascii="Times New Roman" w:eastAsia="Times New Roman" w:hAnsi="Times New Roman"/>
                <w:sz w:val="24"/>
                <w:szCs w:val="24"/>
                <w:highlight w:val="white"/>
                <w:lang w:eastAsia="ru-RU"/>
              </w:rPr>
              <w:t>» и «</w:t>
            </w:r>
            <w:hyperlink r:id="rId86" w:anchor="_blank" w:history="1">
              <w:r>
                <w:rPr>
                  <w:rFonts w:ascii="Times New Roman" w:eastAsia="Times New Roman" w:hAnsi="Times New Roman"/>
                  <w:color w:val="0000FF"/>
                  <w:sz w:val="24"/>
                  <w:szCs w:val="24"/>
                  <w:highlight w:val="white"/>
                  <w:u w:val="single"/>
                  <w:lang w:eastAsia="ru-RU"/>
                </w:rPr>
                <w:t>б</w:t>
              </w:r>
            </w:hyperlink>
            <w:r>
              <w:rPr>
                <w:rFonts w:ascii="Times New Roman" w:eastAsia="Times New Roman" w:hAnsi="Times New Roman"/>
                <w:sz w:val="24"/>
                <w:szCs w:val="24"/>
                <w:highlight w:val="white"/>
                <w:lang w:eastAsia="ru-RU"/>
              </w:rPr>
              <w:t>» п. 3 ПП РФ № 1875</w:t>
            </w:r>
          </w:p>
        </w:tc>
        <w:tc>
          <w:tcPr>
            <w:tcW w:w="6699" w:type="dxa"/>
            <w:tcBorders>
              <w:top w:val="single" w:sz="4" w:space="0" w:color="000000"/>
              <w:left w:val="single" w:sz="4" w:space="0" w:color="000000"/>
              <w:bottom w:val="single" w:sz="4" w:space="0" w:color="000000"/>
              <w:right w:val="single" w:sz="4" w:space="0" w:color="000000"/>
            </w:tcBorders>
          </w:tcPr>
          <w:p w:rsidR="0003468E" w:rsidRDefault="00EA11F8">
            <w:pPr>
              <w:widowControl w:val="0"/>
              <w:tabs>
                <w:tab w:val="left" w:pos="750"/>
              </w:tabs>
              <w:spacing w:before="300" w:after="0" w:line="240" w:lineRule="auto"/>
              <w:ind w:firstLine="702"/>
              <w:jc w:val="both"/>
              <w:rPr>
                <w:rFonts w:ascii="Times New Roman" w:eastAsia="Times New Roman" w:hAnsi="Times New Roman"/>
                <w:b/>
                <w:bCs/>
                <w:color w:val="FF0000"/>
                <w:sz w:val="24"/>
                <w:szCs w:val="24"/>
                <w:highlight w:val="white"/>
              </w:rPr>
            </w:pPr>
            <w:r>
              <w:rPr>
                <w:rFonts w:ascii="Times New Roman" w:eastAsia="Times New Roman" w:hAnsi="Times New Roman"/>
                <w:b/>
                <w:bCs/>
                <w:i/>
                <w:color w:val="FF0000"/>
                <w:sz w:val="24"/>
                <w:szCs w:val="24"/>
                <w:highlight w:val="white"/>
                <w:lang w:eastAsia="ru-RU"/>
              </w:rPr>
              <w:t>Для товаров из Российской Федерации</w:t>
            </w:r>
            <w:r>
              <w:rPr>
                <w:rFonts w:ascii="Times New Roman" w:eastAsia="Times New Roman" w:hAnsi="Times New Roman"/>
                <w:b/>
                <w:bCs/>
                <w:color w:val="FF0000"/>
                <w:sz w:val="24"/>
                <w:szCs w:val="24"/>
                <w:highlight w:val="white"/>
                <w:lang w:eastAsia="ru-RU"/>
              </w:rPr>
              <w:t>:</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color w:val="000000"/>
                <w:sz w:val="24"/>
                <w:szCs w:val="24"/>
                <w:highlight w:val="white"/>
              </w:rPr>
            </w:pPr>
            <w:r>
              <w:rPr>
                <w:rFonts w:ascii="Times New Roman" w:eastAsia="Times New Roman" w:hAnsi="Times New Roman"/>
                <w:b/>
                <w:bCs/>
                <w:sz w:val="24"/>
                <w:szCs w:val="24"/>
                <w:highlight w:val="white"/>
                <w:lang w:eastAsia="ru-RU"/>
              </w:rPr>
              <w:t xml:space="preserve">- </w:t>
            </w:r>
            <w:r>
              <w:rPr>
                <w:rFonts w:ascii="Times New Roman" w:eastAsia="Times New Roman" w:hAnsi="Times New Roman"/>
                <w:b/>
                <w:bCs/>
                <w:color w:val="000000"/>
                <w:sz w:val="24"/>
                <w:highlight w:val="white"/>
              </w:rPr>
              <w:t xml:space="preserve">номер реестровой записи </w:t>
            </w:r>
            <w:r>
              <w:rPr>
                <w:rFonts w:ascii="Times New Roman" w:eastAsia="Times New Roman" w:hAnsi="Times New Roman"/>
                <w:color w:val="000000"/>
                <w:sz w:val="24"/>
                <w:highlight w:val="white"/>
              </w:rPr>
              <w:t xml:space="preserve">из реестра российской промышленной продукции, предусмотренного </w:t>
            </w:r>
            <w:hyperlink r:id="rId87" w:tooltip="https://login.consultant.ru/link/?req=doc&amp;base=LAW&amp;n=505888&amp;dst=225&amp;field=134&amp;date=05.09.2025" w:history="1">
              <w:r>
                <w:rPr>
                  <w:rStyle w:val="af"/>
                  <w:rFonts w:ascii="Times New Roman" w:eastAsia="Times New Roman" w:hAnsi="Times New Roman"/>
                  <w:sz w:val="24"/>
                  <w:highlight w:val="white"/>
                  <w:u w:val="none"/>
                </w:rPr>
                <w:t>статьей 17.1</w:t>
              </w:r>
            </w:hyperlink>
            <w:r>
              <w:rPr>
                <w:rFonts w:ascii="Times New Roman" w:eastAsia="Times New Roman" w:hAnsi="Times New Roman"/>
                <w:color w:val="000000"/>
                <w:sz w:val="24"/>
                <w:highlight w:val="white"/>
              </w:rPr>
              <w:t xml:space="preserve"> Федерального закона "О промышленной политике в Российской Федерации" (далее - реестр российской промышленной продукции), </w:t>
            </w:r>
            <w:r>
              <w:rPr>
                <w:rFonts w:ascii="Times New Roman" w:eastAsia="Times New Roman" w:hAnsi="Times New Roman"/>
                <w:b/>
                <w:bCs/>
                <w:color w:val="000000"/>
                <w:sz w:val="24"/>
                <w:highlight w:val="white"/>
              </w:rPr>
              <w:t>и справка</w:t>
            </w:r>
            <w:r>
              <w:rPr>
                <w:rFonts w:ascii="Times New Roman" w:eastAsia="Times New Roman" w:hAnsi="Times New Roman"/>
                <w:color w:val="000000"/>
                <w:sz w:val="24"/>
                <w:highlight w:val="white"/>
              </w:rPr>
              <w:t xml:space="preserve">, подтверждающая наличие специального инвестиционного контракта и предусмотренная </w:t>
            </w:r>
            <w:hyperlink r:id="rId88" w:tooltip="https://login.consultant.ru/link/?req=doc&amp;base=LAW&amp;n=511948&amp;dst=1170&amp;field=134&amp;date=05.09.2025" w:history="1">
              <w:r>
                <w:rPr>
                  <w:rStyle w:val="af"/>
                  <w:rFonts w:ascii="Times New Roman" w:eastAsia="Times New Roman" w:hAnsi="Times New Roman"/>
                  <w:sz w:val="24"/>
                  <w:highlight w:val="white"/>
                  <w:u w:val="none"/>
                </w:rPr>
                <w:t>пунктом 1(1)</w:t>
              </w:r>
            </w:hyperlink>
            <w:r>
              <w:rPr>
                <w:rFonts w:ascii="Times New Roman" w:eastAsia="Times New Roman" w:hAnsi="Times New Roman"/>
                <w:color w:val="000000"/>
                <w:sz w:val="24"/>
                <w:highlight w:val="white"/>
              </w:rPr>
              <w:t xml:space="preserve"> постановления Правительства Российской Федерации от 17 июля 2015 г. N 719 "О подтверждении производства российской промышленной продукции"</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b/>
                <w:bCs/>
                <w:color w:val="000000"/>
                <w:sz w:val="24"/>
                <w:szCs w:val="24"/>
                <w:highlight w:val="white"/>
              </w:rPr>
            </w:pPr>
            <w:r>
              <w:rPr>
                <w:rFonts w:ascii="Times New Roman" w:eastAsia="Times New Roman" w:hAnsi="Times New Roman"/>
                <w:color w:val="000000"/>
                <w:sz w:val="24"/>
                <w:highlight w:val="white"/>
              </w:rPr>
              <w:t xml:space="preserve"> </w:t>
            </w:r>
            <w:r>
              <w:rPr>
                <w:rFonts w:ascii="Times New Roman" w:eastAsia="Times New Roman" w:hAnsi="Times New Roman"/>
                <w:b/>
                <w:bCs/>
                <w:color w:val="000000"/>
                <w:sz w:val="24"/>
                <w:highlight w:val="white"/>
              </w:rPr>
              <w:t xml:space="preserve">или </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color w:val="000000"/>
                <w:sz w:val="24"/>
                <w:szCs w:val="24"/>
                <w:highlight w:val="white"/>
              </w:rPr>
            </w:pPr>
            <w:r>
              <w:rPr>
                <w:rFonts w:ascii="Times New Roman" w:eastAsia="Times New Roman" w:hAnsi="Times New Roman"/>
                <w:b/>
                <w:bCs/>
                <w:color w:val="000000"/>
                <w:sz w:val="24"/>
                <w:highlight w:val="white"/>
              </w:rPr>
              <w:t xml:space="preserve">номер реестровой записи </w:t>
            </w:r>
            <w:r>
              <w:rPr>
                <w:rFonts w:ascii="Times New Roman" w:eastAsia="Times New Roman" w:hAnsi="Times New Roman"/>
                <w:color w:val="000000"/>
                <w:sz w:val="24"/>
                <w:highlight w:val="white"/>
              </w:rPr>
              <w:t xml:space="preserve">из реестра российской промышленной продукции, </w:t>
            </w:r>
            <w:r>
              <w:rPr>
                <w:rFonts w:ascii="Times New Roman" w:eastAsia="Times New Roman" w:hAnsi="Times New Roman"/>
                <w:b/>
                <w:bCs/>
                <w:color w:val="000000"/>
                <w:sz w:val="24"/>
                <w:highlight w:val="white"/>
              </w:rPr>
              <w:t>содержащей</w:t>
            </w:r>
            <w:r>
              <w:rPr>
                <w:rFonts w:ascii="Times New Roman" w:eastAsia="Times New Roman" w:hAnsi="Times New Roman"/>
                <w:color w:val="000000"/>
                <w:sz w:val="24"/>
                <w:highlight w:val="white"/>
              </w:rPr>
              <w:t xml:space="preserve"> в том числе:</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bCs/>
                <w:i/>
                <w:sz w:val="24"/>
                <w:szCs w:val="24"/>
                <w:highlight w:val="white"/>
              </w:rPr>
            </w:pPr>
            <w:r>
              <w:rPr>
                <w:rFonts w:ascii="Times New Roman" w:eastAsia="Times New Roman" w:hAnsi="Times New Roman"/>
                <w:b/>
                <w:bCs/>
                <w:sz w:val="24"/>
                <w:szCs w:val="24"/>
                <w:highlight w:val="white"/>
                <w:lang w:eastAsia="ru-RU"/>
              </w:rPr>
              <w:t>- информацию о совокупном количестве баллов</w:t>
            </w:r>
            <w:r>
              <w:rPr>
                <w:rFonts w:ascii="Times New Roman" w:eastAsia="Times New Roman" w:hAnsi="Times New Roman"/>
                <w:sz w:val="24"/>
                <w:szCs w:val="24"/>
                <w:highlight w:val="white"/>
                <w:lang w:eastAsia="ru-RU"/>
              </w:rPr>
              <w:t xml:space="preserve"> за выполнение (освоение) на территории Российской Федерации соответствующих операций (условий), которое составляет или превышает значение, определенное постановлением Правительства Российской Федерации от 17 июля 2015 г. N 719 для целей осуществления закупок (</w:t>
            </w:r>
            <w:r>
              <w:rPr>
                <w:rFonts w:ascii="Times New Roman" w:eastAsia="Times New Roman" w:hAnsi="Times New Roman"/>
                <w:i/>
                <w:sz w:val="20"/>
                <w:szCs w:val="20"/>
                <w:highlight w:val="white"/>
                <w:lang w:eastAsia="ru-RU"/>
              </w:rPr>
              <w:t xml:space="preserve">данная информация должна содержаться в реестровой записи </w:t>
            </w:r>
            <w:r>
              <w:rPr>
                <w:rFonts w:ascii="Times New Roman" w:eastAsia="Times New Roman" w:hAnsi="Times New Roman"/>
                <w:b/>
                <w:i/>
                <w:sz w:val="20"/>
                <w:szCs w:val="20"/>
                <w:highlight w:val="white"/>
                <w:lang w:eastAsia="ru-RU"/>
              </w:rPr>
              <w:t xml:space="preserve">только </w:t>
            </w:r>
            <w:r>
              <w:rPr>
                <w:rFonts w:ascii="Times New Roman" w:eastAsia="Times New Roman" w:hAnsi="Times New Roman"/>
                <w:i/>
                <w:sz w:val="20"/>
                <w:szCs w:val="20"/>
                <w:highlight w:val="white"/>
                <w:lang w:eastAsia="ru-RU"/>
              </w:rPr>
              <w:t xml:space="preserve">при закупке тех товаров, в отношении которых </w:t>
            </w:r>
            <w:r>
              <w:rPr>
                <w:rFonts w:ascii="Times New Roman" w:eastAsia="Times New Roman" w:hAnsi="Times New Roman"/>
                <w:b/>
                <w:i/>
                <w:sz w:val="20"/>
                <w:szCs w:val="20"/>
                <w:highlight w:val="white"/>
                <w:lang w:eastAsia="ru-RU"/>
              </w:rPr>
              <w:t>в разделе  «Примечания» Приложения</w:t>
            </w:r>
            <w:r>
              <w:rPr>
                <w:rFonts w:ascii="Times New Roman" w:eastAsia="Times New Roman" w:hAnsi="Times New Roman"/>
                <w:i/>
                <w:sz w:val="20"/>
                <w:szCs w:val="20"/>
                <w:highlight w:val="white"/>
                <w:lang w:eastAsia="ru-RU"/>
              </w:rPr>
              <w:t xml:space="preserve">  к  постановлению Правительства Российской Федерации от 17 июля 2015 г. №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w:t>
            </w:r>
            <w:r>
              <w:rPr>
                <w:rFonts w:ascii="Times New Roman" w:eastAsia="Times New Roman" w:hAnsi="Times New Roman"/>
                <w:b/>
                <w:i/>
                <w:sz w:val="20"/>
                <w:szCs w:val="20"/>
                <w:highlight w:val="white"/>
                <w:lang w:eastAsia="ru-RU"/>
              </w:rPr>
              <w:t>.                        (</w:t>
            </w:r>
            <w:r>
              <w:rPr>
                <w:rFonts w:ascii="Times New Roman" w:eastAsia="Times New Roman" w:hAnsi="Times New Roman"/>
                <w:i/>
                <w:iCs/>
                <w:sz w:val="24"/>
                <w:szCs w:val="24"/>
                <w:highlight w:val="white"/>
                <w:lang w:eastAsia="ru-RU"/>
              </w:rPr>
              <w:t xml:space="preserve">При этом, при осуществлении закупок </w:t>
            </w:r>
            <w:r>
              <w:rPr>
                <w:rFonts w:ascii="Times New Roman" w:eastAsia="Times New Roman" w:hAnsi="Times New Roman"/>
                <w:i/>
                <w:iCs/>
                <w:color w:val="000000"/>
                <w:sz w:val="24"/>
                <w:szCs w:val="24"/>
                <w:highlight w:val="white"/>
              </w:rPr>
              <w:t>д</w:t>
            </w:r>
            <w:r>
              <w:rPr>
                <w:rFonts w:ascii="Times New Roman" w:hAnsi="Times New Roman"/>
                <w:i/>
                <w:iCs/>
                <w:color w:val="000000"/>
                <w:sz w:val="24"/>
                <w:szCs w:val="24"/>
                <w:highlight w:val="white"/>
                <w:shd w:val="clear" w:color="auto" w:fill="FFFFFF"/>
              </w:rPr>
              <w:t xml:space="preserve">о 30 ноября 2026 г.,                       </w:t>
            </w:r>
            <w:r>
              <w:rPr>
                <w:rFonts w:ascii="Times New Roman" w:eastAsia="Times New Roman" w:hAnsi="Times New Roman"/>
                <w:i/>
                <w:iCs/>
                <w:sz w:val="24"/>
                <w:szCs w:val="24"/>
                <w:highlight w:val="white"/>
                <w:lang w:eastAsia="ru-RU"/>
              </w:rPr>
              <w:t xml:space="preserve">информация о совокупном </w:t>
            </w:r>
            <w:r>
              <w:rPr>
                <w:rFonts w:ascii="Times New Roman" w:eastAsia="Times New Roman" w:hAnsi="Times New Roman"/>
                <w:i/>
                <w:iCs/>
                <w:sz w:val="24"/>
                <w:szCs w:val="24"/>
                <w:highlight w:val="white"/>
                <w:lang w:eastAsia="ru-RU"/>
              </w:rPr>
              <w:lastRenderedPageBreak/>
              <w:t>количестве баллов может не содержаться в реестровой записи из реестра российской промышленной продукции</w:t>
            </w:r>
            <w:r>
              <w:rPr>
                <w:rFonts w:ascii="Times New Roman" w:hAnsi="Times New Roman"/>
                <w:i/>
                <w:iCs/>
                <w:color w:val="000000"/>
                <w:sz w:val="24"/>
                <w:szCs w:val="24"/>
                <w:highlight w:val="white"/>
                <w:shd w:val="clear" w:color="auto" w:fill="FFFFFF"/>
              </w:rPr>
              <w:t xml:space="preserve">,  </w:t>
            </w:r>
            <w:r>
              <w:rPr>
                <w:rFonts w:ascii="Arial" w:eastAsia="Arial" w:hAnsi="Arial" w:cs="Arial"/>
                <w:i/>
                <w:iCs/>
                <w:color w:val="C00000"/>
                <w:sz w:val="23"/>
                <w:highlight w:val="white"/>
              </w:rPr>
              <w:t>в случае если  р</w:t>
            </w:r>
            <w:r>
              <w:rPr>
                <w:rFonts w:ascii="Times New Roman" w:hAnsi="Times New Roman"/>
                <w:i/>
                <w:iCs/>
                <w:color w:val="C00000"/>
                <w:sz w:val="24"/>
                <w:szCs w:val="24"/>
                <w:highlight w:val="white"/>
                <w:shd w:val="clear" w:color="auto" w:fill="FFFFFF"/>
              </w:rPr>
              <w:t>еестровая запись в указанном реестре на такие товары сформирована по 30 июня 2026 г.</w:t>
            </w:r>
          </w:p>
          <w:p w:rsidR="0003468E" w:rsidRDefault="0003468E">
            <w:pPr>
              <w:pBdr>
                <w:top w:val="none" w:sz="4" w:space="0" w:color="000000"/>
                <w:left w:val="none" w:sz="4" w:space="0" w:color="000000"/>
                <w:bottom w:val="none" w:sz="4" w:space="0" w:color="000000"/>
                <w:right w:val="none" w:sz="4" w:space="0" w:color="000000"/>
              </w:pBdr>
              <w:spacing w:after="0" w:line="288" w:lineRule="atLeast"/>
              <w:ind w:firstLine="540"/>
              <w:jc w:val="both"/>
              <w:rPr>
                <w:rFonts w:ascii="Times New Roman" w:eastAsia="Times New Roman" w:hAnsi="Times New Roman"/>
                <w:b/>
                <w:bCs/>
                <w:i/>
                <w:sz w:val="20"/>
                <w:szCs w:val="20"/>
                <w:highlight w:val="white"/>
              </w:rPr>
            </w:pPr>
          </w:p>
          <w:p w:rsidR="0003468E" w:rsidRDefault="00EA11F8">
            <w:pPr>
              <w:widowControl w:val="0"/>
              <w:spacing w:after="0" w:line="240" w:lineRule="auto"/>
              <w:ind w:firstLine="560"/>
              <w:jc w:val="both"/>
              <w:rPr>
                <w:rFonts w:ascii="Times New Roman" w:eastAsia="Times New Roman" w:hAnsi="Times New Roman"/>
                <w:sz w:val="24"/>
                <w:szCs w:val="24"/>
                <w:highlight w:val="white"/>
              </w:rPr>
            </w:pPr>
            <w:r>
              <w:rPr>
                <w:rFonts w:ascii="Times New Roman" w:hAnsi="Times New Roman"/>
                <w:b/>
                <w:color w:val="22272F"/>
                <w:sz w:val="24"/>
                <w:szCs w:val="24"/>
                <w:highlight w:val="white"/>
                <w:shd w:val="clear" w:color="auto" w:fill="FFFFFF"/>
              </w:rPr>
              <w:t>По 30 июня 2026 г.  включительно,</w:t>
            </w:r>
            <w:r>
              <w:rPr>
                <w:rFonts w:ascii="Times New Roman" w:hAnsi="Times New Roman"/>
                <w:color w:val="22272F"/>
                <w:sz w:val="24"/>
                <w:szCs w:val="24"/>
                <w:highlight w:val="white"/>
                <w:shd w:val="clear" w:color="auto" w:fill="FFFFFF"/>
              </w:rPr>
              <w:t xml:space="preserve"> </w:t>
            </w:r>
            <w:r>
              <w:rPr>
                <w:rFonts w:ascii="Times New Roman" w:hAnsi="Times New Roman"/>
                <w:b/>
                <w:color w:val="22272F"/>
                <w:sz w:val="24"/>
                <w:szCs w:val="24"/>
                <w:highlight w:val="white"/>
                <w:shd w:val="clear" w:color="auto" w:fill="FFFFFF"/>
              </w:rPr>
              <w:t xml:space="preserve">документом, подтверждающим происхождение таких товаров из государств - членов Евразийского экономического союза, в том числе из Российской Федерации, также является сертификат </w:t>
            </w:r>
            <w:r>
              <w:rPr>
                <w:rFonts w:ascii="Times New Roman" w:hAnsi="Times New Roman"/>
                <w:color w:val="22272F"/>
                <w:sz w:val="24"/>
                <w:szCs w:val="24"/>
                <w:highlight w:val="white"/>
                <w:shd w:val="clear" w:color="auto" w:fill="FFFFFF"/>
              </w:rPr>
              <w:t>о происхождении товара, выданный уполномоченным органом (организацией) государства - члена Евразийского экономического союза по </w:t>
            </w:r>
            <w:hyperlink r:id="rId89" w:anchor="/document/2568717/entry/1200" w:history="1">
              <w:r>
                <w:rPr>
                  <w:rFonts w:ascii="Times New Roman" w:hAnsi="Times New Roman"/>
                  <w:color w:val="3272C0"/>
                  <w:sz w:val="24"/>
                  <w:szCs w:val="24"/>
                  <w:highlight w:val="white"/>
                  <w:shd w:val="clear" w:color="auto" w:fill="FFFFFF"/>
                </w:rPr>
                <w:t>форме</w:t>
              </w:r>
            </w:hyperlink>
            <w:r>
              <w:rPr>
                <w:rFonts w:ascii="Times New Roman" w:hAnsi="Times New Roman"/>
                <w:color w:val="22272F"/>
                <w:sz w:val="24"/>
                <w:szCs w:val="24"/>
                <w:highlight w:val="white"/>
                <w:shd w:val="clear" w:color="auto" w:fill="FFFFFF"/>
              </w:rPr>
              <w:t>,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w:t>
            </w:r>
          </w:p>
          <w:p w:rsidR="0003468E" w:rsidRDefault="00EA11F8">
            <w:pPr>
              <w:widowControl w:val="0"/>
              <w:spacing w:after="0" w:line="240" w:lineRule="auto"/>
              <w:ind w:firstLine="508"/>
              <w:jc w:val="both"/>
              <w:rPr>
                <w:rFonts w:ascii="Times New Roman" w:eastAsia="Times New Roman" w:hAnsi="Times New Roman"/>
                <w:sz w:val="24"/>
                <w:szCs w:val="24"/>
                <w:highlight w:val="white"/>
              </w:rPr>
            </w:pPr>
            <w:r>
              <w:rPr>
                <w:rFonts w:ascii="Times New Roman" w:eastAsia="Times New Roman" w:hAnsi="Times New Roman"/>
                <w:i/>
                <w:sz w:val="24"/>
                <w:szCs w:val="24"/>
                <w:highlight w:val="white"/>
                <w:shd w:val="clear" w:color="FFFFFF" w:themeColor="background1" w:fill="FFFFFF" w:themeFill="background1"/>
                <w:lang w:eastAsia="ru-RU"/>
              </w:rPr>
              <w:t xml:space="preserve">Для подтверждения происхождения товаров из Российской Федерации, (если отсутствие в реестре российской промышленной продукции такого товара с характеристиками, соответствующими потребности заказчика, </w:t>
            </w:r>
            <w:r>
              <w:rPr>
                <w:rFonts w:ascii="Times New Roman" w:eastAsia="Times New Roman" w:hAnsi="Times New Roman"/>
                <w:b/>
                <w:bCs/>
                <w:i/>
                <w:sz w:val="24"/>
                <w:szCs w:val="24"/>
                <w:highlight w:val="white"/>
                <w:shd w:val="clear" w:color="FFFFFF" w:themeColor="background1" w:fill="FFFFFF" w:themeFill="background1"/>
                <w:lang w:eastAsia="ru-RU"/>
              </w:rPr>
              <w:t xml:space="preserve">задекларировано </w:t>
            </w:r>
            <w:r>
              <w:rPr>
                <w:rFonts w:ascii="Times New Roman" w:eastAsia="Times New Roman" w:hAnsi="Times New Roman"/>
                <w:i/>
                <w:sz w:val="24"/>
                <w:szCs w:val="24"/>
                <w:highlight w:val="white"/>
                <w:shd w:val="clear" w:color="FFFFFF" w:themeColor="background1" w:fill="FFFFFF" w:themeFill="background1"/>
                <w:lang w:eastAsia="ru-RU"/>
              </w:rPr>
              <w:t xml:space="preserve">заказчиком в соответствии с абзацем четвертым подпункта "а" пункта 7 ПП РФ № 1875), за исключением случая, если в заявке на участие в закупке содержится предложение о поставке товара, который по состоянию на момент подачи заявки на участие в закупке включен в реестр российской промышленной продукции </w:t>
            </w:r>
            <w:r>
              <w:rPr>
                <w:rFonts w:ascii="Times New Roman" w:eastAsia="Times New Roman" w:hAnsi="Times New Roman"/>
                <w:b/>
                <w:i/>
                <w:sz w:val="24"/>
                <w:szCs w:val="24"/>
                <w:highlight w:val="white"/>
                <w:shd w:val="clear" w:color="FFFFFF" w:themeColor="background1" w:fill="FFFFFF" w:themeFill="background1"/>
                <w:lang w:eastAsia="ru-RU"/>
              </w:rPr>
              <w:t xml:space="preserve"> - наименование страны происхождения товара в соответствии с подпунктом «б» пункта 2 части 1 статьи 43 Федерального закона о контрактной системе.</w:t>
            </w:r>
          </w:p>
          <w:p w:rsidR="0003468E" w:rsidRDefault="00EA11F8">
            <w:pPr>
              <w:widowControl w:val="0"/>
              <w:spacing w:before="240" w:after="0" w:line="240" w:lineRule="auto"/>
              <w:ind w:firstLine="540"/>
              <w:jc w:val="both"/>
              <w:rPr>
                <w:rFonts w:ascii="Times New Roman" w:eastAsia="Times New Roman" w:hAnsi="Times New Roman"/>
                <w:sz w:val="24"/>
                <w:szCs w:val="24"/>
                <w:highlight w:val="white"/>
              </w:rPr>
            </w:pPr>
            <w:r>
              <w:rPr>
                <w:rFonts w:ascii="Times New Roman" w:eastAsia="Times New Roman" w:hAnsi="Times New Roman"/>
                <w:b/>
                <w:i/>
                <w:sz w:val="24"/>
                <w:szCs w:val="24"/>
                <w:highlight w:val="white"/>
                <w:lang w:eastAsia="ru-RU"/>
              </w:rPr>
              <w:t>В отношении одной позиции товара, указанной в извещении об осуществлении закупки участник закупки указывает не более одного номера реестровой записи из реестра российской промышленной продукции, за исключением случаев закупки технически сложных, многокомпонентных  товаров или комплектов товаров, состоящих из нескольких самостоятельных товаров, имеющих отдельные номера реестровой записи в реестре российской промышленной продукции.</w:t>
            </w:r>
          </w:p>
          <w:p w:rsidR="0003468E" w:rsidRDefault="00EA11F8">
            <w:pPr>
              <w:widowControl w:val="0"/>
              <w:spacing w:before="300" w:after="0" w:line="240" w:lineRule="auto"/>
              <w:ind w:firstLine="540"/>
              <w:jc w:val="both"/>
              <w:rPr>
                <w:rFonts w:ascii="Times New Roman" w:eastAsia="Times New Roman" w:hAnsi="Times New Roman"/>
                <w:b/>
                <w:bCs/>
                <w:i/>
                <w:color w:val="FF0000"/>
                <w:sz w:val="24"/>
                <w:szCs w:val="24"/>
                <w:highlight w:val="white"/>
              </w:rPr>
            </w:pPr>
            <w:r>
              <w:rPr>
                <w:rFonts w:ascii="Times New Roman" w:eastAsia="Times New Roman" w:hAnsi="Times New Roman"/>
                <w:b/>
                <w:i/>
                <w:color w:val="FF0000"/>
                <w:sz w:val="24"/>
                <w:szCs w:val="24"/>
                <w:highlight w:val="white"/>
                <w:lang w:eastAsia="ru-RU"/>
              </w:rPr>
              <w:t>Для товаров из государств - членов Евразийского экономического союза:</w:t>
            </w:r>
          </w:p>
          <w:p w:rsidR="0003468E" w:rsidRDefault="00EA11F8">
            <w:pPr>
              <w:pBdr>
                <w:top w:val="none" w:sz="4" w:space="0" w:color="000000"/>
                <w:left w:val="none" w:sz="4" w:space="0" w:color="000000"/>
                <w:bottom w:val="none" w:sz="4" w:space="0" w:color="000000"/>
                <w:right w:val="none" w:sz="4" w:space="0" w:color="000000"/>
              </w:pBdr>
              <w:spacing w:after="0" w:line="288" w:lineRule="atLeast"/>
              <w:ind w:firstLine="540"/>
              <w:jc w:val="both"/>
              <w:rPr>
                <w:highlight w:val="white"/>
              </w:rPr>
            </w:pPr>
            <w:r>
              <w:rPr>
                <w:rFonts w:ascii="Times New Roman" w:eastAsia="Times New Roman" w:hAnsi="Times New Roman"/>
                <w:sz w:val="24"/>
                <w:szCs w:val="24"/>
                <w:highlight w:val="white"/>
                <w:lang w:eastAsia="ru-RU"/>
              </w:rPr>
              <w:t xml:space="preserve">- </w:t>
            </w:r>
            <w:r>
              <w:rPr>
                <w:rFonts w:ascii="Times New Roman" w:eastAsia="Times New Roman" w:hAnsi="Times New Roman"/>
                <w:b/>
                <w:sz w:val="24"/>
                <w:szCs w:val="24"/>
                <w:highlight w:val="white"/>
                <w:lang w:eastAsia="ru-RU"/>
              </w:rPr>
              <w:t>н</w:t>
            </w:r>
            <w:r>
              <w:rPr>
                <w:rFonts w:ascii="Times New Roman" w:eastAsia="Times New Roman" w:hAnsi="Times New Roman"/>
                <w:b/>
                <w:bCs/>
                <w:sz w:val="24"/>
                <w:szCs w:val="24"/>
                <w:highlight w:val="white"/>
                <w:lang w:eastAsia="ru-RU"/>
              </w:rPr>
              <w:t>омер реестровой записи из евразийского реестра промышленных товаров государств - членов Евразийского экономического союза</w:t>
            </w:r>
            <w:r>
              <w:rPr>
                <w:rFonts w:ascii="Times New Roman" w:eastAsia="Times New Roman" w:hAnsi="Times New Roman"/>
                <w:sz w:val="24"/>
                <w:szCs w:val="24"/>
                <w:highlight w:val="white"/>
                <w:lang w:eastAsia="ru-RU"/>
              </w:rPr>
              <w:t>, порядок формирования и ведения которого устанавливается правом Евразийского экономического союза,</w:t>
            </w:r>
            <w:r>
              <w:rPr>
                <w:rFonts w:ascii="Times New Roman" w:eastAsia="Times New Roman" w:hAnsi="Times New Roman"/>
                <w:color w:val="000000"/>
                <w:sz w:val="24"/>
                <w:highlight w:val="white"/>
              </w:rPr>
              <w:t xml:space="preserve"> содержащей в том числе</w:t>
            </w:r>
            <w:r>
              <w:rPr>
                <w:rFonts w:ascii="Times New Roman" w:eastAsia="Times New Roman" w:hAnsi="Times New Roman"/>
                <w:color w:val="000000"/>
                <w:sz w:val="24"/>
                <w:highlight w:val="white"/>
              </w:rPr>
              <w:br/>
              <w:t xml:space="preserve">-информацию </w:t>
            </w:r>
            <w:r>
              <w:rPr>
                <w:rFonts w:ascii="Times New Roman" w:eastAsia="Times New Roman" w:hAnsi="Times New Roman"/>
                <w:b/>
                <w:bCs/>
                <w:color w:val="000000"/>
                <w:sz w:val="24"/>
                <w:highlight w:val="white"/>
              </w:rPr>
              <w:t xml:space="preserve">о совокупном количестве баллов </w:t>
            </w:r>
            <w:r>
              <w:rPr>
                <w:rFonts w:ascii="Times New Roman" w:eastAsia="Times New Roman" w:hAnsi="Times New Roman"/>
                <w:color w:val="000000"/>
                <w:sz w:val="24"/>
                <w:highlight w:val="white"/>
              </w:rPr>
              <w:t xml:space="preserve">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w:t>
            </w:r>
            <w:r>
              <w:rPr>
                <w:rFonts w:ascii="Times New Roman" w:eastAsia="Times New Roman" w:hAnsi="Times New Roman"/>
                <w:color w:val="000000"/>
                <w:sz w:val="24"/>
                <w:highlight w:val="white"/>
              </w:rPr>
              <w:lastRenderedPageBreak/>
              <w:t>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rsidR="0003468E" w:rsidRDefault="00EA11F8">
            <w:pPr>
              <w:widowControl w:val="0"/>
              <w:spacing w:after="0" w:line="240" w:lineRule="auto"/>
              <w:ind w:firstLine="702"/>
              <w:jc w:val="both"/>
              <w:rPr>
                <w:rFonts w:ascii="Times New Roman" w:hAnsi="Times New Roman"/>
                <w:b/>
                <w:i/>
                <w:color w:val="22272F"/>
                <w:sz w:val="24"/>
                <w:szCs w:val="24"/>
                <w:highlight w:val="white"/>
                <w:shd w:val="clear" w:color="auto" w:fill="FFFFFF"/>
              </w:rPr>
            </w:pPr>
            <w:r>
              <w:rPr>
                <w:rFonts w:ascii="Times New Roman" w:hAnsi="Times New Roman"/>
                <w:b/>
                <w:i/>
                <w:color w:val="22272F"/>
                <w:sz w:val="24"/>
                <w:szCs w:val="24"/>
                <w:highlight w:val="white"/>
                <w:shd w:val="clear" w:color="auto" w:fill="FFFFFF"/>
              </w:rPr>
              <w:t>В отношении одной позиции товара, указанной в извещении об осуществлении закупки участник закупки указывает не более одного номера реестровой записи из реестра евразийской промышленной продукции, за исключением случаев закупки технически сложных, многокомпонентных  товаров или комплектов товаров, состоящих из нескольких самостоятельных товаров, имеющих отдельные номера реестровой записи в реестре евразийской промышленной продукции.</w:t>
            </w:r>
          </w:p>
          <w:p w:rsidR="0003468E" w:rsidRDefault="0003468E">
            <w:pPr>
              <w:widowControl w:val="0"/>
              <w:spacing w:after="0" w:line="240" w:lineRule="auto"/>
              <w:ind w:firstLine="560"/>
              <w:jc w:val="both"/>
              <w:rPr>
                <w:rFonts w:ascii="Times New Roman" w:hAnsi="Times New Roman"/>
                <w:b/>
                <w:color w:val="22272F"/>
                <w:sz w:val="24"/>
                <w:szCs w:val="24"/>
                <w:highlight w:val="white"/>
                <w:shd w:val="clear" w:color="auto" w:fill="FFFFFF"/>
              </w:rPr>
            </w:pPr>
          </w:p>
          <w:p w:rsidR="0003468E" w:rsidRDefault="00EA11F8">
            <w:pPr>
              <w:widowControl w:val="0"/>
              <w:spacing w:after="0" w:line="240" w:lineRule="auto"/>
              <w:ind w:firstLine="567"/>
              <w:jc w:val="both"/>
              <w:rPr>
                <w:rFonts w:ascii="Times New Roman" w:eastAsia="Times New Roman" w:hAnsi="Times New Roman"/>
                <w:sz w:val="24"/>
                <w:szCs w:val="24"/>
                <w:highlight w:val="white"/>
              </w:rPr>
            </w:pPr>
            <w:r>
              <w:rPr>
                <w:rFonts w:ascii="Times New Roman" w:eastAsia="Times New Roman" w:hAnsi="Times New Roman"/>
                <w:b/>
                <w:sz w:val="24"/>
                <w:szCs w:val="24"/>
                <w:highlight w:val="white"/>
                <w:lang w:eastAsia="ru-RU"/>
              </w:rPr>
              <w:t>До внесения изменений в право Евразийского экономического союза,</w:t>
            </w:r>
            <w:r>
              <w:rPr>
                <w:rFonts w:ascii="Times New Roman" w:eastAsia="Times New Roman" w:hAnsi="Times New Roman"/>
                <w:sz w:val="24"/>
                <w:szCs w:val="24"/>
                <w:highlight w:val="white"/>
                <w:lang w:eastAsia="ru-RU"/>
              </w:rPr>
              <w:t xml:space="preserve"> предусматривающих подтверждение страны происхождения лекарственных препаратов путем предоставления информации из евразийского реестра промышленных товаров,   </w:t>
            </w:r>
            <w:r>
              <w:rPr>
                <w:rFonts w:ascii="Times New Roman" w:eastAsia="Times New Roman" w:hAnsi="Times New Roman"/>
                <w:b/>
                <w:sz w:val="24"/>
                <w:szCs w:val="24"/>
                <w:highlight w:val="white"/>
                <w:lang w:eastAsia="ru-RU"/>
              </w:rPr>
              <w:t>документом, подтверждающим происхождение таких товаров из государств - членов Евразийского экономического союза, за исключением Российской Федерации, является сертификат о происхождении товара, выданный уполномоченным органом (организацией) государства - члена Евразийского экономического союза</w:t>
            </w:r>
            <w:r>
              <w:rPr>
                <w:rFonts w:ascii="Times New Roman" w:eastAsia="Times New Roman" w:hAnsi="Times New Roman"/>
                <w:sz w:val="24"/>
                <w:szCs w:val="24"/>
                <w:highlight w:val="white"/>
                <w:lang w:eastAsia="ru-RU"/>
              </w:rPr>
              <w:t xml:space="preserve"> по форме, установленной Правилами определения страны происхождения товаров, и в соответствии с критериями определения страны происхождения товаров, предусмотренными Правилами определения страны происхождения товаров.</w:t>
            </w:r>
          </w:p>
          <w:p w:rsidR="0003468E" w:rsidRDefault="0003468E">
            <w:pPr>
              <w:widowControl w:val="0"/>
              <w:spacing w:after="0" w:line="240" w:lineRule="auto"/>
              <w:ind w:firstLine="508"/>
              <w:jc w:val="both"/>
              <w:rPr>
                <w:rFonts w:ascii="Times New Roman" w:eastAsia="Times New Roman" w:hAnsi="Times New Roman"/>
                <w:sz w:val="24"/>
                <w:szCs w:val="24"/>
                <w:highlight w:val="white"/>
              </w:rPr>
            </w:pPr>
          </w:p>
          <w:p w:rsidR="0003468E" w:rsidRDefault="00EA11F8">
            <w:pPr>
              <w:widowControl w:val="0"/>
              <w:spacing w:after="0" w:line="240" w:lineRule="auto"/>
              <w:ind w:firstLine="702"/>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При предложении в заявке на участие в закупке лекарственных препаратов, все стадии производства которого выполнены на территории ЕАЭС, дл</w:t>
            </w:r>
            <w:r>
              <w:rPr>
                <w:rFonts w:ascii="Times New Roman" w:hAnsi="Times New Roman"/>
                <w:b/>
                <w:color w:val="22272F"/>
                <w:sz w:val="24"/>
                <w:szCs w:val="24"/>
                <w:highlight w:val="white"/>
                <w:shd w:val="clear" w:color="auto" w:fill="FFFFFF"/>
              </w:rPr>
              <w:t xml:space="preserve">я получения преимущества, предусмотренного </w:t>
            </w:r>
            <w:r>
              <w:rPr>
                <w:rFonts w:ascii="Times New Roman" w:eastAsia="Times New Roman" w:hAnsi="Times New Roman"/>
                <w:b/>
                <w:sz w:val="24"/>
                <w:szCs w:val="24"/>
                <w:highlight w:val="white"/>
                <w:lang w:eastAsia="ru-RU"/>
              </w:rPr>
              <w:t>подпунктом «у» пункта 4 ПП РФ 1875</w:t>
            </w:r>
            <w:r>
              <w:rPr>
                <w:rFonts w:ascii="Times New Roman" w:eastAsia="Times New Roman" w:hAnsi="Times New Roman"/>
                <w:sz w:val="24"/>
                <w:szCs w:val="24"/>
                <w:highlight w:val="white"/>
                <w:lang w:eastAsia="ru-RU"/>
              </w:rPr>
              <w:t>,</w:t>
            </w:r>
            <w:r>
              <w:rPr>
                <w:rFonts w:ascii="Times New Roman" w:hAnsi="Times New Roman"/>
                <w:color w:val="22272F"/>
                <w:sz w:val="24"/>
                <w:szCs w:val="24"/>
                <w:highlight w:val="white"/>
                <w:shd w:val="clear" w:color="auto" w:fill="FFFFFF"/>
              </w:rPr>
              <w:t xml:space="preserve"> в дополнение к вышеуказанным информации и документам, в составе заявке на участие в закупке  представляется также </w:t>
            </w:r>
            <w:r>
              <w:rPr>
                <w:rFonts w:ascii="Times New Roman" w:hAnsi="Times New Roman"/>
                <w:b/>
                <w:color w:val="22272F"/>
                <w:sz w:val="24"/>
                <w:szCs w:val="24"/>
                <w:highlight w:val="white"/>
                <w:shd w:val="clear" w:color="auto" w:fill="FFFFFF"/>
              </w:rPr>
              <w:t>документ, содержащий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выданный Министерством промышленности и торговли Российской Федерации в установленном им порядке (</w:t>
            </w:r>
            <w:r>
              <w:rPr>
                <w:rFonts w:ascii="Times New Roman" w:hAnsi="Times New Roman"/>
                <w:color w:val="22272F"/>
                <w:sz w:val="24"/>
                <w:szCs w:val="24"/>
                <w:highlight w:val="white"/>
                <w:shd w:val="clear" w:color="auto" w:fill="FFFFFF"/>
              </w:rPr>
              <w:t>в целях подтверждения осуществления всех стадий производства (в том числе синтеза молекулы действующего вещества при производстве фармацевтических субстанций) лекарственного препарата на территориях государств - членов Евразийского экономического союза).</w:t>
            </w:r>
          </w:p>
          <w:p w:rsidR="0003468E" w:rsidRDefault="00EA11F8">
            <w:pPr>
              <w:widowControl w:val="0"/>
              <w:spacing w:after="0" w:line="240" w:lineRule="auto"/>
              <w:ind w:firstLine="508"/>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xml:space="preserve">По 30 июня 2026 г. включительно, вышеуказанные преимущества положения подпункта «у» пункта 4 ПП РФ 1875 применяются также в отношении лекарственных препаратов, </w:t>
            </w:r>
            <w:r>
              <w:rPr>
                <w:rFonts w:ascii="Times New Roman" w:eastAsia="Times New Roman" w:hAnsi="Times New Roman"/>
                <w:sz w:val="24"/>
                <w:szCs w:val="24"/>
                <w:highlight w:val="white"/>
                <w:lang w:eastAsia="ru-RU"/>
              </w:rPr>
              <w:lastRenderedPageBreak/>
              <w:t>включенных в перечень стратегически значимых лекарственных средств, производство которых должно быть обеспечено на территории Российской Федерации, утвержденный распоряжением Правительства Российской Федерации от 6 июля 2010 г. № 1141-р.</w:t>
            </w:r>
          </w:p>
        </w:tc>
      </w:tr>
      <w:tr w:rsidR="0003468E">
        <w:tc>
          <w:tcPr>
            <w:tcW w:w="2467"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lastRenderedPageBreak/>
              <w:t>Товары из стран ЕАЭС, не указанные в позициях 1–433 приложения  № 2</w:t>
            </w:r>
          </w:p>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color w:val="0000FF"/>
                <w:sz w:val="24"/>
                <w:szCs w:val="24"/>
                <w:highlight w:val="white"/>
                <w:u w:val="single"/>
                <w:lang w:eastAsia="ru-RU"/>
              </w:rPr>
              <w:t>подп. «з</w:t>
            </w:r>
            <w:hyperlink r:id="rId90" w:anchor="_blank" w:history="1">
              <w:r>
                <w:rPr>
                  <w:rFonts w:ascii="Times New Roman" w:eastAsia="Times New Roman" w:hAnsi="Times New Roman"/>
                  <w:color w:val="0000FF"/>
                  <w:sz w:val="24"/>
                  <w:szCs w:val="24"/>
                  <w:highlight w:val="white"/>
                  <w:u w:val="single"/>
                  <w:lang w:eastAsia="ru-RU"/>
                </w:rPr>
                <w:t>»</w:t>
              </w:r>
            </w:hyperlink>
            <w:r>
              <w:rPr>
                <w:rFonts w:ascii="Times New Roman" w:eastAsia="Times New Roman" w:hAnsi="Times New Roman"/>
                <w:sz w:val="24"/>
                <w:szCs w:val="24"/>
                <w:highlight w:val="white"/>
                <w:lang w:eastAsia="ru-RU"/>
              </w:rPr>
              <w:t> п. 3 ПП РФ № 1875</w:t>
            </w:r>
          </w:p>
        </w:tc>
        <w:tc>
          <w:tcPr>
            <w:tcW w:w="6699"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ind w:firstLine="567"/>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xml:space="preserve">Наименование страны происхождения товара, указываемое в порядке, предусмотренном </w:t>
            </w:r>
            <w:r>
              <w:rPr>
                <w:rFonts w:ascii="Times New Roman" w:eastAsia="Times New Roman" w:hAnsi="Times New Roman"/>
                <w:color w:val="0000FF"/>
                <w:sz w:val="24"/>
                <w:szCs w:val="24"/>
                <w:highlight w:val="white"/>
                <w:u w:val="single"/>
                <w:lang w:eastAsia="ru-RU"/>
              </w:rPr>
              <w:t>подпунктом «б»</w:t>
            </w:r>
            <w:r>
              <w:rPr>
                <w:rFonts w:ascii="Times New Roman" w:eastAsia="Times New Roman" w:hAnsi="Times New Roman"/>
                <w:sz w:val="24"/>
                <w:szCs w:val="24"/>
                <w:highlight w:val="white"/>
                <w:lang w:eastAsia="ru-RU"/>
              </w:rPr>
              <w:t xml:space="preserve"> пункта  2  части  1  статьи  43  Закона № 44-ФЗ</w:t>
            </w:r>
          </w:p>
        </w:tc>
      </w:tr>
      <w:tr w:rsidR="0003468E">
        <w:tc>
          <w:tcPr>
            <w:tcW w:w="2467"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Иностранный товар</w:t>
            </w:r>
          </w:p>
          <w:p w:rsidR="0003468E" w:rsidRDefault="00EA11F8">
            <w:pPr>
              <w:widowControl w:val="0"/>
              <w:spacing w:after="0" w:line="240" w:lineRule="auto"/>
              <w:rPr>
                <w:rFonts w:ascii="Times New Roman" w:eastAsia="Times New Roman" w:hAnsi="Times New Roman"/>
                <w:sz w:val="24"/>
                <w:szCs w:val="24"/>
                <w:highlight w:val="white"/>
              </w:rPr>
            </w:pPr>
            <w:r>
              <w:rPr>
                <w:rFonts w:ascii="Times New Roman" w:eastAsia="Times New Roman" w:hAnsi="Times New Roman"/>
                <w:color w:val="0000FF"/>
                <w:sz w:val="24"/>
                <w:szCs w:val="24"/>
                <w:highlight w:val="white"/>
                <w:u w:val="single"/>
                <w:lang w:eastAsia="ru-RU"/>
              </w:rPr>
              <w:t>подп. «з»</w:t>
            </w:r>
            <w:r>
              <w:rPr>
                <w:rFonts w:ascii="Times New Roman" w:eastAsia="Times New Roman" w:hAnsi="Times New Roman"/>
                <w:sz w:val="24"/>
                <w:szCs w:val="24"/>
                <w:highlight w:val="white"/>
                <w:lang w:eastAsia="ru-RU"/>
              </w:rPr>
              <w:t> п. 3 ПП РФ № 1875</w:t>
            </w:r>
          </w:p>
        </w:tc>
        <w:tc>
          <w:tcPr>
            <w:tcW w:w="6699" w:type="dxa"/>
            <w:tcBorders>
              <w:top w:val="single" w:sz="4" w:space="0" w:color="000000"/>
              <w:left w:val="single" w:sz="4" w:space="0" w:color="000000"/>
              <w:bottom w:val="single" w:sz="4" w:space="0" w:color="000000"/>
              <w:right w:val="single" w:sz="4" w:space="0" w:color="000000"/>
            </w:tcBorders>
          </w:tcPr>
          <w:p w:rsidR="0003468E" w:rsidRDefault="00EA11F8">
            <w:pPr>
              <w:widowControl w:val="0"/>
              <w:spacing w:after="0" w:line="240" w:lineRule="auto"/>
              <w:ind w:firstLine="567"/>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xml:space="preserve">Наименование страны происхождения товара, указываемое в порядке, предусмотренном </w:t>
            </w:r>
            <w:r>
              <w:rPr>
                <w:rFonts w:ascii="Times New Roman" w:eastAsia="Times New Roman" w:hAnsi="Times New Roman"/>
                <w:color w:val="0000FF"/>
                <w:sz w:val="24"/>
                <w:szCs w:val="24"/>
                <w:highlight w:val="white"/>
                <w:u w:val="single"/>
                <w:lang w:eastAsia="ru-RU"/>
              </w:rPr>
              <w:t>подпунктом «б»</w:t>
            </w:r>
            <w:r>
              <w:rPr>
                <w:rFonts w:ascii="Times New Roman" w:eastAsia="Times New Roman" w:hAnsi="Times New Roman"/>
                <w:sz w:val="24"/>
                <w:szCs w:val="24"/>
                <w:highlight w:val="white"/>
                <w:lang w:eastAsia="ru-RU"/>
              </w:rPr>
              <w:t xml:space="preserve"> пункта 2 части 1 статьи 43 Закона № 44-ФЗ, кроме случаев, перечисленных в </w:t>
            </w:r>
            <w:r>
              <w:rPr>
                <w:rFonts w:ascii="Times New Roman" w:eastAsia="Times New Roman" w:hAnsi="Times New Roman"/>
                <w:color w:val="0000FF"/>
                <w:sz w:val="24"/>
                <w:szCs w:val="24"/>
                <w:highlight w:val="white"/>
                <w:u w:val="single"/>
                <w:lang w:eastAsia="ru-RU"/>
              </w:rPr>
              <w:t>пункте 3</w:t>
            </w:r>
            <w:r>
              <w:rPr>
                <w:rFonts w:ascii="Times New Roman" w:eastAsia="Times New Roman" w:hAnsi="Times New Roman"/>
                <w:sz w:val="24"/>
                <w:szCs w:val="24"/>
                <w:highlight w:val="white"/>
                <w:lang w:eastAsia="ru-RU"/>
              </w:rPr>
              <w:t>  № 1875, при которых предусмотрены иные информация и документы, подтверждающие происхождение товара из ЕАЭС</w:t>
            </w:r>
          </w:p>
        </w:tc>
      </w:tr>
    </w:tbl>
    <w:p w:rsidR="0003468E" w:rsidRDefault="0003468E">
      <w:pPr>
        <w:spacing w:after="0" w:line="240" w:lineRule="auto"/>
        <w:jc w:val="both"/>
        <w:rPr>
          <w:rFonts w:ascii="Times New Roman" w:eastAsia="Times New Roman" w:hAnsi="Times New Roman"/>
          <w:sz w:val="24"/>
          <w:szCs w:val="24"/>
          <w:highlight w:val="white"/>
        </w:rPr>
      </w:pPr>
    </w:p>
    <w:p w:rsidR="0003468E" w:rsidRDefault="0003468E">
      <w:pPr>
        <w:spacing w:after="0" w:line="240" w:lineRule="auto"/>
        <w:ind w:firstLine="567"/>
        <w:jc w:val="both"/>
        <w:outlineLvl w:val="2"/>
        <w:rPr>
          <w:rFonts w:ascii="Times New Roman" w:eastAsia="Times New Roman" w:hAnsi="Times New Roman"/>
          <w:b/>
          <w:bCs/>
          <w:i/>
          <w:color w:val="000000"/>
          <w:sz w:val="24"/>
          <w:szCs w:val="24"/>
          <w:highlight w:val="white"/>
        </w:rPr>
      </w:pPr>
    </w:p>
    <w:p w:rsidR="0003468E" w:rsidRDefault="0003468E">
      <w:pPr>
        <w:spacing w:after="0" w:line="240" w:lineRule="auto"/>
        <w:ind w:firstLine="567"/>
        <w:jc w:val="both"/>
        <w:outlineLvl w:val="2"/>
        <w:rPr>
          <w:rFonts w:ascii="Times New Roman" w:eastAsia="Times New Roman" w:hAnsi="Times New Roman"/>
          <w:b/>
          <w:bCs/>
          <w:i/>
          <w:color w:val="000000"/>
          <w:sz w:val="24"/>
          <w:szCs w:val="24"/>
          <w:highlight w:val="white"/>
        </w:rPr>
      </w:pPr>
    </w:p>
    <w:p w:rsidR="0003468E" w:rsidRDefault="0003468E">
      <w:pPr>
        <w:spacing w:after="0" w:line="240" w:lineRule="auto"/>
        <w:ind w:firstLine="567"/>
        <w:jc w:val="both"/>
        <w:outlineLvl w:val="2"/>
        <w:rPr>
          <w:rFonts w:ascii="Times New Roman" w:eastAsia="Times New Roman" w:hAnsi="Times New Roman"/>
          <w:b/>
          <w:bCs/>
          <w:i/>
          <w:color w:val="000000"/>
          <w:sz w:val="24"/>
          <w:szCs w:val="24"/>
          <w:highlight w:val="white"/>
        </w:rPr>
      </w:pPr>
    </w:p>
    <w:p w:rsidR="0003468E" w:rsidRDefault="00EA11F8">
      <w:pPr>
        <w:spacing w:after="0" w:line="240" w:lineRule="auto"/>
        <w:ind w:firstLine="567"/>
        <w:jc w:val="both"/>
        <w:outlineLvl w:val="2"/>
        <w:rPr>
          <w:rFonts w:ascii="Times New Roman" w:eastAsia="Times New Roman" w:hAnsi="Times New Roman"/>
          <w:b/>
          <w:bCs/>
          <w:i/>
          <w:color w:val="000000"/>
          <w:sz w:val="24"/>
          <w:szCs w:val="24"/>
          <w:highlight w:val="white"/>
        </w:rPr>
      </w:pPr>
      <w:r>
        <w:rPr>
          <w:rFonts w:ascii="Times New Roman" w:hAnsi="Times New Roman"/>
          <w:b/>
          <w:i/>
          <w:highlight w:val="white"/>
        </w:rPr>
        <w:t xml:space="preserve">в) </w:t>
      </w:r>
      <w:r>
        <w:rPr>
          <w:rFonts w:ascii="Times New Roman" w:eastAsia="Times New Roman" w:hAnsi="Times New Roman"/>
          <w:b/>
          <w:bCs/>
          <w:i/>
          <w:color w:val="000000"/>
          <w:sz w:val="24"/>
          <w:szCs w:val="24"/>
          <w:highlight w:val="white"/>
          <w:lang w:eastAsia="ru-RU"/>
        </w:rPr>
        <w:t>Для получения ПРЕИМУЩЕСТВ товарам российского происхождения по всем позициям товаров, включенным в объект закупки, участник закупки представляет в составе заявки следующие информацию и (или) документы:</w:t>
      </w:r>
    </w:p>
    <w:p w:rsidR="0003468E" w:rsidRDefault="00EA11F8">
      <w:pPr>
        <w:pStyle w:val="ConsPlusNormal"/>
        <w:spacing w:before="240" w:after="200"/>
        <w:ind w:firstLine="540"/>
        <w:jc w:val="both"/>
        <w:rPr>
          <w:highlight w:val="white"/>
        </w:rPr>
      </w:pPr>
      <w:r>
        <w:rPr>
          <w:highlight w:val="white"/>
        </w:rPr>
        <w:t xml:space="preserve">- для подтверждения происхождения в стране ЕАЭС товаров, не указанных в </w:t>
      </w:r>
      <w:hyperlink w:anchor="Par186" w:tooltip="#Par186" w:history="1">
        <w:r>
          <w:rPr>
            <w:color w:val="0000FF"/>
            <w:highlight w:val="white"/>
          </w:rPr>
          <w:t>позициях 1</w:t>
        </w:r>
      </w:hyperlink>
      <w:r>
        <w:rPr>
          <w:highlight w:val="white"/>
        </w:rPr>
        <w:t xml:space="preserve"> - </w:t>
      </w:r>
      <w:hyperlink w:anchor="Par633" w:tooltip="#Par633" w:history="1">
        <w:r>
          <w:rPr>
            <w:color w:val="0000FF"/>
            <w:highlight w:val="white"/>
          </w:rPr>
          <w:t>146</w:t>
        </w:r>
      </w:hyperlink>
      <w:r>
        <w:rPr>
          <w:highlight w:val="white"/>
        </w:rPr>
        <w:t xml:space="preserve"> приложения № 1, </w:t>
      </w:r>
      <w:hyperlink w:anchor="Par673" w:tooltip="#Par673" w:history="1">
        <w:r>
          <w:rPr>
            <w:color w:val="0000FF"/>
            <w:highlight w:val="white"/>
          </w:rPr>
          <w:t>позициях 1</w:t>
        </w:r>
      </w:hyperlink>
      <w:r>
        <w:rPr>
          <w:highlight w:val="white"/>
        </w:rPr>
        <w:t xml:space="preserve"> - </w:t>
      </w:r>
      <w:hyperlink w:anchor="Par2205" w:tooltip="#Par2205" w:history="1">
        <w:r>
          <w:rPr>
            <w:color w:val="0000FF"/>
            <w:highlight w:val="white"/>
          </w:rPr>
          <w:t>433</w:t>
        </w:r>
      </w:hyperlink>
      <w:r>
        <w:rPr>
          <w:highlight w:val="white"/>
        </w:rPr>
        <w:t xml:space="preserve"> приложения № 2 ПП РФ №1875,                   а также для подтверждения происхождения товара из иностранного государства (за исключением случаев, при которых предусмотрены иные информация и документы, подтверждающие происхождение товара из государств - членов Евразийского экономического союза) - </w:t>
      </w:r>
      <w:r>
        <w:rPr>
          <w:b/>
          <w:highlight w:val="white"/>
        </w:rPr>
        <w:t>наименование страны происхождения товара в соответствии с подпунктом «б» пункта 2 части 1 статьи 43 Федерального закона о контрактной системе</w:t>
      </w:r>
      <w:r>
        <w:rPr>
          <w:highlight w:val="white"/>
        </w:rPr>
        <w:t>;</w:t>
      </w:r>
    </w:p>
    <w:p w:rsidR="0003468E" w:rsidRDefault="00EA11F8">
      <w:pPr>
        <w:pStyle w:val="ConsPlusNormal"/>
        <w:spacing w:before="240" w:after="200"/>
        <w:ind w:firstLine="540"/>
        <w:jc w:val="both"/>
        <w:rPr>
          <w:b/>
          <w:color w:val="FF0000"/>
          <w:highlight w:val="white"/>
        </w:rPr>
      </w:pPr>
      <w:r>
        <w:rPr>
          <w:highlight w:val="white"/>
        </w:rPr>
        <w:t xml:space="preserve">- для подтверждения происхождения в стране ЕАЭС товаров, указанных в </w:t>
      </w:r>
      <w:r>
        <w:rPr>
          <w:color w:val="0000FF"/>
          <w:highlight w:val="white"/>
        </w:rPr>
        <w:t>позициях 1</w:t>
      </w:r>
      <w:r>
        <w:rPr>
          <w:highlight w:val="white"/>
        </w:rPr>
        <w:t xml:space="preserve"> - </w:t>
      </w:r>
      <w:hyperlink w:anchor="Par633" w:tooltip="#Par633" w:history="1">
        <w:r>
          <w:rPr>
            <w:color w:val="0000FF"/>
            <w:highlight w:val="white"/>
          </w:rPr>
          <w:t>146</w:t>
        </w:r>
      </w:hyperlink>
      <w:r>
        <w:rPr>
          <w:highlight w:val="white"/>
        </w:rPr>
        <w:t xml:space="preserve"> приложения № 1, </w:t>
      </w:r>
      <w:r>
        <w:rPr>
          <w:color w:val="0000FF"/>
          <w:highlight w:val="white"/>
        </w:rPr>
        <w:t>позициях 1</w:t>
      </w:r>
      <w:r>
        <w:rPr>
          <w:highlight w:val="white"/>
        </w:rPr>
        <w:t xml:space="preserve"> - </w:t>
      </w:r>
      <w:hyperlink w:anchor="Par2205" w:tooltip="#Par2205" w:history="1">
        <w:r>
          <w:rPr>
            <w:color w:val="0000FF"/>
            <w:highlight w:val="white"/>
          </w:rPr>
          <w:t>433</w:t>
        </w:r>
      </w:hyperlink>
      <w:r>
        <w:rPr>
          <w:highlight w:val="white"/>
        </w:rPr>
        <w:t xml:space="preserve"> приложения № 2 ПП РФ № 1875                           </w:t>
      </w:r>
      <w:r>
        <w:rPr>
          <w:b/>
          <w:color w:val="FF0000"/>
          <w:highlight w:val="white"/>
        </w:rPr>
        <w:t>- документы, предусмотренные в пп. а) и б) настоящего пункта;</w:t>
      </w:r>
    </w:p>
    <w:p w:rsidR="0003468E" w:rsidRDefault="00EA11F8">
      <w:pPr>
        <w:pStyle w:val="ConsPlusNormal"/>
        <w:spacing w:before="240" w:after="200"/>
        <w:ind w:firstLine="540"/>
        <w:jc w:val="both"/>
        <w:rPr>
          <w:highlight w:val="white"/>
        </w:rPr>
      </w:pPr>
      <w:r>
        <w:rPr>
          <w:color w:val="000000"/>
          <w:highlight w:val="white"/>
          <w:shd w:val="clear" w:color="FFFFFF" w:themeColor="background1" w:fill="FFFFFF" w:themeFill="background1"/>
        </w:rPr>
        <w:t xml:space="preserve">- для подтверждения происхождения из Российской Федерации, указанных в </w:t>
      </w:r>
      <w:hyperlink r:id="rId91" w:anchor="/document/411197447/entry/2001" w:tooltip="https://internet.garant.ru/#/document/411197447/entry/2001" w:history="1">
        <w:r>
          <w:rPr>
            <w:rStyle w:val="af"/>
            <w:color w:val="0000EE"/>
            <w:highlight w:val="white"/>
            <w:shd w:val="clear" w:color="FFFFFF" w:themeColor="background1" w:fill="FFFFFF" w:themeFill="background1"/>
          </w:rPr>
          <w:t>позициях 1 - 433</w:t>
        </w:r>
      </w:hyperlink>
      <w:r>
        <w:rPr>
          <w:color w:val="000000"/>
          <w:highlight w:val="white"/>
          <w:shd w:val="clear" w:color="FFFFFF" w:themeColor="background1" w:fill="FFFFFF" w:themeFill="background1"/>
        </w:rPr>
        <w:t xml:space="preserve"> приложения N 2 ПП РФ № 1875 (если отсутствие в реестре российской промышленной продукции такого товара с характеристиками, соответствующими потребности заказчика, задекларировано заказчиком в соответствии с </w:t>
      </w:r>
      <w:hyperlink r:id="rId92" w:anchor="/document/411197447/entry/713" w:tooltip="https://internet.garant.ru/#/document/411197447/entry/713" w:history="1">
        <w:r>
          <w:rPr>
            <w:rStyle w:val="af"/>
            <w:color w:val="0000EE"/>
            <w:highlight w:val="white"/>
            <w:shd w:val="clear" w:color="FFFFFF" w:themeColor="background1" w:fill="FFFFFF" w:themeFill="background1"/>
          </w:rPr>
          <w:t>абзацем четвертым подпункта "а" пункта 7</w:t>
        </w:r>
      </w:hyperlink>
      <w:r>
        <w:rPr>
          <w:color w:val="000000"/>
          <w:highlight w:val="white"/>
          <w:shd w:val="clear" w:color="FFFFFF" w:themeColor="background1" w:fill="FFFFFF" w:themeFill="background1"/>
        </w:rPr>
        <w:t xml:space="preserve"> ПП РФ № 1875), за исключением случая, если в заявке на участие в закупке содержится предложение о поставке товара, который по состоянию на момент подачи заявки на участие в закупке включен в реестр российской промышленной продукции </w:t>
      </w:r>
      <w:r>
        <w:rPr>
          <w:highlight w:val="white"/>
          <w:shd w:val="clear" w:color="FFFFFF" w:themeColor="background1" w:fill="FFFFFF" w:themeFill="background1"/>
        </w:rPr>
        <w:t xml:space="preserve">- </w:t>
      </w:r>
      <w:r>
        <w:rPr>
          <w:b/>
          <w:highlight w:val="white"/>
          <w:shd w:val="clear" w:color="FFFFFF" w:themeColor="background1" w:fill="FFFFFF" w:themeFill="background1"/>
        </w:rPr>
        <w:t>наименование страны происхождения товара в соответствии с подпунктом «б» пункта 2 части 1 статьи 43 Федерального закона о контрактной системе</w:t>
      </w:r>
      <w:r>
        <w:rPr>
          <w:highlight w:val="white"/>
          <w:shd w:val="clear" w:color="FFFFFF" w:themeColor="background1" w:fill="FFFFFF" w:themeFill="background1"/>
        </w:rPr>
        <w:t>;</w:t>
      </w:r>
    </w:p>
    <w:p w:rsidR="0003468E" w:rsidRDefault="00EA11F8">
      <w:pPr>
        <w:pStyle w:val="ConsPlusNormal"/>
        <w:spacing w:before="240" w:after="200"/>
        <w:ind w:firstLine="540"/>
        <w:jc w:val="both"/>
        <w:rPr>
          <w:highlight w:val="white"/>
        </w:rPr>
      </w:pPr>
      <w:r>
        <w:rPr>
          <w:highlight w:val="white"/>
        </w:rPr>
        <w:t xml:space="preserve">- для подтверждения происхождения вышеуказанных товаров из иностранного государства (за исключением случаев, при которых предусмотрены иные информация и документы, подтверждающие происхождение товара из государств - членов ЕАЭС)                         - </w:t>
      </w:r>
      <w:r>
        <w:rPr>
          <w:b/>
          <w:highlight w:val="white"/>
        </w:rPr>
        <w:t>наименование страны происхождения товара в соответствии с подпунктом «б» пункта 2 части 1 статьи 43 Федерального закона о контрактной системе</w:t>
      </w:r>
      <w:r>
        <w:rPr>
          <w:highlight w:val="white"/>
        </w:rPr>
        <w:t>.</w:t>
      </w:r>
    </w:p>
    <w:p w:rsidR="0003468E" w:rsidRDefault="00EA11F8">
      <w:pPr>
        <w:shd w:val="clear" w:color="auto" w:fill="FFFFFF"/>
        <w:tabs>
          <w:tab w:val="left" w:pos="567"/>
          <w:tab w:val="left" w:pos="4395"/>
        </w:tabs>
        <w:spacing w:before="220" w:after="0" w:line="240" w:lineRule="auto"/>
        <w:ind w:firstLine="540"/>
        <w:jc w:val="both"/>
        <w:rPr>
          <w:rFonts w:ascii="Times New Roman" w:hAnsi="Times New Roman"/>
          <w:sz w:val="24"/>
          <w:szCs w:val="24"/>
          <w:highlight w:val="white"/>
        </w:rPr>
      </w:pPr>
      <w:r>
        <w:rPr>
          <w:rFonts w:ascii="Times New Roman" w:hAnsi="Times New Roman"/>
          <w:sz w:val="24"/>
          <w:szCs w:val="24"/>
          <w:highlight w:val="white"/>
        </w:rPr>
        <w:lastRenderedPageBreak/>
        <w:tab/>
        <w:t>В случае отсутствия в заявке на участие в закупке информации и документов, предусмотренных в настоящем пункте,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оказываемых иностранными лицами.</w:t>
      </w:r>
    </w:p>
    <w:p w:rsidR="0003468E" w:rsidRDefault="00EA11F8">
      <w:pPr>
        <w:shd w:val="clear" w:color="auto" w:fill="FFFFFF"/>
        <w:spacing w:before="220" w:after="0" w:line="240" w:lineRule="auto"/>
        <w:ind w:firstLine="540"/>
        <w:jc w:val="both"/>
        <w:rPr>
          <w:rFonts w:ascii="Times New Roman" w:hAnsi="Times New Roman"/>
          <w:sz w:val="24"/>
          <w:szCs w:val="24"/>
          <w:highlight w:val="white"/>
        </w:rPr>
      </w:pPr>
      <w:r>
        <w:rPr>
          <w:rFonts w:ascii="Times New Roman" w:hAnsi="Times New Roman"/>
          <w:sz w:val="24"/>
          <w:szCs w:val="24"/>
          <w:highlight w:val="white"/>
        </w:rPr>
        <w:t>5. В случае, если в извещении о закупке установлено требование в части обеспечения заявки и  участником закупки является юридическое лицо, зарегистрированное на территории государства - члена Евразийского экономического союза, за исключением Российской Федерации, или физическое лицо, являющееся гражданином государства - члена Евразийского экономического союза, за исключением Российской Федерации (далее - участники закупки), заявка на участие в закупке должна содержать информацию и документы, подтверждающие предоставление обеспечения заявки на участие в закупке, в форме электронных документов или в форме электронных образов бумажных документов.</w:t>
      </w:r>
    </w:p>
    <w:p w:rsidR="0003468E" w:rsidRDefault="00EA11F8">
      <w:pPr>
        <w:shd w:val="clear" w:color="auto" w:fill="FFFFFF"/>
        <w:spacing w:before="220" w:after="0" w:line="240" w:lineRule="auto"/>
        <w:ind w:firstLine="540"/>
        <w:jc w:val="both"/>
        <w:rPr>
          <w:rFonts w:ascii="Times New Roman" w:hAnsi="Times New Roman"/>
          <w:sz w:val="24"/>
          <w:szCs w:val="24"/>
          <w:highlight w:val="white"/>
        </w:rPr>
      </w:pPr>
      <w:r>
        <w:rPr>
          <w:rFonts w:ascii="Times New Roman" w:hAnsi="Times New Roman"/>
          <w:sz w:val="24"/>
          <w:szCs w:val="24"/>
          <w:highlight w:val="white"/>
        </w:rPr>
        <w:t>При этом, такой участник закупки признается непредоставившим обеспечение заявки на участие в закупке в случае непоступления денежных средств, информация и документы о внесении которых в качестве обеспечения заявки представлены в заявке на участие в закупке, до даты окончания срока рассмотрения и оценки вторых частей заявок на участие в закупке (в случае проведения открытого конкурса в электронной форме), даты подведения итогов определения поставщика (подрядчика, исполнителя) (в случае проведения открытого аукциона в электронной форме или запроса котировок в электронной форме) на счет, указанный заказчиком в извещении об осуществлении закупки, на котором в соответствии с законодательством Российской Федерации учитываются операции со средствами, поступающими заказчику. При этом заявка на участие в закупке, поданная таким участником закупки, отклоняется в порядке, установленном для случая, предусмотренного пунктом 7 части 12 статьи 48 Федерального закона 44-ФЗ.</w:t>
      </w:r>
    </w:p>
    <w:p w:rsidR="0003468E" w:rsidRDefault="0003468E">
      <w:pPr>
        <w:shd w:val="clear" w:color="auto" w:fill="FFFFFF"/>
        <w:ind w:firstLine="567"/>
        <w:jc w:val="center"/>
        <w:rPr>
          <w:rFonts w:ascii="Times New Roman" w:hAnsi="Times New Roman"/>
          <w:b/>
          <w:bCs/>
          <w:sz w:val="24"/>
          <w:szCs w:val="24"/>
          <w:highlight w:val="white"/>
        </w:rPr>
      </w:pPr>
    </w:p>
    <w:p w:rsidR="0003468E" w:rsidRDefault="00EA11F8">
      <w:pPr>
        <w:shd w:val="clear" w:color="auto" w:fill="FFFFFF"/>
        <w:ind w:firstLine="567"/>
        <w:jc w:val="center"/>
        <w:rPr>
          <w:rFonts w:ascii="Times New Roman" w:hAnsi="Times New Roman"/>
          <w:b/>
          <w:bCs/>
          <w:sz w:val="24"/>
          <w:szCs w:val="24"/>
          <w:highlight w:val="white"/>
        </w:rPr>
      </w:pPr>
      <w:r>
        <w:rPr>
          <w:rFonts w:ascii="Times New Roman" w:hAnsi="Times New Roman"/>
          <w:b/>
          <w:sz w:val="24"/>
          <w:szCs w:val="24"/>
          <w:highlight w:val="white"/>
        </w:rPr>
        <w:t>Инструкция по заполнению заявки на участие в закупке</w:t>
      </w:r>
    </w:p>
    <w:p w:rsidR="0003468E" w:rsidRDefault="00EA11F8">
      <w:pPr>
        <w:shd w:val="clear" w:color="auto" w:fill="FFFFFF"/>
        <w:ind w:firstLine="567"/>
        <w:jc w:val="center"/>
        <w:rPr>
          <w:rFonts w:ascii="Times New Roman" w:hAnsi="Times New Roman"/>
          <w:b/>
          <w:sz w:val="24"/>
          <w:szCs w:val="24"/>
          <w:highlight w:val="white"/>
        </w:rPr>
      </w:pPr>
      <w:r>
        <w:rPr>
          <w:rFonts w:ascii="Times New Roman" w:hAnsi="Times New Roman"/>
          <w:b/>
          <w:sz w:val="24"/>
          <w:szCs w:val="24"/>
          <w:highlight w:val="white"/>
        </w:rPr>
        <w:t>ВНИМАНИЕ УЧАСТНИКОВ ЗАКУПКИ!</w:t>
      </w:r>
    </w:p>
    <w:p w:rsidR="0003468E" w:rsidRDefault="00EA11F8">
      <w:pPr>
        <w:shd w:val="clear" w:color="auto" w:fill="FFFFFF"/>
        <w:ind w:firstLine="567"/>
        <w:jc w:val="both"/>
        <w:rPr>
          <w:rFonts w:ascii="Times New Roman" w:hAnsi="Times New Roman"/>
          <w:b/>
          <w:sz w:val="24"/>
          <w:szCs w:val="24"/>
          <w:highlight w:val="white"/>
        </w:rPr>
      </w:pPr>
      <w:r>
        <w:rPr>
          <w:rFonts w:ascii="Times New Roman" w:hAnsi="Times New Roman"/>
          <w:b/>
          <w:sz w:val="24"/>
          <w:szCs w:val="24"/>
          <w:highlight w:val="white"/>
        </w:rPr>
        <w:t>В случае выявления комиссией по осуществлению закупки явных противоречий в информации о товарном знаке, стране происхождения и характеристиках товара, указанных в заявке в структурированном виде, формируемой с использованием электронной площадки, и в приложенном к заявке на участие в закупке документе (файле), такая заявка может быть признана комиссией по осуществлению закупки не соответствующей требованиям извещения об осуществлении закупки.</w:t>
      </w:r>
    </w:p>
    <w:p w:rsidR="0003468E" w:rsidRDefault="00EA11F8">
      <w:pPr>
        <w:numPr>
          <w:ilvl w:val="0"/>
          <w:numId w:val="1"/>
        </w:numPr>
        <w:shd w:val="clear" w:color="auto" w:fill="FFFFFF"/>
        <w:spacing w:after="0" w:line="240" w:lineRule="auto"/>
        <w:ind w:left="0" w:firstLine="663"/>
        <w:jc w:val="both"/>
        <w:rPr>
          <w:rFonts w:ascii="Times New Roman" w:hAnsi="Times New Roman"/>
          <w:bCs/>
          <w:sz w:val="24"/>
          <w:szCs w:val="24"/>
          <w:highlight w:val="white"/>
        </w:rPr>
      </w:pPr>
      <w:r>
        <w:rPr>
          <w:rFonts w:ascii="Times New Roman" w:hAnsi="Times New Roman"/>
          <w:bCs/>
          <w:sz w:val="24"/>
          <w:szCs w:val="24"/>
          <w:highlight w:val="white"/>
          <w:lang w:eastAsia="ru-RU"/>
        </w:rPr>
        <w:t>Характеристики предлагаемого участником закупки товара, товарный знак (при наличии у товара товарного знака) и наименование страны происхождения товара включаются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при этом:</w:t>
      </w:r>
    </w:p>
    <w:p w:rsidR="0003468E" w:rsidRDefault="00EA11F8">
      <w:pPr>
        <w:shd w:val="clear" w:color="auto" w:fill="FFFFFF"/>
        <w:spacing w:after="0" w:line="240" w:lineRule="auto"/>
        <w:ind w:firstLine="567"/>
        <w:jc w:val="both"/>
        <w:rPr>
          <w:rFonts w:ascii="Times New Roman" w:hAnsi="Times New Roman"/>
          <w:bCs/>
          <w:sz w:val="24"/>
          <w:szCs w:val="24"/>
          <w:highlight w:val="white"/>
        </w:rPr>
      </w:pPr>
      <w:r>
        <w:rPr>
          <w:rFonts w:ascii="Times New Roman" w:hAnsi="Times New Roman"/>
          <w:bCs/>
          <w:sz w:val="24"/>
          <w:szCs w:val="24"/>
          <w:highlight w:val="white"/>
          <w:lang w:eastAsia="ru-RU"/>
        </w:rPr>
        <w:t>-</w:t>
      </w:r>
      <w:r>
        <w:rPr>
          <w:rFonts w:ascii="Times New Roman" w:hAnsi="Times New Roman"/>
          <w:sz w:val="24"/>
          <w:szCs w:val="24"/>
          <w:highlight w:val="white"/>
          <w:lang w:eastAsia="ru-RU"/>
        </w:rPr>
        <w:t xml:space="preserve"> характеристики поставляемого товара указываются  в полном соответствии с показателями, установленными заказчиком в описании объекта закупки, при этом </w:t>
      </w:r>
      <w:r>
        <w:rPr>
          <w:rFonts w:ascii="Times New Roman" w:eastAsia="Times New Roman" w:hAnsi="Times New Roman"/>
          <w:sz w:val="24"/>
          <w:szCs w:val="24"/>
          <w:highlight w:val="white"/>
          <w:lang w:eastAsia="ru-RU"/>
        </w:rPr>
        <w:t xml:space="preserve"> участник закупки </w:t>
      </w:r>
      <w:r>
        <w:rPr>
          <w:rFonts w:ascii="Times New Roman" w:eastAsia="Times New Roman" w:hAnsi="Times New Roman"/>
          <w:bCs/>
          <w:sz w:val="24"/>
          <w:szCs w:val="24"/>
          <w:highlight w:val="white"/>
          <w:lang w:eastAsia="ru-RU"/>
        </w:rPr>
        <w:t>должен</w:t>
      </w:r>
      <w:r>
        <w:rPr>
          <w:rFonts w:ascii="Times New Roman" w:eastAsia="Times New Roman" w:hAnsi="Times New Roman"/>
          <w:sz w:val="24"/>
          <w:szCs w:val="24"/>
          <w:highlight w:val="white"/>
          <w:lang w:eastAsia="ru-RU"/>
        </w:rPr>
        <w:t xml:space="preserve"> указать или конкретное значение характеристики, или все значения характеристики, или диапазон значений характеристики, или одно или несколько значений характеристики, или только одно значение характеристики, или характеристики в неизменном виде, указанных в </w:t>
      </w:r>
      <w:r>
        <w:rPr>
          <w:rFonts w:ascii="Times New Roman" w:eastAsia="Times New Roman" w:hAnsi="Times New Roman"/>
          <w:bCs/>
          <w:sz w:val="24"/>
          <w:szCs w:val="24"/>
          <w:highlight w:val="white"/>
          <w:lang w:eastAsia="ru-RU"/>
        </w:rPr>
        <w:t>описании объекта закупки. При этом инструкция к каждой характеристики указана в разделе Объект закупки в структурированном извещении об осуществлении закупки размещенном в ЕИС</w:t>
      </w:r>
      <w:r>
        <w:rPr>
          <w:rFonts w:ascii="Times New Roman" w:eastAsia="Times New Roman" w:hAnsi="Times New Roman"/>
          <w:sz w:val="24"/>
          <w:szCs w:val="24"/>
          <w:highlight w:val="white"/>
          <w:lang w:eastAsia="ru-RU"/>
        </w:rPr>
        <w:t xml:space="preserve">. </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hAnsi="Times New Roman"/>
          <w:bCs/>
          <w:sz w:val="24"/>
          <w:szCs w:val="24"/>
          <w:highlight w:val="white"/>
          <w:lang w:eastAsia="ru-RU"/>
        </w:rPr>
        <w:lastRenderedPageBreak/>
        <w:t>-характеристики предлагаемого участником закупки товара и товарный знак (при наличии у товара товарного знака) могут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r>
        <w:rPr>
          <w:rFonts w:ascii="Times New Roman" w:eastAsia="Times New Roman" w:hAnsi="Times New Roman"/>
          <w:sz w:val="24"/>
          <w:szCs w:val="24"/>
          <w:highlight w:val="white"/>
          <w:lang w:eastAsia="ru-RU"/>
        </w:rPr>
        <w:t xml:space="preserve"> </w:t>
      </w:r>
    </w:p>
    <w:p w:rsidR="0003468E" w:rsidRDefault="00EA11F8">
      <w:pPr>
        <w:shd w:val="clear" w:color="auto" w:fill="FFFFFF"/>
        <w:spacing w:after="0" w:line="240" w:lineRule="auto"/>
        <w:ind w:firstLine="663"/>
        <w:jc w:val="both"/>
        <w:rPr>
          <w:rFonts w:ascii="Times New Roman" w:hAnsi="Times New Roman"/>
          <w:bCs/>
          <w:sz w:val="24"/>
          <w:szCs w:val="24"/>
          <w:highlight w:val="white"/>
        </w:rPr>
      </w:pPr>
      <w:r>
        <w:rPr>
          <w:rFonts w:ascii="Times New Roman" w:hAnsi="Times New Roman"/>
          <w:bCs/>
          <w:sz w:val="24"/>
          <w:szCs w:val="24"/>
          <w:highlight w:val="white"/>
          <w:lang w:eastAsia="ru-RU"/>
        </w:rPr>
        <w:t>- характеристики поставляемого товара участник закупки обязан указывать только в случае установления в описании объекта закупки (Техническом задании) требований к характеристикам закупаемого товара (максимальных и (или) минимальных значений показателей товара, а также значений показателей, которые не могут изменяться) и только по тем позициям товаров, в которых не указан товарный знак (или не установлено требование оригинальности запасных частей к имеющемуся оборудованию обозначенным товарным знаком) или в случае, если участник закупки предлагает товар, который обозначен товарным знаком, отличным от товарного знака, указанного в описании объекта закупки (Техническом задании).</w:t>
      </w:r>
    </w:p>
    <w:p w:rsidR="0003468E" w:rsidRDefault="00EA11F8">
      <w:pPr>
        <w:shd w:val="clear" w:color="auto" w:fill="FFFFFF"/>
        <w:spacing w:after="0" w:line="240" w:lineRule="auto"/>
        <w:ind w:firstLine="663"/>
        <w:jc w:val="both"/>
        <w:rPr>
          <w:rFonts w:ascii="Times New Roman" w:hAnsi="Times New Roman"/>
          <w:bCs/>
          <w:sz w:val="24"/>
          <w:szCs w:val="24"/>
          <w:highlight w:val="white"/>
        </w:rPr>
      </w:pPr>
      <w:r>
        <w:rPr>
          <w:rFonts w:ascii="Times New Roman" w:hAnsi="Times New Roman"/>
          <w:bCs/>
          <w:sz w:val="24"/>
          <w:szCs w:val="24"/>
          <w:highlight w:val="white"/>
          <w:lang w:eastAsia="ru-RU"/>
        </w:rPr>
        <w:t xml:space="preserve">- характеристики предлагаемого участником закупки товара, товарный знак (при наличии у товара товарного знака) не включаются в заявку на участие в закупке в случае включения заказчиком в соответствии с </w:t>
      </w:r>
      <w:hyperlink r:id="rId93" w:tooltip="consultantplus://offline/ref=CEEB036FCD71CADC696388B58FDDBBC2577892B38DD099FD5D1963466FE256DB7FB7842C36BADFF4B215DD05D86D081205C9C7C810514Eb3A" w:history="1">
        <w:r>
          <w:rPr>
            <w:rFonts w:ascii="Times New Roman" w:hAnsi="Times New Roman"/>
            <w:bCs/>
            <w:sz w:val="24"/>
            <w:szCs w:val="24"/>
            <w:highlight w:val="white"/>
            <w:lang w:eastAsia="ru-RU"/>
          </w:rPr>
          <w:t>пунктом 8 части 1 статьи 33</w:t>
        </w:r>
      </w:hyperlink>
      <w:r>
        <w:rPr>
          <w:rFonts w:ascii="Times New Roman" w:hAnsi="Times New Roman"/>
          <w:bCs/>
          <w:sz w:val="24"/>
          <w:szCs w:val="24"/>
          <w:highlight w:val="white"/>
          <w:lang w:eastAsia="ru-RU"/>
        </w:rPr>
        <w:t xml:space="preserve"> Федерального закона о контрактной системе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03468E" w:rsidRDefault="00EA11F8">
      <w:pPr>
        <w:shd w:val="clear" w:color="auto" w:fill="FFFFFF"/>
        <w:spacing w:after="0" w:line="240" w:lineRule="auto"/>
        <w:ind w:firstLine="663"/>
        <w:jc w:val="both"/>
        <w:rPr>
          <w:rFonts w:ascii="Times New Roman" w:hAnsi="Times New Roman"/>
          <w:bCs/>
          <w:sz w:val="24"/>
          <w:szCs w:val="24"/>
          <w:highlight w:val="white"/>
        </w:rPr>
      </w:pPr>
      <w:r>
        <w:rPr>
          <w:rFonts w:ascii="Times New Roman" w:hAnsi="Times New Roman"/>
          <w:bCs/>
          <w:sz w:val="24"/>
          <w:szCs w:val="24"/>
          <w:highlight w:val="white"/>
          <w:lang w:eastAsia="ru-RU"/>
        </w:rPr>
        <w:t>- участник закупки  вправе не указывать  долю вторичного сырья. При этом в случае указания участником закупки доли вторичного сырья, отличной от доли, указанной в описании объекта закупки, проверка соблюдения установленных заказчиком при описании объекта закупки требований к доли вторичного сырья  осуществляется  заказчиком при приемке поставленного товара в порядке, предусмотренном контрактом.</w:t>
      </w:r>
    </w:p>
    <w:p w:rsidR="0003468E" w:rsidRDefault="00EA11F8">
      <w:pPr>
        <w:shd w:val="clear" w:color="auto" w:fill="FFFFFF"/>
        <w:spacing w:after="0" w:line="240" w:lineRule="auto"/>
        <w:ind w:firstLine="663"/>
        <w:jc w:val="both"/>
        <w:rPr>
          <w:rFonts w:ascii="Times New Roman" w:hAnsi="Times New Roman"/>
          <w:bCs/>
          <w:sz w:val="24"/>
          <w:szCs w:val="24"/>
          <w:highlight w:val="white"/>
        </w:rPr>
      </w:pPr>
      <w:r>
        <w:rPr>
          <w:rFonts w:ascii="Times New Roman" w:hAnsi="Times New Roman"/>
          <w:bCs/>
          <w:sz w:val="24"/>
          <w:szCs w:val="24"/>
          <w:highlight w:val="white"/>
          <w:lang w:eastAsia="ru-RU"/>
        </w:rPr>
        <w:t>- в случае, если в техническом задании заказчиком установлены конкретные требования к диапазонным величинам, участник закупки вправе предложить к поставке товар с иными значениями, включающими указанный диапазон в соответствии с технической документацией, поставляемого товара.</w:t>
      </w: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b/>
          <w:sz w:val="24"/>
          <w:szCs w:val="24"/>
          <w:highlight w:val="white"/>
          <w:lang w:eastAsia="ru-RU"/>
        </w:rPr>
        <w:t>2.</w:t>
      </w:r>
      <w:r>
        <w:rPr>
          <w:rFonts w:ascii="Times New Roman" w:eastAsia="Times New Roman" w:hAnsi="Times New Roman"/>
          <w:sz w:val="24"/>
          <w:szCs w:val="24"/>
          <w:highlight w:val="white"/>
          <w:lang w:eastAsia="ru-RU"/>
        </w:rPr>
        <w:t xml:space="preserve"> Если объектом закупки является товар, то в случае предложения участником закупки в заявке меньшего количества товара, чем предусмотрено в Описании объекта закупки (Техническом задании), комиссия по осуществлению закупок отказывает участнику закупки в допуске участия в закупке и (или) принимает решение о признании заявки участника не соответствующей требованиям, установленным в извещении об осуществлении закупки.</w:t>
      </w:r>
    </w:p>
    <w:p w:rsidR="0003468E" w:rsidRDefault="00EA11F8">
      <w:pPr>
        <w:shd w:val="clear" w:color="auto" w:fill="FFFFFF"/>
        <w:spacing w:after="0" w:line="240" w:lineRule="auto"/>
        <w:ind w:firstLine="663"/>
        <w:jc w:val="both"/>
        <w:rPr>
          <w:rFonts w:ascii="Times New Roman" w:hAnsi="Times New Roman"/>
          <w:sz w:val="24"/>
          <w:szCs w:val="24"/>
          <w:highlight w:val="white"/>
        </w:rPr>
      </w:pPr>
      <w:r>
        <w:rPr>
          <w:rFonts w:ascii="Times New Roman" w:eastAsia="Times New Roman" w:hAnsi="Times New Roman"/>
          <w:b/>
          <w:sz w:val="24"/>
          <w:szCs w:val="24"/>
          <w:highlight w:val="white"/>
          <w:lang w:eastAsia="ru-RU"/>
        </w:rPr>
        <w:t>3.</w:t>
      </w:r>
      <w:r>
        <w:rPr>
          <w:rFonts w:ascii="Times New Roman" w:eastAsia="Times New Roman" w:hAnsi="Times New Roman"/>
          <w:sz w:val="24"/>
          <w:szCs w:val="24"/>
          <w:highlight w:val="white"/>
          <w:lang w:eastAsia="ru-RU"/>
        </w:rPr>
        <w:t xml:space="preserve"> При необходимости указания в заявке на участие в закупке информации о наименовании страны происхождения товара, участник закупки должен руководствоваться следующими требованиями: участник закупки должен однозначно, определенно и недвусмысленно указать на то, что страной происхождения товара является определенная страна (государство), при этом указываются официальное наименование страны (государства)</w:t>
      </w:r>
      <w:r>
        <w:rPr>
          <w:rFonts w:ascii="Times New Roman" w:hAnsi="Times New Roman"/>
          <w:sz w:val="24"/>
          <w:szCs w:val="24"/>
          <w:highlight w:val="white"/>
          <w:lang w:eastAsia="ru-RU"/>
        </w:rPr>
        <w:t xml:space="preserve"> в соответствии с общероссийским классификатором, используемым для идентификации стран мира.</w:t>
      </w: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Указание на регион страны, часть страны, населенный пункт, определенный географический объект без указания на наименование страны не будет являться надлежащим исполнением требований об указании в заявке наименования страны происхождения товара.</w:t>
      </w: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Указание наименования страны (государства) в составе сведений о месте нахождения и (или) регистрации производителя товара и(или) участника закупки, не будет являться надлежащим исполнением требований об указании в заявке страны происхождения товара.</w:t>
      </w: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b/>
          <w:sz w:val="24"/>
          <w:szCs w:val="24"/>
          <w:highlight w:val="white"/>
          <w:lang w:eastAsia="ru-RU"/>
        </w:rPr>
        <w:t>4.</w:t>
      </w:r>
      <w:r>
        <w:rPr>
          <w:rFonts w:ascii="Times New Roman" w:eastAsia="Times New Roman" w:hAnsi="Times New Roman"/>
          <w:sz w:val="24"/>
          <w:szCs w:val="24"/>
          <w:highlight w:val="white"/>
          <w:lang w:eastAsia="ru-RU"/>
        </w:rPr>
        <w:t xml:space="preserve"> Если объектом закупки является товар (и если в закупке установлены требования к сроку годности товара), то в случае указания в заявке остаточного срока годности предлагаемого к поставке товара не соответствующего требованиям к остаточному сроку годности товара, указанным в Описании объекта закупки, в том числе в проекте контракта, </w:t>
      </w:r>
      <w:r>
        <w:rPr>
          <w:rFonts w:ascii="Times New Roman" w:eastAsia="Times New Roman" w:hAnsi="Times New Roman"/>
          <w:sz w:val="24"/>
          <w:szCs w:val="24"/>
          <w:highlight w:val="white"/>
          <w:lang w:eastAsia="ru-RU"/>
        </w:rPr>
        <w:lastRenderedPageBreak/>
        <w:t>комиссия по осуществлению закупок отказывает участнику закупки в допуске участия в закупке и (или) принимает решение о признании заявки участника не соответствующей требованиям, установленным в извещении об осуществлении закупки.</w:t>
      </w: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b/>
          <w:sz w:val="24"/>
          <w:szCs w:val="24"/>
          <w:highlight w:val="white"/>
          <w:lang w:eastAsia="ru-RU"/>
        </w:rPr>
        <w:t>5.</w:t>
      </w:r>
      <w:r>
        <w:rPr>
          <w:rFonts w:ascii="Times New Roman" w:eastAsia="Times New Roman" w:hAnsi="Times New Roman"/>
          <w:sz w:val="24"/>
          <w:szCs w:val="24"/>
          <w:highlight w:val="white"/>
          <w:lang w:eastAsia="ru-RU"/>
        </w:rPr>
        <w:t xml:space="preserve"> При осуществлении закупки лекарственного средства, участник закупки должен предоставить в составе заявки документ, подтверждающего соответствие лекарственного средства требованиям законодательства, в случае если данный документ указан в </w:t>
      </w:r>
      <w:r w:rsidRPr="002D0477">
        <w:rPr>
          <w:rFonts w:ascii="Times New Roman" w:eastAsia="Times New Roman" w:hAnsi="Times New Roman"/>
          <w:b/>
          <w:i/>
          <w:sz w:val="24"/>
          <w:szCs w:val="24"/>
          <w:highlight w:val="yellow"/>
          <w:lang w:eastAsia="ru-RU"/>
        </w:rPr>
        <w:t>п.1 п.п.2(в)</w:t>
      </w:r>
      <w:r>
        <w:rPr>
          <w:rFonts w:ascii="Times New Roman" w:eastAsia="Times New Roman" w:hAnsi="Times New Roman"/>
          <w:sz w:val="24"/>
          <w:szCs w:val="24"/>
          <w:highlight w:val="white"/>
          <w:lang w:eastAsia="ru-RU"/>
        </w:rPr>
        <w:t xml:space="preserve"> настоящих Требований. При этом в случае отсутствия в государственном реестре лекарственных средств и (или) регистрационном удостоверении международного непатентованного или химического или группировочного наименования лекарственного препарата участник закупки должен предоставить регистрационное удостоверение  с указанным в нем составом лекарственного средства, соответствующего объекту закупки.</w:t>
      </w: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b/>
          <w:sz w:val="24"/>
          <w:szCs w:val="24"/>
          <w:highlight w:val="white"/>
          <w:lang w:eastAsia="ru-RU"/>
        </w:rPr>
        <w:t>6.</w:t>
      </w:r>
      <w:r>
        <w:rPr>
          <w:rFonts w:ascii="Times New Roman" w:eastAsia="Times New Roman" w:hAnsi="Times New Roman"/>
          <w:sz w:val="24"/>
          <w:szCs w:val="24"/>
          <w:highlight w:val="white"/>
          <w:lang w:eastAsia="ru-RU"/>
        </w:rPr>
        <w:t xml:space="preserve"> В случае, если в настоящем извещении об осуществлении закупки установлено требование предоставления лицензии или иного документа, подтверждающего соответствие участника закупки требованиям законодательства и лицензируемые виды деятельности не являются самостоятельным объектом закупки, а согласно условиям проекта контракта исполнитель (подрядчик) вправе привлечь к исполнению контракта иных лиц (соисполнителей, субподрядчиков), участник закупки, не имеющий указанного документа, но намеревающийся исполнять лицензируемый вид деятельности (иную деятельность, право на выполнение которых требуется подтвердить) с привлечением соисполнителей (субподрядчиков), должен предоставить в составе заявки указанный документ, выданный на имя соисполнителя (субподрядчика), с которым участник закупки заключил или намерен заключить договор соисполнительства (субподряда).</w:t>
      </w:r>
    </w:p>
    <w:p w:rsidR="0003468E" w:rsidRDefault="0003468E">
      <w:pPr>
        <w:shd w:val="clear" w:color="auto" w:fill="FFFFFF"/>
        <w:spacing w:after="0" w:line="240" w:lineRule="auto"/>
        <w:ind w:right="100" w:firstLine="663"/>
        <w:jc w:val="both"/>
        <w:rPr>
          <w:rFonts w:ascii="Times New Roman" w:eastAsia="Times New Roman" w:hAnsi="Times New Roman"/>
          <w:b/>
          <w:sz w:val="24"/>
          <w:szCs w:val="24"/>
          <w:highlight w:val="white"/>
        </w:rPr>
      </w:pPr>
    </w:p>
    <w:p w:rsidR="0003468E" w:rsidRDefault="00EA11F8">
      <w:pPr>
        <w:shd w:val="clear" w:color="auto" w:fill="FFFFFF"/>
        <w:spacing w:after="0" w:line="240" w:lineRule="auto"/>
        <w:ind w:right="100" w:firstLine="663"/>
        <w:jc w:val="both"/>
        <w:rPr>
          <w:rFonts w:ascii="Times New Roman" w:eastAsia="Times New Roman" w:hAnsi="Times New Roman"/>
          <w:i/>
          <w:sz w:val="24"/>
          <w:szCs w:val="24"/>
          <w:highlight w:val="white"/>
        </w:rPr>
      </w:pPr>
      <w:r>
        <w:rPr>
          <w:rFonts w:ascii="Times New Roman" w:eastAsia="Times New Roman" w:hAnsi="Times New Roman"/>
          <w:i/>
          <w:sz w:val="24"/>
          <w:szCs w:val="24"/>
          <w:highlight w:val="white"/>
          <w:lang w:eastAsia="ru-RU"/>
        </w:rPr>
        <w:t>Документами и информацией, подтверждающими  наличие у участника лицензии является  либо выписка из реестра лицензий, либо копия акта лицензирующего органа о принятом решении либо иной документ, содержащий сведения, обеспечивающие возможность подтверждения наличия соответствующей записи в реестре лицензий. При этом в указанном ином документе должны быть указаны в том числе номер реестровой записи в реестре лицензий и  ссылка на официальный сайт в сети Интернет (или адрес сайта) лицензирующего органа, на котором размещен реестр выданных лицензий, в котором содержится соответствующая запись. В случае отсутствия данной информации в указанном документе и отсутствием в связи с этим у комиссии по осуществлению закупки возможности осуществления проверки наличия сведений об участники закупки в реестре лицензий,  комиссия по осуществлению закупки  вправе признать заявку такого участника несоответствующей требованиям извещения об осуществлении закупки.</w:t>
      </w:r>
    </w:p>
    <w:p w:rsidR="0003468E" w:rsidRDefault="0003468E">
      <w:pPr>
        <w:shd w:val="clear" w:color="auto" w:fill="FFFFFF"/>
        <w:spacing w:after="0" w:line="240" w:lineRule="auto"/>
        <w:ind w:right="100" w:firstLine="663"/>
        <w:jc w:val="both"/>
        <w:rPr>
          <w:rFonts w:ascii="Times New Roman" w:eastAsia="Times New Roman" w:hAnsi="Times New Roman"/>
          <w:b/>
          <w:sz w:val="24"/>
          <w:szCs w:val="24"/>
          <w:highlight w:val="white"/>
        </w:rPr>
      </w:pP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b/>
          <w:sz w:val="24"/>
          <w:szCs w:val="24"/>
          <w:highlight w:val="white"/>
          <w:lang w:eastAsia="ru-RU"/>
        </w:rPr>
        <w:t>7.</w:t>
      </w:r>
      <w:r>
        <w:rPr>
          <w:rFonts w:ascii="Times New Roman" w:eastAsia="Times New Roman" w:hAnsi="Times New Roman"/>
          <w:sz w:val="24"/>
          <w:szCs w:val="24"/>
          <w:highlight w:val="white"/>
          <w:lang w:eastAsia="ru-RU"/>
        </w:rPr>
        <w:t xml:space="preserve"> В случае осуществления закупок лекарственных средств и (или) медицинских изделий, при представлении участником закупки в составе заявки на участие в закупке регистрационного удостоверения в неактуальной редакции, в неполном объеме или без приложения, представление скан-копии регистрационного удостоверения в нечитаемом виде или при отсутствии (невозможности распознавания) определенных его реквизитов) и при наличии в соответствующем Государственном реестре сведений о регистрации лекарственного средства (медицинского изделия), указанного в представленном регистрационном удостоверении и соответствующего требованиям Описания объекта закупки, комиссия по осуществлению закупок вправе принять решение о соответствии/несоответствии заявки на основании информации, содержащейся в государственном реестре.</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b/>
          <w:sz w:val="24"/>
          <w:szCs w:val="24"/>
          <w:highlight w:val="white"/>
          <w:lang w:eastAsia="ru-RU"/>
        </w:rPr>
        <w:t xml:space="preserve">8. </w:t>
      </w:r>
      <w:r>
        <w:rPr>
          <w:rFonts w:ascii="Times New Roman" w:eastAsia="Times New Roman" w:hAnsi="Times New Roman"/>
          <w:sz w:val="24"/>
          <w:szCs w:val="24"/>
          <w:highlight w:val="white"/>
          <w:lang w:eastAsia="ru-RU"/>
        </w:rPr>
        <w:t xml:space="preserve">В случае осуществления закупок лекарственных средств комиссия по осуществлению закупки вправе принять решение о соответствии лекарственной формы, указанной в заявке участника, требованиям, указанным в описании объекта закупки на основании информации о взаимозаменяемости, содержащейся в перечне взаимозаменяемых лекарственных препаратов для медицинского применения, размещенном уполномоченным федеральным органом исполнительной власти, осуществляющим государственную регистрацию лекарственных препаратов для медицинского применения, на своем официальном сайте в </w:t>
      </w:r>
      <w:r>
        <w:rPr>
          <w:rFonts w:ascii="Times New Roman" w:eastAsia="Times New Roman" w:hAnsi="Times New Roman"/>
          <w:sz w:val="24"/>
          <w:szCs w:val="24"/>
          <w:highlight w:val="white"/>
          <w:lang w:eastAsia="ru-RU"/>
        </w:rPr>
        <w:lastRenderedPageBreak/>
        <w:t>сети «Интернет» в соответствии с ч.8 ст.27.1</w:t>
      </w:r>
      <w:r>
        <w:rPr>
          <w:rFonts w:ascii="Times New Roman" w:eastAsia="Times New Roman" w:hAnsi="Times New Roman"/>
          <w:b/>
          <w:sz w:val="24"/>
          <w:szCs w:val="24"/>
          <w:highlight w:val="white"/>
          <w:lang w:eastAsia="ru-RU"/>
        </w:rPr>
        <w:t xml:space="preserve"> </w:t>
      </w:r>
      <w:r>
        <w:rPr>
          <w:rFonts w:ascii="Times New Roman" w:eastAsia="Times New Roman" w:hAnsi="Times New Roman"/>
          <w:sz w:val="24"/>
          <w:szCs w:val="24"/>
          <w:highlight w:val="white"/>
          <w:lang w:eastAsia="ru-RU"/>
        </w:rPr>
        <w:t>Федерального закона от 12.04.2010 N 61-ФЗ «Об обращении лекарственных средств».</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b/>
          <w:sz w:val="24"/>
          <w:szCs w:val="24"/>
          <w:highlight w:val="white"/>
          <w:lang w:eastAsia="ru-RU"/>
        </w:rPr>
        <w:t>9.</w:t>
      </w:r>
      <w:r>
        <w:rPr>
          <w:rFonts w:ascii="Times New Roman" w:eastAsia="Times New Roman" w:hAnsi="Times New Roman"/>
          <w:sz w:val="24"/>
          <w:szCs w:val="24"/>
          <w:highlight w:val="white"/>
          <w:lang w:eastAsia="ru-RU"/>
        </w:rPr>
        <w:t xml:space="preserve"> В случае осуществления закупок лекарственных средств:</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1</w:t>
      </w:r>
      <w:r w:rsidRPr="002D0477">
        <w:rPr>
          <w:rFonts w:ascii="Times New Roman" w:eastAsia="Times New Roman" w:hAnsi="Times New Roman"/>
          <w:sz w:val="24"/>
          <w:szCs w:val="24"/>
          <w:highlight w:val="yellow"/>
          <w:lang w:eastAsia="ru-RU"/>
        </w:rPr>
        <w:t xml:space="preserve">). Участник закупки </w:t>
      </w:r>
      <w:r w:rsidRPr="002D0477">
        <w:rPr>
          <w:rFonts w:ascii="Times New Roman" w:eastAsia="Times New Roman" w:hAnsi="Times New Roman"/>
          <w:b/>
          <w:bCs/>
          <w:sz w:val="24"/>
          <w:szCs w:val="24"/>
          <w:highlight w:val="yellow"/>
          <w:u w:val="single"/>
          <w:lang w:eastAsia="ru-RU"/>
        </w:rPr>
        <w:t>должен</w:t>
      </w:r>
      <w:r w:rsidRPr="002D0477">
        <w:rPr>
          <w:rFonts w:ascii="Times New Roman" w:eastAsia="Times New Roman" w:hAnsi="Times New Roman"/>
          <w:sz w:val="24"/>
          <w:szCs w:val="24"/>
          <w:highlight w:val="yellow"/>
          <w:lang w:eastAsia="ru-RU"/>
        </w:rPr>
        <w:t xml:space="preserve"> указать </w:t>
      </w:r>
      <w:r w:rsidRPr="002D0477">
        <w:rPr>
          <w:rFonts w:ascii="Times New Roman" w:hAnsi="Times New Roman"/>
          <w:sz w:val="24"/>
          <w:szCs w:val="24"/>
          <w:highlight w:val="yellow"/>
          <w:lang w:eastAsia="ru-RU"/>
        </w:rPr>
        <w:t xml:space="preserve">характеристики поставляемого лекарственного препарата в полном соответствии с показателями, установленными заказчиком в Описании объекта закупки (Техническом задании), при этом </w:t>
      </w:r>
      <w:r w:rsidRPr="002D0477">
        <w:rPr>
          <w:rFonts w:ascii="Times New Roman" w:eastAsia="Times New Roman" w:hAnsi="Times New Roman"/>
          <w:sz w:val="24"/>
          <w:szCs w:val="24"/>
          <w:highlight w:val="yellow"/>
          <w:lang w:eastAsia="ru-RU"/>
        </w:rPr>
        <w:t xml:space="preserve"> участник закупки </w:t>
      </w:r>
      <w:r w:rsidRPr="002D0477">
        <w:rPr>
          <w:rFonts w:ascii="Times New Roman" w:eastAsia="Times New Roman" w:hAnsi="Times New Roman"/>
          <w:bCs/>
          <w:sz w:val="24"/>
          <w:szCs w:val="24"/>
          <w:highlight w:val="yellow"/>
          <w:lang w:eastAsia="ru-RU"/>
        </w:rPr>
        <w:t>должен</w:t>
      </w:r>
      <w:r w:rsidRPr="002D0477">
        <w:rPr>
          <w:rFonts w:ascii="Times New Roman" w:eastAsia="Times New Roman" w:hAnsi="Times New Roman"/>
          <w:sz w:val="24"/>
          <w:szCs w:val="24"/>
          <w:highlight w:val="yellow"/>
          <w:lang w:eastAsia="ru-RU"/>
        </w:rPr>
        <w:t xml:space="preserve"> указать </w:t>
      </w:r>
      <w:r w:rsidRPr="002D0477">
        <w:rPr>
          <w:rFonts w:ascii="Times New Roman" w:eastAsia="Times New Roman" w:hAnsi="Times New Roman"/>
          <w:b/>
          <w:bCs/>
          <w:sz w:val="24"/>
          <w:szCs w:val="24"/>
          <w:highlight w:val="yellow"/>
          <w:lang w:eastAsia="ru-RU"/>
        </w:rPr>
        <w:t>конкретные</w:t>
      </w:r>
      <w:r w:rsidRPr="002D0477">
        <w:rPr>
          <w:rFonts w:ascii="Times New Roman" w:eastAsia="Times New Roman" w:hAnsi="Times New Roman"/>
          <w:b/>
          <w:sz w:val="24"/>
          <w:szCs w:val="24"/>
          <w:highlight w:val="yellow"/>
          <w:lang w:eastAsia="ru-RU"/>
        </w:rPr>
        <w:t xml:space="preserve"> показатели</w:t>
      </w:r>
      <w:r w:rsidRPr="002D0477">
        <w:rPr>
          <w:rFonts w:ascii="Times New Roman" w:eastAsia="Times New Roman" w:hAnsi="Times New Roman"/>
          <w:sz w:val="24"/>
          <w:szCs w:val="24"/>
          <w:highlight w:val="yellow"/>
          <w:lang w:eastAsia="ru-RU"/>
        </w:rPr>
        <w:t xml:space="preserve"> характеристик, указанных в </w:t>
      </w:r>
      <w:r w:rsidRPr="002D0477">
        <w:rPr>
          <w:rFonts w:ascii="Times New Roman" w:eastAsia="Times New Roman" w:hAnsi="Times New Roman"/>
          <w:bCs/>
          <w:sz w:val="24"/>
          <w:szCs w:val="24"/>
          <w:highlight w:val="yellow"/>
          <w:lang w:eastAsia="ru-RU"/>
        </w:rPr>
        <w:t xml:space="preserve">описании объекта закупки </w:t>
      </w:r>
      <w:r w:rsidRPr="002D0477">
        <w:rPr>
          <w:rFonts w:ascii="Times New Roman" w:eastAsia="Times New Roman" w:hAnsi="Times New Roman"/>
          <w:sz w:val="24"/>
          <w:szCs w:val="24"/>
          <w:highlight w:val="yellow"/>
          <w:lang w:eastAsia="ru-RU"/>
        </w:rPr>
        <w:t xml:space="preserve">по </w:t>
      </w:r>
      <w:r w:rsidRPr="002D0477">
        <w:rPr>
          <w:rFonts w:ascii="Times New Roman" w:eastAsia="Times New Roman" w:hAnsi="Times New Roman"/>
          <w:b/>
          <w:bCs/>
          <w:sz w:val="24"/>
          <w:szCs w:val="24"/>
          <w:highlight w:val="yellow"/>
          <w:u w:val="single"/>
          <w:lang w:eastAsia="ru-RU"/>
        </w:rPr>
        <w:t>всем</w:t>
      </w:r>
      <w:r w:rsidRPr="002D0477">
        <w:rPr>
          <w:rFonts w:ascii="Times New Roman" w:eastAsia="Times New Roman" w:hAnsi="Times New Roman"/>
          <w:sz w:val="24"/>
          <w:szCs w:val="24"/>
          <w:highlight w:val="yellow"/>
          <w:lang w:eastAsia="ru-RU"/>
        </w:rPr>
        <w:t xml:space="preserve"> показателям, указанным в </w:t>
      </w:r>
      <w:r w:rsidRPr="002D0477">
        <w:rPr>
          <w:rFonts w:ascii="Times New Roman" w:eastAsia="Times New Roman" w:hAnsi="Times New Roman"/>
          <w:b/>
          <w:bCs/>
          <w:sz w:val="24"/>
          <w:szCs w:val="24"/>
          <w:highlight w:val="yellow"/>
          <w:u w:val="single"/>
          <w:lang w:eastAsia="ru-RU"/>
        </w:rPr>
        <w:t>одном</w:t>
      </w:r>
      <w:r w:rsidRPr="002D0477">
        <w:rPr>
          <w:rFonts w:ascii="Times New Roman" w:eastAsia="Times New Roman" w:hAnsi="Times New Roman"/>
          <w:sz w:val="24"/>
          <w:szCs w:val="24"/>
          <w:highlight w:val="yellow"/>
          <w:lang w:eastAsia="ru-RU"/>
        </w:rPr>
        <w:t xml:space="preserve"> из вариантов поставки. В случае же если участник планирует поставить товар, соответствующий нескольким вариантам поставки, то в заявке необходимо указать </w:t>
      </w:r>
      <w:r w:rsidRPr="002D0477">
        <w:rPr>
          <w:rFonts w:ascii="Times New Roman" w:hAnsi="Times New Roman"/>
          <w:sz w:val="24"/>
          <w:szCs w:val="24"/>
          <w:highlight w:val="yellow"/>
          <w:lang w:eastAsia="ru-RU"/>
        </w:rPr>
        <w:t>характеристики и</w:t>
      </w:r>
      <w:r w:rsidRPr="002D0477">
        <w:rPr>
          <w:rFonts w:ascii="Times New Roman" w:eastAsia="Times New Roman" w:hAnsi="Times New Roman"/>
          <w:sz w:val="24"/>
          <w:szCs w:val="24"/>
          <w:highlight w:val="yellow"/>
          <w:lang w:eastAsia="ru-RU"/>
        </w:rPr>
        <w:t xml:space="preserve"> конкретные показатели характеристик отдельно по каждому варианту поставки, в том числе </w:t>
      </w:r>
      <w:r w:rsidRPr="002D0477">
        <w:rPr>
          <w:rFonts w:ascii="Times New Roman" w:eastAsia="Times New Roman" w:hAnsi="Times New Roman"/>
          <w:b/>
          <w:bCs/>
          <w:sz w:val="24"/>
          <w:szCs w:val="24"/>
          <w:highlight w:val="yellow"/>
          <w:u w:val="single"/>
          <w:lang w:eastAsia="ru-RU"/>
        </w:rPr>
        <w:t>количество</w:t>
      </w:r>
      <w:r w:rsidRPr="002D0477">
        <w:rPr>
          <w:rFonts w:ascii="Times New Roman" w:eastAsia="Times New Roman" w:hAnsi="Times New Roman"/>
          <w:sz w:val="24"/>
          <w:szCs w:val="24"/>
          <w:highlight w:val="yellow"/>
          <w:lang w:eastAsia="ru-RU"/>
        </w:rPr>
        <w:t xml:space="preserve"> товара, которое в общей сумме не должно быть меньше количества, требуемого заказчику. </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xml:space="preserve">2). Характеристика «остаточный срок годности» является неизменяемой, то есть указывается неконкретно, без изменений - </w:t>
      </w:r>
      <w:r>
        <w:rPr>
          <w:rFonts w:ascii="Times New Roman" w:eastAsia="Times New Roman" w:hAnsi="Times New Roman"/>
          <w:b/>
          <w:bCs/>
          <w:sz w:val="24"/>
          <w:szCs w:val="24"/>
          <w:highlight w:val="white"/>
          <w:u w:val="single"/>
          <w:lang w:eastAsia="ru-RU"/>
        </w:rPr>
        <w:t xml:space="preserve">со словами «не менее». </w:t>
      </w:r>
      <w:r>
        <w:rPr>
          <w:rFonts w:ascii="Times New Roman" w:eastAsia="Times New Roman" w:hAnsi="Times New Roman"/>
          <w:i/>
          <w:iCs/>
          <w:sz w:val="24"/>
          <w:szCs w:val="24"/>
          <w:highlight w:val="white"/>
          <w:lang w:eastAsia="ru-RU"/>
        </w:rPr>
        <w:t>(При этом необходимо учитывать, что, указанный в Описании объекта закупки (Техническом задании) остаточный срок годности должен быть на момент поставки каждой партии товара в течение всего срока действия контракта. (В соответствии с п. 8.2 типового контракта на поставку лекарственных препаратов).</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xml:space="preserve">3)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 упаковках, превышает количество товара, указанного в Описании объекта закупки (Техническом задании), поставка Заказчику товара сверх количества, указанного в Описании объекта закупки (Техническом задании), осуществляется за счет средств Поставщика. </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4). В случае, если в Описании объекта закупки (Техническом задании)  установлены требования к поставке лекарственных препаратов в картриджах либо в иных формах выпуска, совместимых с устройствами введения (применения), участник закупки вправе предложить к поставке лекарственный препарат, соответствующий объекту закупки, с условием безвозмездной передачи пациентам совместимых устройств введения в количестве, соответствующем количеству пациентов, для обеспечения которых закупаются лекарственные препараты в картриджах (количество пациентов указано в техническом задании).</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5). В случае, если в Описании объекта закупки (Техническом задании) установлены требования к поставке многокомпонентных (комбинированных) лекарственных препаратов, представляющих собой комбинацию 2 или более активных веществ (то есть активных веществ, входящих в состав комбинированного лекарственного препарата и зарегистрированных в составе однокомпонентных лекарственных препаратов), а также наборов зарегистрированных лекарственных препаратов участник закупки вправе предложить к поставке однокомпонентные лекарственные препараты, соответствующие объекту закупки.</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xml:space="preserve">6). В случае, если в Описании объекта закупки (Техническом задании) установлены требования к комплектации лекарственного препарата растворителем или устройством для разведения и введения лекарственного препарата, а также к наличию инструментов для вскрытия ампул, участник закупки вправе предложить к поставке лекарственный препарат, соответствующий объекту закупки с поставкой отдельных компонентов такой комплектации. </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7). В случае осуществления закупок лекарственных средств и (или) медицинских изделий, при представлении участником закупки в составе заявки на участие в закупке регистрационного удостоверения в неактуальной редакции, в неполном объеме или без приложения, представление скан-копии регистрационного удостоверения в нечитаемом виде или при отсутствии  определенных его реквизитов (за исключением номера и даты документа) и при наличии в соответствующем Государственном реестре сведений о регистрации лекарственного средства (медицинского изделия), указанного в представленном регистраци</w:t>
      </w:r>
      <w:r>
        <w:rPr>
          <w:rFonts w:ascii="Times New Roman" w:eastAsia="Times New Roman" w:hAnsi="Times New Roman"/>
          <w:sz w:val="24"/>
          <w:szCs w:val="24"/>
          <w:highlight w:val="white"/>
          <w:lang w:eastAsia="ru-RU"/>
        </w:rPr>
        <w:lastRenderedPageBreak/>
        <w:t>онном удостоверении и соответствующего требованиям Описания объекта закупки, комиссия по осуществлению закупок вправе принять решение о соответствии/несоответствии заявки на основании информации, содержащейся в государственном реестре.</w:t>
      </w:r>
    </w:p>
    <w:p w:rsidR="0003468E" w:rsidRPr="002D0477" w:rsidRDefault="00EA11F8">
      <w:pPr>
        <w:shd w:val="clear" w:color="auto" w:fill="FFFFFF"/>
        <w:spacing w:after="0" w:line="240" w:lineRule="auto"/>
        <w:ind w:firstLine="663"/>
        <w:jc w:val="both"/>
        <w:rPr>
          <w:rFonts w:ascii="Times New Roman" w:eastAsia="Times New Roman" w:hAnsi="Times New Roman"/>
          <w:sz w:val="24"/>
          <w:szCs w:val="24"/>
          <w:highlight w:val="yellow"/>
        </w:rPr>
      </w:pPr>
      <w:r w:rsidRPr="002D0477">
        <w:rPr>
          <w:rFonts w:ascii="Times New Roman" w:eastAsia="Times New Roman" w:hAnsi="Times New Roman"/>
          <w:sz w:val="24"/>
          <w:szCs w:val="24"/>
          <w:highlight w:val="yellow"/>
          <w:lang w:eastAsia="ru-RU"/>
        </w:rPr>
        <w:t>8). Участник закупки вправе предложить к поставке лекарственный препарат, соответствующий объекту закупки, в кратной дозировке и двойном количестве, при этом общее количество действующего вещества должно соответствовать основному варианту поставки.</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bookmarkStart w:id="5" w:name="_GoBack"/>
      <w:bookmarkEnd w:id="5"/>
      <w:r>
        <w:rPr>
          <w:rFonts w:ascii="Times New Roman" w:eastAsia="Times New Roman" w:hAnsi="Times New Roman"/>
          <w:sz w:val="24"/>
          <w:szCs w:val="24"/>
          <w:highlight w:val="white"/>
          <w:lang w:eastAsia="ru-RU"/>
        </w:rPr>
        <w:t>9). Участник закупки вправе предложить к поставке лекарственный препарат, соответствующий объекту закупки, в некратных эквивалентных дозировках, позволяющих достичь одинакового терапевтического эффекта, при этом:</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общее количество действующего вещества должно соответствовать основному варианту поставки;</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не допускаются эквивалентные дозировки лекарственного препарата, предусматривающие необходимость деления твердой лекарственной формы препарата.</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10). Участник закупки вправе предложить к поставке лекарственный препарат, соответствующий объекту закупки, с международным непатентованным или химическим или группировочным наименованием, указанным в государственном реестре лекарственных средств.</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11). При закупке лекарственных препаратов, в т.ч. многокомпонентных (комбинированных) представляющих собой комбинацию 2 или более активных веществ (то есть активных веществ, входящих в состав комбинированного лекарственного препарата), единица измерения и количество, указанные в заявке должны соответствовать количеству активных веществ (действующих веществ), указанных в Описании объекта закупки (Техническом задании), без учета вспомогательных веществ.</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12).</w:t>
      </w:r>
      <w:r>
        <w:rPr>
          <w:highlight w:val="white"/>
        </w:rPr>
        <w:t xml:space="preserve"> </w:t>
      </w:r>
      <w:r>
        <w:rPr>
          <w:rFonts w:ascii="Times New Roman" w:eastAsia="Times New Roman" w:hAnsi="Times New Roman"/>
          <w:sz w:val="24"/>
          <w:szCs w:val="24"/>
          <w:highlight w:val="white"/>
          <w:lang w:eastAsia="ru-RU"/>
        </w:rPr>
        <w:t>В случае закупки лекарственных препаратов, включенных в перечень ЖНВЛП:</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Каждая лекарственная форма препарата должна быть отдельно утверждена в перечне ЖНВЛП для признания её эквивалентности другим формам этого же препарата;</w:t>
      </w: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При закупке многокомпонентного лекарственного препарата допустима возможность поставки однокомпонентных лекарственных препаратов только в случае, если компоненты такого лекарственного препарата зарегистрированы в качестве однокомпонентного препарата, а также такие компоненты включены в перечень ЖНВЛП.</w:t>
      </w:r>
    </w:p>
    <w:p w:rsidR="0003468E" w:rsidRDefault="0003468E">
      <w:pPr>
        <w:shd w:val="clear" w:color="auto" w:fill="FFFFFF"/>
        <w:spacing w:after="0" w:line="240" w:lineRule="auto"/>
        <w:ind w:firstLine="663"/>
        <w:jc w:val="both"/>
        <w:rPr>
          <w:rFonts w:ascii="Times New Roman" w:eastAsia="Times New Roman" w:hAnsi="Times New Roman"/>
          <w:sz w:val="24"/>
          <w:szCs w:val="24"/>
          <w:highlight w:val="white"/>
        </w:rPr>
      </w:pPr>
    </w:p>
    <w:p w:rsidR="0003468E" w:rsidRDefault="00EA11F8">
      <w:pPr>
        <w:shd w:val="clear" w:color="auto" w:fill="FFFFFF"/>
        <w:spacing w:after="0" w:line="240" w:lineRule="auto"/>
        <w:ind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Дополнительные характеристики лекарственного препарата, предусмотренные пунктами 4 и 6  Постановления Правительства РФ от 15.11.2017 N 1380,  а также остаточный срок годности, указанные в извещении об осуществлении закупки в основном варианте поставки и/или прилагаемом к извещению файле Описание объекта закупки, распространяются также на все альтернативные варианты поставки, предусмотренные извещением. Данные дополнительные характеристики участник  закупки  вправе указать в прилагаемом к заявке на участие в закупке файле. Участник закупки вправе не указывать в составе заявки остаточный  срок годности лекарственного препарата, а также дополнительные характеристики лекарственного препарата указанные в извещении об осуществлении закупки</w:t>
      </w:r>
      <w:r>
        <w:rPr>
          <w:rFonts w:ascii="Times New Roman" w:hAnsi="Times New Roman"/>
          <w:highlight w:val="white"/>
        </w:rPr>
        <w:t xml:space="preserve"> </w:t>
      </w:r>
      <w:r>
        <w:rPr>
          <w:rFonts w:ascii="Times New Roman" w:eastAsia="Times New Roman" w:hAnsi="Times New Roman"/>
          <w:sz w:val="24"/>
          <w:szCs w:val="24"/>
          <w:highlight w:val="white"/>
          <w:lang w:eastAsia="ru-RU"/>
        </w:rPr>
        <w:t>и/или прилагаемом к извещению файле Описание объекта закупки, предусмотренные пунктами 4 и 6  Постановления Правительства РФ от 15.11.2017 N 1380, в случае предложения к поставке лекарственного препарата, соответствующего указанным требованиям, в том числе сроку годности ( т.е. в случае согласия участника закупки на поставку товара соответствующего указанным требованиям). При этом, комиссия по осуществлению закупок   при рассмотрении заявок вправе, в целях проверки наличия указанных характеристик у предлагаемого к поставке лекарственного препарата, использовать сведения из  государственного реестра лекарственных средств в том числе инструкции на предлагаемый к поставке участником лекарственный препарат, размещенной в указанном реестре  (показания к применению, возраст, др) . В случае выявления комиссией по осуществлению закупок несоответствия  предлагаемого к поставке лекарственного препарата требованиям извещения об осуществлении закупки, либо сведениям указанной  инструкции  такая заявка подлежит отклонению.</w:t>
      </w:r>
    </w:p>
    <w:p w:rsidR="0003468E" w:rsidRDefault="0003468E">
      <w:pPr>
        <w:shd w:val="clear" w:color="auto" w:fill="FFFFFF"/>
        <w:spacing w:after="0" w:line="240" w:lineRule="auto"/>
        <w:ind w:firstLine="663"/>
        <w:jc w:val="both"/>
        <w:rPr>
          <w:rFonts w:ascii="Times New Roman" w:eastAsia="Times New Roman" w:hAnsi="Times New Roman"/>
          <w:sz w:val="24"/>
          <w:szCs w:val="24"/>
          <w:highlight w:val="white"/>
        </w:rPr>
      </w:pP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b/>
          <w:sz w:val="24"/>
          <w:szCs w:val="24"/>
          <w:highlight w:val="white"/>
          <w:lang w:eastAsia="ru-RU"/>
        </w:rPr>
        <w:t xml:space="preserve">10. </w:t>
      </w:r>
      <w:r>
        <w:rPr>
          <w:rFonts w:ascii="Times New Roman" w:eastAsia="Times New Roman" w:hAnsi="Times New Roman"/>
          <w:sz w:val="24"/>
          <w:szCs w:val="24"/>
          <w:highlight w:val="white"/>
          <w:lang w:eastAsia="ru-RU"/>
        </w:rPr>
        <w:t xml:space="preserve">При осуществлении закупки медицинского изделия, участник закупки должен предоставить в составе заявки </w:t>
      </w:r>
      <w:r>
        <w:rPr>
          <w:rFonts w:ascii="Times New Roman" w:eastAsia="Times New Roman" w:hAnsi="Times New Roman"/>
          <w:bCs/>
          <w:sz w:val="24"/>
          <w:szCs w:val="24"/>
          <w:highlight w:val="white"/>
          <w:lang w:eastAsia="ru-RU"/>
        </w:rPr>
        <w:t>один из указанных ниже документов или сведений в отношении каждого предложенного к поставке медицинского изделия  (</w:t>
      </w:r>
      <w:r>
        <w:rPr>
          <w:rFonts w:ascii="Times New Roman" w:eastAsia="Times New Roman" w:hAnsi="Times New Roman"/>
          <w:sz w:val="24"/>
          <w:szCs w:val="24"/>
          <w:highlight w:val="white"/>
          <w:lang w:eastAsia="ru-RU"/>
        </w:rPr>
        <w:t xml:space="preserve">в случае если данный документ указан в </w:t>
      </w:r>
      <w:r>
        <w:rPr>
          <w:rFonts w:ascii="Times New Roman" w:eastAsia="Times New Roman" w:hAnsi="Times New Roman"/>
          <w:bCs/>
          <w:i/>
          <w:iCs/>
          <w:sz w:val="24"/>
          <w:szCs w:val="24"/>
          <w:highlight w:val="white"/>
          <w:lang w:eastAsia="ru-RU"/>
        </w:rPr>
        <w:t>п.1 пп.2(в)</w:t>
      </w:r>
      <w:r>
        <w:rPr>
          <w:rFonts w:ascii="Times New Roman" w:eastAsia="Times New Roman" w:hAnsi="Times New Roman"/>
          <w:sz w:val="24"/>
          <w:szCs w:val="24"/>
          <w:highlight w:val="white"/>
          <w:lang w:eastAsia="ru-RU"/>
        </w:rPr>
        <w:t xml:space="preserve"> настоящих Требований): </w:t>
      </w: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-копию регистрационного удостоверения;</w:t>
      </w: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-выписку из Государственного реестра медицинских изделий, выданную Росздравнадзором в соответствии с требованиями постановления Правительства РФ от 30.09.2021 № 1650;</w:t>
      </w: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сведения о номере регистрационного удостоверения;</w:t>
      </w: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 копию документа, выданного в соответствии с законодательством страны происхождения, подтверждающего регистрацию медицинского изделия в установленном порядке в стране-производителе, с переводом на русский язык, заверенным в установленном порядке (для МИ, указанных в ПП РФ №430).</w:t>
      </w: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-номер реестровой записи в Государственном реестре медицинских изделий.</w:t>
      </w: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При этом в случае закупки принадлежности к медицинскому изделию, участник закупки вправе представить в составе заявки регистрационное удостоверение на медицинское изделие, принадлежностью которого является объект закупки.</w:t>
      </w:r>
    </w:p>
    <w:p w:rsidR="0003468E" w:rsidRDefault="0003468E">
      <w:pPr>
        <w:spacing w:after="0" w:line="240" w:lineRule="auto"/>
        <w:ind w:firstLine="720"/>
        <w:jc w:val="both"/>
        <w:rPr>
          <w:rFonts w:ascii="Times New Roman" w:eastAsia="Times New Roman" w:hAnsi="Times New Roman"/>
          <w:sz w:val="24"/>
          <w:szCs w:val="24"/>
          <w:highlight w:val="white"/>
        </w:rPr>
      </w:pP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b/>
          <w:bCs/>
          <w:color w:val="000000" w:themeColor="text1"/>
          <w:sz w:val="24"/>
          <w:szCs w:val="24"/>
        </w:rPr>
        <w:t xml:space="preserve">11. </w:t>
      </w:r>
      <w:r>
        <w:rPr>
          <w:rFonts w:ascii="Times New Roman" w:eastAsia="Times New Roman" w:hAnsi="Times New Roman"/>
          <w:color w:val="000000" w:themeColor="text1"/>
          <w:sz w:val="24"/>
          <w:szCs w:val="24"/>
        </w:rPr>
        <w:t>П</w:t>
      </w:r>
      <w:r>
        <w:rPr>
          <w:rFonts w:ascii="Times New Roman" w:eastAsia="Times New Roman" w:hAnsi="Times New Roman"/>
          <w:color w:val="000000" w:themeColor="text1"/>
          <w:sz w:val="24"/>
          <w:szCs w:val="24"/>
          <w:highlight w:val="white"/>
        </w:rPr>
        <w:t>ри осуществлении закупок услуг по проведению медицинских осмотров, условия контрактов (договоров) которых предусматривают возможность оказания услуг мобильными бригадами, подача участником закупки, имеющим лицензию на право осуществления медицинской деятельности (медосмотров) в месте, не соответствующим условиям закупки, означает (подтверждает) наличие у него возможности оказания услуг в месте, соответствующим условиям закупки с использованием мобильной бригады. При этом, участник закупки также вправе приложить в составе заявки документы, подтверждающие наличие мобильной бригады.</w:t>
      </w:r>
    </w:p>
    <w:p w:rsidR="0003468E" w:rsidRDefault="0003468E">
      <w:pPr>
        <w:shd w:val="clear" w:color="auto" w:fill="FFFFFF"/>
        <w:spacing w:after="0" w:line="240" w:lineRule="auto"/>
        <w:ind w:right="100" w:firstLine="663"/>
        <w:jc w:val="both"/>
        <w:rPr>
          <w:rFonts w:ascii="Times New Roman" w:eastAsia="Times New Roman" w:hAnsi="Times New Roman"/>
          <w:sz w:val="24"/>
          <w:szCs w:val="24"/>
          <w:highlight w:val="white"/>
        </w:rPr>
      </w:pPr>
    </w:p>
    <w:p w:rsidR="0003468E" w:rsidRDefault="0003468E">
      <w:pPr>
        <w:shd w:val="clear" w:color="auto" w:fill="FFFFFF"/>
        <w:spacing w:after="0" w:line="240" w:lineRule="auto"/>
        <w:ind w:right="100" w:firstLine="663"/>
        <w:jc w:val="both"/>
        <w:rPr>
          <w:rFonts w:ascii="Times New Roman" w:eastAsia="Times New Roman" w:hAnsi="Times New Roman"/>
          <w:sz w:val="24"/>
          <w:szCs w:val="24"/>
          <w:highlight w:val="white"/>
        </w:rPr>
      </w:pPr>
    </w:p>
    <w:p w:rsidR="0003468E" w:rsidRDefault="0003468E">
      <w:pPr>
        <w:shd w:val="clear" w:color="auto" w:fill="FFFFFF"/>
        <w:spacing w:after="0" w:line="240" w:lineRule="auto"/>
        <w:ind w:right="100" w:firstLine="663"/>
        <w:jc w:val="both"/>
        <w:rPr>
          <w:rFonts w:ascii="Times New Roman" w:eastAsia="Times New Roman" w:hAnsi="Times New Roman"/>
          <w:sz w:val="24"/>
          <w:szCs w:val="24"/>
          <w:highlight w:val="white"/>
        </w:rPr>
      </w:pPr>
    </w:p>
    <w:p w:rsidR="0003468E" w:rsidRDefault="00EA11F8">
      <w:pPr>
        <w:shd w:val="clear" w:color="auto" w:fill="FFFFFF"/>
        <w:spacing w:after="0" w:line="240" w:lineRule="auto"/>
        <w:ind w:right="100" w:firstLine="663"/>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lang w:eastAsia="ru-RU"/>
        </w:rPr>
        <w:t>При несоблюдении указанных требований комиссия по осуществлению закупок отказывает участнику закупки в допуске участия в закупке и (или) принимает решение о признании заявки участника не соответствующей требованиям, установленным в извещении об осуществлении закупки.</w:t>
      </w:r>
    </w:p>
    <w:p w:rsidR="0003468E" w:rsidRDefault="0003468E">
      <w:pPr>
        <w:shd w:val="clear" w:color="auto" w:fill="FFFFFF"/>
        <w:spacing w:after="0" w:line="240" w:lineRule="auto"/>
        <w:ind w:firstLine="663"/>
        <w:jc w:val="both"/>
        <w:rPr>
          <w:rFonts w:ascii="Times New Roman" w:eastAsia="Times New Roman" w:hAnsi="Times New Roman"/>
          <w:sz w:val="24"/>
          <w:szCs w:val="24"/>
          <w:highlight w:val="white"/>
        </w:rPr>
      </w:pPr>
    </w:p>
    <w:p w:rsidR="0003468E" w:rsidRDefault="00EA11F8">
      <w:pPr>
        <w:shd w:val="clear" w:color="auto" w:fill="FFFFFF"/>
        <w:spacing w:after="0" w:line="240" w:lineRule="auto"/>
        <w:ind w:firstLine="663"/>
        <w:jc w:val="both"/>
        <w:rPr>
          <w:rFonts w:ascii="Times New Roman" w:eastAsia="Times New Roman" w:hAnsi="Times New Roman"/>
          <w:b/>
          <w:sz w:val="24"/>
          <w:szCs w:val="24"/>
          <w:highlight w:val="white"/>
        </w:rPr>
      </w:pPr>
      <w:r>
        <w:rPr>
          <w:rFonts w:ascii="Times New Roman" w:eastAsia="Times New Roman" w:hAnsi="Times New Roman"/>
          <w:sz w:val="24"/>
          <w:szCs w:val="24"/>
          <w:highlight w:val="white"/>
          <w:lang w:eastAsia="ru-RU"/>
        </w:rPr>
        <w:t>В случае если в Описании объекта (Техническом задании) закупки в описании товара включенного в Каталог товаров, работ, услуг указано несколько различных значений одной из характеристик, участнику необходимо выбрать из них одно значение, если весь объем поставляемого товара будет соответствовать указанному значению характеристики, или, если к поставке предлагается товар, части объема которого будут соответствовать различным значениям характеристики, указанным в Описании объекта закупки, указываются все данные значения.</w:t>
      </w:r>
    </w:p>
    <w:p w:rsidR="0003468E" w:rsidRDefault="0003468E">
      <w:pPr>
        <w:shd w:val="clear" w:color="auto" w:fill="FFFFFF"/>
        <w:spacing w:after="0" w:line="360" w:lineRule="auto"/>
        <w:rPr>
          <w:rFonts w:ascii="Times New Roman" w:eastAsia="Times New Roman" w:hAnsi="Times New Roman"/>
          <w:b/>
          <w:sz w:val="24"/>
          <w:szCs w:val="24"/>
          <w:highlight w:val="white"/>
        </w:rPr>
      </w:pPr>
    </w:p>
    <w:p w:rsidR="0003468E" w:rsidRDefault="00EA11F8">
      <w:pPr>
        <w:spacing w:after="0" w:line="240" w:lineRule="auto"/>
        <w:ind w:firstLine="709"/>
        <w:jc w:val="both"/>
        <w:rPr>
          <w:rFonts w:ascii="Times New Roman" w:eastAsia="Times New Roman" w:hAnsi="Times New Roman"/>
          <w:b/>
          <w:sz w:val="24"/>
          <w:szCs w:val="24"/>
          <w:highlight w:val="white"/>
        </w:rPr>
      </w:pPr>
      <w:r>
        <w:rPr>
          <w:rFonts w:ascii="Times New Roman" w:eastAsia="Times New Roman" w:hAnsi="Times New Roman"/>
          <w:sz w:val="24"/>
          <w:szCs w:val="24"/>
          <w:highlight w:val="white"/>
          <w:lang w:eastAsia="ru-RU"/>
        </w:rPr>
        <w:t>В случае если описание объекта закупки  в структурированном виде в извещении об осуществлении закупки отличается от  описания объекта закупки  в приложенном к извещению об осуществлении закупке документе, то приоритет имеет описание объекта закупки  в структурированном виде в извещении об осуществлении закупки.</w:t>
      </w:r>
    </w:p>
    <w:p w:rsidR="0003468E" w:rsidRDefault="00EA11F8">
      <w:pPr>
        <w:spacing w:after="0" w:line="240" w:lineRule="auto"/>
        <w:ind w:firstLine="709"/>
        <w:jc w:val="both"/>
        <w:rPr>
          <w:rFonts w:ascii="Times New Roman" w:eastAsia="Times New Roman" w:hAnsi="Times New Roman"/>
          <w:b/>
          <w:sz w:val="24"/>
          <w:szCs w:val="24"/>
          <w:highlight w:val="white"/>
        </w:rPr>
      </w:pPr>
      <w:r>
        <w:rPr>
          <w:rFonts w:ascii="Times New Roman" w:eastAsia="Times New Roman" w:hAnsi="Times New Roman"/>
          <w:sz w:val="24"/>
          <w:szCs w:val="24"/>
          <w:highlight w:val="white"/>
          <w:lang w:eastAsia="ru-RU"/>
        </w:rPr>
        <w:t>В случае если характеристики предлагаемого товара, указанные  в структурированной заявке на участие в закупке  отличаются от  характеристик предлагаемого товара, указанных   в приложенном к заявке документе, то комиссия по осуществлению закупки при рассмотрении заявок при принятии решения учитывает только характеристики предлагаемого товара, указанные  в структурированной заявке на участие в закупке.</w:t>
      </w:r>
    </w:p>
    <w:p w:rsidR="0003468E" w:rsidRDefault="0003468E">
      <w:pPr>
        <w:shd w:val="clear" w:color="auto" w:fill="FFFFFF"/>
        <w:spacing w:after="0" w:line="360" w:lineRule="auto"/>
        <w:rPr>
          <w:rFonts w:ascii="Times New Roman" w:eastAsia="Times New Roman" w:hAnsi="Times New Roman"/>
          <w:b/>
          <w:sz w:val="24"/>
          <w:szCs w:val="24"/>
          <w:highlight w:val="white"/>
        </w:rPr>
      </w:pPr>
    </w:p>
    <w:p w:rsidR="0003468E" w:rsidRDefault="0003468E">
      <w:pPr>
        <w:shd w:val="clear" w:color="auto" w:fill="FFFFFF"/>
        <w:spacing w:after="0" w:line="360" w:lineRule="auto"/>
        <w:jc w:val="center"/>
        <w:rPr>
          <w:rFonts w:ascii="Times New Roman" w:eastAsia="Times New Roman" w:hAnsi="Times New Roman"/>
          <w:b/>
          <w:sz w:val="24"/>
          <w:szCs w:val="24"/>
          <w:highlight w:val="white"/>
        </w:rPr>
      </w:pPr>
    </w:p>
    <w:p w:rsidR="0003468E" w:rsidRDefault="00EA11F8">
      <w:pPr>
        <w:shd w:val="clear" w:color="auto" w:fill="FFFFFF"/>
        <w:spacing w:after="0" w:line="240" w:lineRule="auto"/>
        <w:jc w:val="center"/>
        <w:rPr>
          <w:rFonts w:ascii="Times New Roman" w:hAnsi="Times New Roman"/>
          <w:b/>
          <w:bCs/>
          <w:sz w:val="24"/>
          <w:szCs w:val="24"/>
          <w:highlight w:val="white"/>
        </w:rPr>
      </w:pPr>
      <w:r>
        <w:rPr>
          <w:rFonts w:ascii="Times New Roman" w:hAnsi="Times New Roman"/>
          <w:b/>
          <w:bCs/>
          <w:sz w:val="24"/>
          <w:szCs w:val="24"/>
          <w:highlight w:val="white"/>
          <w:lang w:eastAsia="ru-RU"/>
        </w:rPr>
        <w:t>Устанавливаются следующие единые требования к участникам закупки:</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 xml:space="preserve">неприостановление деятельности участника закупки в порядке, установленном </w:t>
      </w:r>
      <w:hyperlink r:id="rId94" w:tooltip="consultantplus://offline/ref=ADE6C77B1A3576315FE368211DDB88C8167871FABDC59B319E0318B7305D50F9246AB91ECC4CF3F9929CF5804053F4D9E5FCD45CA8Q2h6E" w:history="1">
        <w:r>
          <w:rPr>
            <w:rFonts w:ascii="Times New Roman" w:hAnsi="Times New Roman"/>
            <w:bCs/>
            <w:sz w:val="24"/>
            <w:szCs w:val="24"/>
            <w:highlight w:val="white"/>
            <w:lang w:eastAsia="ru-RU"/>
          </w:rPr>
          <w:t>Кодексом</w:t>
        </w:r>
      </w:hyperlink>
      <w:r>
        <w:rPr>
          <w:rFonts w:ascii="Times New Roman" w:hAnsi="Times New Roman"/>
          <w:bCs/>
          <w:sz w:val="24"/>
          <w:szCs w:val="24"/>
          <w:highlight w:val="white"/>
          <w:lang w:eastAsia="ru-RU"/>
        </w:rPr>
        <w:t xml:space="preserve"> Российской Федерации об административных правонарушениях;</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95" w:tooltip="consultantplus://offline/ref=ADE6C77B1A3576315FE368211DDB88C8167877F5B4C79B319E0318B7305D50F9246AB91ACC4CFBA69789E4D84F53E8C7E1E6C85EAA26Q4hAE" w:history="1">
        <w:r>
          <w:rPr>
            <w:rFonts w:ascii="Times New Roman" w:hAnsi="Times New Roman"/>
            <w:bCs/>
            <w:sz w:val="24"/>
            <w:szCs w:val="24"/>
            <w:highlight w:val="white"/>
            <w:lang w:eastAsia="ru-RU"/>
          </w:rPr>
          <w:t>законодательством</w:t>
        </w:r>
      </w:hyperlink>
      <w:r>
        <w:rPr>
          <w:rFonts w:ascii="Times New Roman" w:hAnsi="Times New Roman"/>
          <w:bCs/>
          <w:sz w:val="24"/>
          <w:szCs w:val="24"/>
          <w:highlight w:val="white"/>
          <w:lang w:eastAsia="ru-RU"/>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96" w:tooltip="consultantplus://offline/ref=ADE6C77B1A3576315FE368211DDB88C8167877F5B4C79B319E0318B7305D50F9246AB91ACC4EFCA69789E4D84F53E8C7E1E6C85EAA26Q4hAE" w:history="1">
        <w:r>
          <w:rPr>
            <w:rFonts w:ascii="Times New Roman" w:hAnsi="Times New Roman"/>
            <w:bCs/>
            <w:sz w:val="24"/>
            <w:szCs w:val="24"/>
            <w:highlight w:val="white"/>
            <w:lang w:eastAsia="ru-RU"/>
          </w:rPr>
          <w:t>законодательством</w:t>
        </w:r>
      </w:hyperlink>
      <w:r>
        <w:rPr>
          <w:rFonts w:ascii="Times New Roman" w:hAnsi="Times New Roman"/>
          <w:bCs/>
          <w:sz w:val="24"/>
          <w:szCs w:val="24"/>
          <w:highlight w:val="white"/>
          <w:lang w:eastAsia="ru-RU"/>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97" w:tooltip="consultantplus://offline/ref=ADE6C77B1A3576315FE368211DDB88C8167877F5B4C49B319E0318B7305D50F9246AB91ACD4FF0A4C4D3F4DC0604E7DBE3FCD658B4264810QBhDE" w:history="1">
        <w:r>
          <w:rPr>
            <w:rFonts w:ascii="Times New Roman" w:hAnsi="Times New Roman"/>
            <w:bCs/>
            <w:sz w:val="24"/>
            <w:szCs w:val="24"/>
            <w:highlight w:val="white"/>
            <w:lang w:eastAsia="ru-RU"/>
          </w:rPr>
          <w:t>статьями 289</w:t>
        </w:r>
      </w:hyperlink>
      <w:r>
        <w:rPr>
          <w:rFonts w:ascii="Times New Roman" w:hAnsi="Times New Roman"/>
          <w:bCs/>
          <w:sz w:val="24"/>
          <w:szCs w:val="24"/>
          <w:highlight w:val="white"/>
          <w:lang w:eastAsia="ru-RU"/>
        </w:rPr>
        <w:t xml:space="preserve">, </w:t>
      </w:r>
      <w:hyperlink r:id="rId98" w:tooltip="consultantplus://offline/ref=ADE6C77B1A3576315FE368211DDB88C8167877F5B4C49B319E0318B7305D50F9246AB919CD4BFCA69789E4D84F53E8C7E1E6C85EAA26Q4hAE" w:history="1">
        <w:r>
          <w:rPr>
            <w:rFonts w:ascii="Times New Roman" w:hAnsi="Times New Roman"/>
            <w:bCs/>
            <w:sz w:val="24"/>
            <w:szCs w:val="24"/>
            <w:highlight w:val="white"/>
            <w:lang w:eastAsia="ru-RU"/>
          </w:rPr>
          <w:t>290</w:t>
        </w:r>
      </w:hyperlink>
      <w:r>
        <w:rPr>
          <w:rFonts w:ascii="Times New Roman" w:hAnsi="Times New Roman"/>
          <w:bCs/>
          <w:sz w:val="24"/>
          <w:szCs w:val="24"/>
          <w:highlight w:val="white"/>
          <w:lang w:eastAsia="ru-RU"/>
        </w:rPr>
        <w:t xml:space="preserve">, </w:t>
      </w:r>
      <w:hyperlink r:id="rId99" w:tooltip="consultantplus://offline/ref=ADE6C77B1A3576315FE368211DDB88C8167877F5B4C49B319E0318B7305D50F9246AB919CD49FAA69789E4D84F53E8C7E1E6C85EAA26Q4hAE" w:history="1">
        <w:r>
          <w:rPr>
            <w:rFonts w:ascii="Times New Roman" w:hAnsi="Times New Roman"/>
            <w:bCs/>
            <w:sz w:val="24"/>
            <w:szCs w:val="24"/>
            <w:highlight w:val="white"/>
            <w:lang w:eastAsia="ru-RU"/>
          </w:rPr>
          <w:t>291</w:t>
        </w:r>
      </w:hyperlink>
      <w:r>
        <w:rPr>
          <w:rFonts w:ascii="Times New Roman" w:hAnsi="Times New Roman"/>
          <w:bCs/>
          <w:sz w:val="24"/>
          <w:szCs w:val="24"/>
          <w:highlight w:val="white"/>
          <w:lang w:eastAsia="ru-RU"/>
        </w:rPr>
        <w:t xml:space="preserve">, </w:t>
      </w:r>
      <w:hyperlink r:id="rId100" w:tooltip="consultantplus://offline/ref=ADE6C77B1A3576315FE368211DDB88C8167877F5B4C49B319E0318B7305D50F9246AB919CD46FEA69789E4D84F53E8C7E1E6C85EAA26Q4hAE" w:history="1">
        <w:r>
          <w:rPr>
            <w:rFonts w:ascii="Times New Roman" w:hAnsi="Times New Roman"/>
            <w:bCs/>
            <w:sz w:val="24"/>
            <w:szCs w:val="24"/>
            <w:highlight w:val="white"/>
            <w:lang w:eastAsia="ru-RU"/>
          </w:rPr>
          <w:t>291.1</w:t>
        </w:r>
      </w:hyperlink>
      <w:r>
        <w:rPr>
          <w:rFonts w:ascii="Times New Roman" w:hAnsi="Times New Roman"/>
          <w:bCs/>
          <w:sz w:val="24"/>
          <w:szCs w:val="24"/>
          <w:highlight w:val="white"/>
          <w:lang w:eastAsia="ru-RU"/>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 xml:space="preserve">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01" w:tooltip="consultantplus://offline/ref=ADE6C77B1A3576315FE368211DDB88C8167871FABDC59B319E0318B7305D50F9246AB919CB4CF8A69789E4D84F53E8C7E1E6C85EAA26Q4hAE" w:history="1">
        <w:r>
          <w:rPr>
            <w:rFonts w:ascii="Times New Roman" w:hAnsi="Times New Roman"/>
            <w:bCs/>
            <w:sz w:val="24"/>
            <w:szCs w:val="24"/>
            <w:highlight w:val="white"/>
            <w:lang w:eastAsia="ru-RU"/>
          </w:rPr>
          <w:t>статьей 19.28</w:t>
        </w:r>
      </w:hyperlink>
      <w:r>
        <w:rPr>
          <w:rFonts w:ascii="Times New Roman" w:hAnsi="Times New Roman"/>
          <w:bCs/>
          <w:sz w:val="24"/>
          <w:szCs w:val="24"/>
          <w:highlight w:val="white"/>
          <w:lang w:eastAsia="ru-RU"/>
        </w:rPr>
        <w:t xml:space="preserve"> Кодекса Российской Федерации об административных правонарушениях;</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lastRenderedPageBreak/>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а) физическим лицом (в том числе зарегистрированным в качестве индивидуального предпринимателя), являющимся участником закупки;</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участник закупки не является иностранным агентом;</w:t>
      </w:r>
    </w:p>
    <w:p w:rsidR="0003468E" w:rsidRDefault="00EA11F8">
      <w:pPr>
        <w:shd w:val="clear" w:color="auto" w:fill="FFFFFF"/>
        <w:spacing w:before="240" w:after="0" w:line="240" w:lineRule="auto"/>
        <w:ind w:firstLine="540"/>
        <w:jc w:val="both"/>
        <w:rPr>
          <w:rFonts w:ascii="Times New Roman" w:hAnsi="Times New Roman"/>
          <w:bCs/>
          <w:sz w:val="24"/>
          <w:szCs w:val="24"/>
          <w:highlight w:val="white"/>
        </w:rPr>
      </w:pPr>
      <w:r>
        <w:rPr>
          <w:rFonts w:ascii="Times New Roman" w:hAnsi="Times New Roman"/>
          <w:bCs/>
          <w:sz w:val="24"/>
          <w:szCs w:val="24"/>
          <w:highlight w:val="white"/>
          <w:lang w:eastAsia="ru-RU"/>
        </w:rPr>
        <w:t>отсутствие у участника закупки ограничений для участия в закупках, установленных законодательством Российской Федерации.</w:t>
      </w:r>
    </w:p>
    <w:p w:rsidR="0003468E" w:rsidRDefault="0003468E">
      <w:pPr>
        <w:shd w:val="clear" w:color="auto" w:fill="FFFFFF"/>
        <w:spacing w:after="0" w:line="360" w:lineRule="auto"/>
        <w:jc w:val="center"/>
        <w:rPr>
          <w:rFonts w:ascii="Times New Roman" w:eastAsia="Times New Roman" w:hAnsi="Times New Roman"/>
          <w:b/>
          <w:bCs/>
          <w:sz w:val="24"/>
          <w:szCs w:val="24"/>
          <w:highlight w:val="white"/>
        </w:rPr>
      </w:pPr>
    </w:p>
    <w:p w:rsidR="0003468E" w:rsidRDefault="0003468E">
      <w:pPr>
        <w:shd w:val="clear" w:color="auto" w:fill="FFFFFF"/>
        <w:spacing w:after="0" w:line="360" w:lineRule="auto"/>
        <w:jc w:val="center"/>
        <w:rPr>
          <w:rFonts w:ascii="Times New Roman" w:eastAsia="Times New Roman" w:hAnsi="Times New Roman"/>
          <w:b/>
          <w:bCs/>
          <w:sz w:val="24"/>
          <w:szCs w:val="24"/>
          <w:highlight w:val="white"/>
        </w:rPr>
      </w:pPr>
    </w:p>
    <w:sectPr w:rsidR="0003468E">
      <w:pgSz w:w="11906" w:h="16838"/>
      <w:pgMar w:top="1134" w:right="850" w:bottom="993" w:left="1701" w:header="0" w:footer="0"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53DB" w:rsidRDefault="006553DB">
      <w:pPr>
        <w:spacing w:after="0" w:line="240" w:lineRule="auto"/>
      </w:pPr>
      <w:r>
        <w:separator/>
      </w:r>
    </w:p>
  </w:endnote>
  <w:endnote w:type="continuationSeparator" w:id="0">
    <w:p w:rsidR="006553DB" w:rsidRDefault="0065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T Astra Serif">
    <w:panose1 w:val="020B0604020202020204"/>
    <w:charset w:val="00"/>
    <w:family w:val="auto"/>
    <w:pitch w:val="default"/>
  </w:font>
  <w:font w:name="Noto Sans Devanagari">
    <w:panose1 w:val="020B0604020202020204"/>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53DB" w:rsidRDefault="006553DB">
      <w:pPr>
        <w:spacing w:after="0" w:line="240" w:lineRule="auto"/>
      </w:pPr>
      <w:r>
        <w:separator/>
      </w:r>
    </w:p>
  </w:footnote>
  <w:footnote w:type="continuationSeparator" w:id="0">
    <w:p w:rsidR="006553DB" w:rsidRDefault="006553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1528F"/>
    <w:multiLevelType w:val="hybridMultilevel"/>
    <w:tmpl w:val="12B61E76"/>
    <w:lvl w:ilvl="0" w:tplc="1534C2EE">
      <w:start w:val="1"/>
      <w:numFmt w:val="none"/>
      <w:suff w:val="nothing"/>
      <w:lvlText w:val=""/>
      <w:lvlJc w:val="left"/>
      <w:pPr>
        <w:tabs>
          <w:tab w:val="num" w:pos="0"/>
        </w:tabs>
        <w:ind w:left="0" w:firstLine="0"/>
      </w:pPr>
    </w:lvl>
    <w:lvl w:ilvl="1" w:tplc="C14E76EA">
      <w:start w:val="1"/>
      <w:numFmt w:val="none"/>
      <w:suff w:val="nothing"/>
      <w:lvlText w:val=""/>
      <w:lvlJc w:val="left"/>
      <w:pPr>
        <w:tabs>
          <w:tab w:val="num" w:pos="0"/>
        </w:tabs>
        <w:ind w:left="0" w:firstLine="0"/>
      </w:pPr>
    </w:lvl>
    <w:lvl w:ilvl="2" w:tplc="77A2E3A6">
      <w:start w:val="1"/>
      <w:numFmt w:val="none"/>
      <w:suff w:val="nothing"/>
      <w:lvlText w:val=""/>
      <w:lvlJc w:val="left"/>
      <w:pPr>
        <w:tabs>
          <w:tab w:val="num" w:pos="0"/>
        </w:tabs>
        <w:ind w:left="0" w:firstLine="0"/>
      </w:pPr>
    </w:lvl>
    <w:lvl w:ilvl="3" w:tplc="F262373A">
      <w:start w:val="1"/>
      <w:numFmt w:val="none"/>
      <w:suff w:val="nothing"/>
      <w:lvlText w:val=""/>
      <w:lvlJc w:val="left"/>
      <w:pPr>
        <w:tabs>
          <w:tab w:val="num" w:pos="0"/>
        </w:tabs>
        <w:ind w:left="0" w:firstLine="0"/>
      </w:pPr>
    </w:lvl>
    <w:lvl w:ilvl="4" w:tplc="28C212A8">
      <w:start w:val="1"/>
      <w:numFmt w:val="none"/>
      <w:suff w:val="nothing"/>
      <w:lvlText w:val=""/>
      <w:lvlJc w:val="left"/>
      <w:pPr>
        <w:tabs>
          <w:tab w:val="num" w:pos="0"/>
        </w:tabs>
        <w:ind w:left="0" w:firstLine="0"/>
      </w:pPr>
    </w:lvl>
    <w:lvl w:ilvl="5" w:tplc="00FAEC0E">
      <w:start w:val="1"/>
      <w:numFmt w:val="none"/>
      <w:suff w:val="nothing"/>
      <w:lvlText w:val=""/>
      <w:lvlJc w:val="left"/>
      <w:pPr>
        <w:tabs>
          <w:tab w:val="num" w:pos="0"/>
        </w:tabs>
        <w:ind w:left="0" w:firstLine="0"/>
      </w:pPr>
    </w:lvl>
    <w:lvl w:ilvl="6" w:tplc="77B27FDC">
      <w:start w:val="1"/>
      <w:numFmt w:val="none"/>
      <w:suff w:val="nothing"/>
      <w:lvlText w:val=""/>
      <w:lvlJc w:val="left"/>
      <w:pPr>
        <w:tabs>
          <w:tab w:val="num" w:pos="0"/>
        </w:tabs>
        <w:ind w:left="0" w:firstLine="0"/>
      </w:pPr>
    </w:lvl>
    <w:lvl w:ilvl="7" w:tplc="A59AA39A">
      <w:start w:val="1"/>
      <w:numFmt w:val="none"/>
      <w:suff w:val="nothing"/>
      <w:lvlText w:val=""/>
      <w:lvlJc w:val="left"/>
      <w:pPr>
        <w:tabs>
          <w:tab w:val="num" w:pos="0"/>
        </w:tabs>
        <w:ind w:left="0" w:firstLine="0"/>
      </w:pPr>
    </w:lvl>
    <w:lvl w:ilvl="8" w:tplc="F4EC8562">
      <w:start w:val="1"/>
      <w:numFmt w:val="none"/>
      <w:suff w:val="nothing"/>
      <w:lvlText w:val=""/>
      <w:lvlJc w:val="left"/>
      <w:pPr>
        <w:tabs>
          <w:tab w:val="num" w:pos="0"/>
        </w:tabs>
        <w:ind w:left="0" w:firstLine="0"/>
      </w:pPr>
    </w:lvl>
  </w:abstractNum>
  <w:abstractNum w:abstractNumId="1" w15:restartNumberingAfterBreak="0">
    <w:nsid w:val="0A9358C3"/>
    <w:multiLevelType w:val="hybridMultilevel"/>
    <w:tmpl w:val="E0C4606C"/>
    <w:lvl w:ilvl="0" w:tplc="8E96B744">
      <w:start w:val="1"/>
      <w:numFmt w:val="bullet"/>
      <w:lvlText w:val="–"/>
      <w:lvlJc w:val="left"/>
      <w:pPr>
        <w:ind w:left="709" w:hanging="360"/>
      </w:pPr>
      <w:rPr>
        <w:rFonts w:ascii="Arial" w:eastAsia="Arial" w:hAnsi="Arial" w:cs="Arial" w:hint="default"/>
      </w:rPr>
    </w:lvl>
    <w:lvl w:ilvl="1" w:tplc="60168F8E">
      <w:start w:val="1"/>
      <w:numFmt w:val="bullet"/>
      <w:lvlText w:val="o"/>
      <w:lvlJc w:val="left"/>
      <w:pPr>
        <w:ind w:left="1429" w:hanging="360"/>
      </w:pPr>
      <w:rPr>
        <w:rFonts w:ascii="Courier New" w:eastAsia="Courier New" w:hAnsi="Courier New" w:cs="Courier New" w:hint="default"/>
      </w:rPr>
    </w:lvl>
    <w:lvl w:ilvl="2" w:tplc="B2088254">
      <w:start w:val="1"/>
      <w:numFmt w:val="bullet"/>
      <w:lvlText w:val="§"/>
      <w:lvlJc w:val="left"/>
      <w:pPr>
        <w:ind w:left="2149" w:hanging="360"/>
      </w:pPr>
      <w:rPr>
        <w:rFonts w:ascii="Wingdings" w:eastAsia="Wingdings" w:hAnsi="Wingdings" w:cs="Wingdings" w:hint="default"/>
      </w:rPr>
    </w:lvl>
    <w:lvl w:ilvl="3" w:tplc="4A6A47BE">
      <w:start w:val="1"/>
      <w:numFmt w:val="bullet"/>
      <w:lvlText w:val="·"/>
      <w:lvlJc w:val="left"/>
      <w:pPr>
        <w:ind w:left="2869" w:hanging="360"/>
      </w:pPr>
      <w:rPr>
        <w:rFonts w:ascii="Symbol" w:eastAsia="Symbol" w:hAnsi="Symbol" w:cs="Symbol" w:hint="default"/>
      </w:rPr>
    </w:lvl>
    <w:lvl w:ilvl="4" w:tplc="9BE66DE8">
      <w:start w:val="1"/>
      <w:numFmt w:val="bullet"/>
      <w:lvlText w:val="o"/>
      <w:lvlJc w:val="left"/>
      <w:pPr>
        <w:ind w:left="3589" w:hanging="360"/>
      </w:pPr>
      <w:rPr>
        <w:rFonts w:ascii="Courier New" w:eastAsia="Courier New" w:hAnsi="Courier New" w:cs="Courier New" w:hint="default"/>
      </w:rPr>
    </w:lvl>
    <w:lvl w:ilvl="5" w:tplc="E6CCE2D8">
      <w:start w:val="1"/>
      <w:numFmt w:val="bullet"/>
      <w:lvlText w:val="§"/>
      <w:lvlJc w:val="left"/>
      <w:pPr>
        <w:ind w:left="4309" w:hanging="360"/>
      </w:pPr>
      <w:rPr>
        <w:rFonts w:ascii="Wingdings" w:eastAsia="Wingdings" w:hAnsi="Wingdings" w:cs="Wingdings" w:hint="default"/>
      </w:rPr>
    </w:lvl>
    <w:lvl w:ilvl="6" w:tplc="0E401894">
      <w:start w:val="1"/>
      <w:numFmt w:val="bullet"/>
      <w:lvlText w:val="·"/>
      <w:lvlJc w:val="left"/>
      <w:pPr>
        <w:ind w:left="5029" w:hanging="360"/>
      </w:pPr>
      <w:rPr>
        <w:rFonts w:ascii="Symbol" w:eastAsia="Symbol" w:hAnsi="Symbol" w:cs="Symbol" w:hint="default"/>
      </w:rPr>
    </w:lvl>
    <w:lvl w:ilvl="7" w:tplc="27764184">
      <w:start w:val="1"/>
      <w:numFmt w:val="bullet"/>
      <w:lvlText w:val="o"/>
      <w:lvlJc w:val="left"/>
      <w:pPr>
        <w:ind w:left="5749" w:hanging="360"/>
      </w:pPr>
      <w:rPr>
        <w:rFonts w:ascii="Courier New" w:eastAsia="Courier New" w:hAnsi="Courier New" w:cs="Courier New" w:hint="default"/>
      </w:rPr>
    </w:lvl>
    <w:lvl w:ilvl="8" w:tplc="FAA657A6">
      <w:start w:val="1"/>
      <w:numFmt w:val="bullet"/>
      <w:lvlText w:val="§"/>
      <w:lvlJc w:val="left"/>
      <w:pPr>
        <w:ind w:left="6469" w:hanging="360"/>
      </w:pPr>
      <w:rPr>
        <w:rFonts w:ascii="Wingdings" w:eastAsia="Wingdings" w:hAnsi="Wingdings" w:cs="Wingdings" w:hint="default"/>
      </w:rPr>
    </w:lvl>
  </w:abstractNum>
  <w:abstractNum w:abstractNumId="2" w15:restartNumberingAfterBreak="0">
    <w:nsid w:val="102A505F"/>
    <w:multiLevelType w:val="hybridMultilevel"/>
    <w:tmpl w:val="2A6A6B5E"/>
    <w:lvl w:ilvl="0" w:tplc="8010513A">
      <w:start w:val="1"/>
      <w:numFmt w:val="bullet"/>
      <w:lvlText w:val="–"/>
      <w:lvlJc w:val="left"/>
      <w:pPr>
        <w:ind w:left="1249" w:hanging="360"/>
      </w:pPr>
      <w:rPr>
        <w:rFonts w:ascii="Arial" w:eastAsia="Arial" w:hAnsi="Arial" w:cs="Arial" w:hint="default"/>
      </w:rPr>
    </w:lvl>
    <w:lvl w:ilvl="1" w:tplc="97F04D0E">
      <w:start w:val="1"/>
      <w:numFmt w:val="bullet"/>
      <w:lvlText w:val="o"/>
      <w:lvlJc w:val="left"/>
      <w:pPr>
        <w:ind w:left="1969" w:hanging="360"/>
      </w:pPr>
      <w:rPr>
        <w:rFonts w:ascii="Courier New" w:eastAsia="Courier New" w:hAnsi="Courier New" w:cs="Courier New" w:hint="default"/>
      </w:rPr>
    </w:lvl>
    <w:lvl w:ilvl="2" w:tplc="677425AA">
      <w:start w:val="1"/>
      <w:numFmt w:val="bullet"/>
      <w:lvlText w:val="§"/>
      <w:lvlJc w:val="left"/>
      <w:pPr>
        <w:ind w:left="2689" w:hanging="360"/>
      </w:pPr>
      <w:rPr>
        <w:rFonts w:ascii="Wingdings" w:eastAsia="Wingdings" w:hAnsi="Wingdings" w:cs="Wingdings" w:hint="default"/>
      </w:rPr>
    </w:lvl>
    <w:lvl w:ilvl="3" w:tplc="5CB63750">
      <w:start w:val="1"/>
      <w:numFmt w:val="bullet"/>
      <w:lvlText w:val="·"/>
      <w:lvlJc w:val="left"/>
      <w:pPr>
        <w:ind w:left="3409" w:hanging="360"/>
      </w:pPr>
      <w:rPr>
        <w:rFonts w:ascii="Symbol" w:eastAsia="Symbol" w:hAnsi="Symbol" w:cs="Symbol" w:hint="default"/>
      </w:rPr>
    </w:lvl>
    <w:lvl w:ilvl="4" w:tplc="833295F0">
      <w:start w:val="1"/>
      <w:numFmt w:val="bullet"/>
      <w:lvlText w:val="o"/>
      <w:lvlJc w:val="left"/>
      <w:pPr>
        <w:ind w:left="4129" w:hanging="360"/>
      </w:pPr>
      <w:rPr>
        <w:rFonts w:ascii="Courier New" w:eastAsia="Courier New" w:hAnsi="Courier New" w:cs="Courier New" w:hint="default"/>
      </w:rPr>
    </w:lvl>
    <w:lvl w:ilvl="5" w:tplc="A0C29DD8">
      <w:start w:val="1"/>
      <w:numFmt w:val="bullet"/>
      <w:lvlText w:val="§"/>
      <w:lvlJc w:val="left"/>
      <w:pPr>
        <w:ind w:left="4849" w:hanging="360"/>
      </w:pPr>
      <w:rPr>
        <w:rFonts w:ascii="Wingdings" w:eastAsia="Wingdings" w:hAnsi="Wingdings" w:cs="Wingdings" w:hint="default"/>
      </w:rPr>
    </w:lvl>
    <w:lvl w:ilvl="6" w:tplc="0B82B470">
      <w:start w:val="1"/>
      <w:numFmt w:val="bullet"/>
      <w:lvlText w:val="·"/>
      <w:lvlJc w:val="left"/>
      <w:pPr>
        <w:ind w:left="5569" w:hanging="360"/>
      </w:pPr>
      <w:rPr>
        <w:rFonts w:ascii="Symbol" w:eastAsia="Symbol" w:hAnsi="Symbol" w:cs="Symbol" w:hint="default"/>
      </w:rPr>
    </w:lvl>
    <w:lvl w:ilvl="7" w:tplc="E460D28E">
      <w:start w:val="1"/>
      <w:numFmt w:val="bullet"/>
      <w:lvlText w:val="o"/>
      <w:lvlJc w:val="left"/>
      <w:pPr>
        <w:ind w:left="6289" w:hanging="360"/>
      </w:pPr>
      <w:rPr>
        <w:rFonts w:ascii="Courier New" w:eastAsia="Courier New" w:hAnsi="Courier New" w:cs="Courier New" w:hint="default"/>
      </w:rPr>
    </w:lvl>
    <w:lvl w:ilvl="8" w:tplc="30AA750C">
      <w:start w:val="1"/>
      <w:numFmt w:val="bullet"/>
      <w:lvlText w:val="§"/>
      <w:lvlJc w:val="left"/>
      <w:pPr>
        <w:ind w:left="7009" w:hanging="360"/>
      </w:pPr>
      <w:rPr>
        <w:rFonts w:ascii="Wingdings" w:eastAsia="Wingdings" w:hAnsi="Wingdings" w:cs="Wingdings" w:hint="default"/>
      </w:rPr>
    </w:lvl>
  </w:abstractNum>
  <w:abstractNum w:abstractNumId="3" w15:restartNumberingAfterBreak="0">
    <w:nsid w:val="1E8F14CA"/>
    <w:multiLevelType w:val="hybridMultilevel"/>
    <w:tmpl w:val="83F61452"/>
    <w:lvl w:ilvl="0" w:tplc="DB226034">
      <w:start w:val="1"/>
      <w:numFmt w:val="decimal"/>
      <w:lvlText w:val="%1."/>
      <w:lvlJc w:val="left"/>
      <w:pPr>
        <w:tabs>
          <w:tab w:val="num" w:pos="0"/>
        </w:tabs>
        <w:ind w:left="1431" w:hanging="765"/>
      </w:pPr>
      <w:rPr>
        <w:b/>
      </w:rPr>
    </w:lvl>
    <w:lvl w:ilvl="1" w:tplc="34446630">
      <w:start w:val="1"/>
      <w:numFmt w:val="lowerLetter"/>
      <w:lvlText w:val="%2."/>
      <w:lvlJc w:val="left"/>
      <w:pPr>
        <w:tabs>
          <w:tab w:val="num" w:pos="0"/>
        </w:tabs>
        <w:ind w:left="1746" w:hanging="360"/>
      </w:pPr>
    </w:lvl>
    <w:lvl w:ilvl="2" w:tplc="A48AF070">
      <w:start w:val="1"/>
      <w:numFmt w:val="lowerRoman"/>
      <w:lvlText w:val="%3."/>
      <w:lvlJc w:val="right"/>
      <w:pPr>
        <w:tabs>
          <w:tab w:val="num" w:pos="0"/>
        </w:tabs>
        <w:ind w:left="2466" w:hanging="180"/>
      </w:pPr>
    </w:lvl>
    <w:lvl w:ilvl="3" w:tplc="80F244DE">
      <w:start w:val="1"/>
      <w:numFmt w:val="decimal"/>
      <w:lvlText w:val="%4."/>
      <w:lvlJc w:val="left"/>
      <w:pPr>
        <w:tabs>
          <w:tab w:val="num" w:pos="0"/>
        </w:tabs>
        <w:ind w:left="3186" w:hanging="360"/>
      </w:pPr>
    </w:lvl>
    <w:lvl w:ilvl="4" w:tplc="70EA5FB2">
      <w:start w:val="1"/>
      <w:numFmt w:val="lowerLetter"/>
      <w:lvlText w:val="%5."/>
      <w:lvlJc w:val="left"/>
      <w:pPr>
        <w:tabs>
          <w:tab w:val="num" w:pos="0"/>
        </w:tabs>
        <w:ind w:left="3906" w:hanging="360"/>
      </w:pPr>
    </w:lvl>
    <w:lvl w:ilvl="5" w:tplc="86D046E8">
      <w:start w:val="1"/>
      <w:numFmt w:val="lowerRoman"/>
      <w:lvlText w:val="%6."/>
      <w:lvlJc w:val="right"/>
      <w:pPr>
        <w:tabs>
          <w:tab w:val="num" w:pos="0"/>
        </w:tabs>
        <w:ind w:left="4626" w:hanging="180"/>
      </w:pPr>
    </w:lvl>
    <w:lvl w:ilvl="6" w:tplc="A498F0DC">
      <w:start w:val="1"/>
      <w:numFmt w:val="decimal"/>
      <w:lvlText w:val="%7."/>
      <w:lvlJc w:val="left"/>
      <w:pPr>
        <w:tabs>
          <w:tab w:val="num" w:pos="0"/>
        </w:tabs>
        <w:ind w:left="5346" w:hanging="360"/>
      </w:pPr>
    </w:lvl>
    <w:lvl w:ilvl="7" w:tplc="C50614C6">
      <w:start w:val="1"/>
      <w:numFmt w:val="lowerLetter"/>
      <w:lvlText w:val="%8."/>
      <w:lvlJc w:val="left"/>
      <w:pPr>
        <w:tabs>
          <w:tab w:val="num" w:pos="0"/>
        </w:tabs>
        <w:ind w:left="6066" w:hanging="360"/>
      </w:pPr>
    </w:lvl>
    <w:lvl w:ilvl="8" w:tplc="56EE7EAC">
      <w:start w:val="1"/>
      <w:numFmt w:val="lowerRoman"/>
      <w:lvlText w:val="%9."/>
      <w:lvlJc w:val="right"/>
      <w:pPr>
        <w:tabs>
          <w:tab w:val="num" w:pos="0"/>
        </w:tabs>
        <w:ind w:left="6786" w:hanging="180"/>
      </w:pPr>
    </w:lvl>
  </w:abstractNum>
  <w:abstractNum w:abstractNumId="4" w15:restartNumberingAfterBreak="0">
    <w:nsid w:val="2FB622DF"/>
    <w:multiLevelType w:val="hybridMultilevel"/>
    <w:tmpl w:val="032C303C"/>
    <w:lvl w:ilvl="0" w:tplc="C4EC1FC0">
      <w:start w:val="1"/>
      <w:numFmt w:val="decimal"/>
      <w:lvlText w:val="%1)"/>
      <w:lvlJc w:val="left"/>
      <w:pPr>
        <w:ind w:left="1249" w:hanging="360"/>
      </w:pPr>
    </w:lvl>
    <w:lvl w:ilvl="1" w:tplc="708E5866">
      <w:start w:val="1"/>
      <w:numFmt w:val="lowerLetter"/>
      <w:lvlText w:val="%2."/>
      <w:lvlJc w:val="left"/>
      <w:pPr>
        <w:ind w:left="1969" w:hanging="360"/>
      </w:pPr>
    </w:lvl>
    <w:lvl w:ilvl="2" w:tplc="C3785F5C">
      <w:start w:val="1"/>
      <w:numFmt w:val="lowerRoman"/>
      <w:lvlText w:val="%3."/>
      <w:lvlJc w:val="right"/>
      <w:pPr>
        <w:ind w:left="2689" w:hanging="180"/>
      </w:pPr>
    </w:lvl>
    <w:lvl w:ilvl="3" w:tplc="D076DFDE">
      <w:start w:val="1"/>
      <w:numFmt w:val="decimal"/>
      <w:lvlText w:val="%4."/>
      <w:lvlJc w:val="left"/>
      <w:pPr>
        <w:ind w:left="3409" w:hanging="360"/>
      </w:pPr>
    </w:lvl>
    <w:lvl w:ilvl="4" w:tplc="E1C4B77C">
      <w:start w:val="1"/>
      <w:numFmt w:val="lowerLetter"/>
      <w:lvlText w:val="%5."/>
      <w:lvlJc w:val="left"/>
      <w:pPr>
        <w:ind w:left="4129" w:hanging="360"/>
      </w:pPr>
    </w:lvl>
    <w:lvl w:ilvl="5" w:tplc="BABAFDFE">
      <w:start w:val="1"/>
      <w:numFmt w:val="lowerRoman"/>
      <w:lvlText w:val="%6."/>
      <w:lvlJc w:val="right"/>
      <w:pPr>
        <w:ind w:left="4849" w:hanging="180"/>
      </w:pPr>
    </w:lvl>
    <w:lvl w:ilvl="6" w:tplc="98628586">
      <w:start w:val="1"/>
      <w:numFmt w:val="decimal"/>
      <w:lvlText w:val="%7."/>
      <w:lvlJc w:val="left"/>
      <w:pPr>
        <w:ind w:left="5569" w:hanging="360"/>
      </w:pPr>
    </w:lvl>
    <w:lvl w:ilvl="7" w:tplc="E2B4BDC2">
      <w:start w:val="1"/>
      <w:numFmt w:val="lowerLetter"/>
      <w:lvlText w:val="%8."/>
      <w:lvlJc w:val="left"/>
      <w:pPr>
        <w:ind w:left="6289" w:hanging="360"/>
      </w:pPr>
    </w:lvl>
    <w:lvl w:ilvl="8" w:tplc="544C7468">
      <w:start w:val="1"/>
      <w:numFmt w:val="lowerRoman"/>
      <w:lvlText w:val="%9."/>
      <w:lvlJc w:val="right"/>
      <w:pPr>
        <w:ind w:left="7009" w:hanging="180"/>
      </w:pPr>
    </w:lvl>
  </w:abstractNum>
  <w:abstractNum w:abstractNumId="5" w15:restartNumberingAfterBreak="0">
    <w:nsid w:val="33BA1D5B"/>
    <w:multiLevelType w:val="hybridMultilevel"/>
    <w:tmpl w:val="AADEA844"/>
    <w:lvl w:ilvl="0" w:tplc="E91C7D94">
      <w:start w:val="1"/>
      <w:numFmt w:val="decimal"/>
      <w:lvlText w:val="%1)"/>
      <w:lvlJc w:val="left"/>
      <w:pPr>
        <w:ind w:left="1249" w:hanging="360"/>
      </w:pPr>
    </w:lvl>
    <w:lvl w:ilvl="1" w:tplc="19F4EACC">
      <w:start w:val="1"/>
      <w:numFmt w:val="lowerLetter"/>
      <w:lvlText w:val="%2."/>
      <w:lvlJc w:val="left"/>
      <w:pPr>
        <w:ind w:left="1969" w:hanging="360"/>
      </w:pPr>
    </w:lvl>
    <w:lvl w:ilvl="2" w:tplc="5A4EE568">
      <w:start w:val="1"/>
      <w:numFmt w:val="lowerRoman"/>
      <w:lvlText w:val="%3."/>
      <w:lvlJc w:val="right"/>
      <w:pPr>
        <w:ind w:left="2689" w:hanging="180"/>
      </w:pPr>
    </w:lvl>
    <w:lvl w:ilvl="3" w:tplc="664AA69C">
      <w:start w:val="1"/>
      <w:numFmt w:val="decimal"/>
      <w:lvlText w:val="%4."/>
      <w:lvlJc w:val="left"/>
      <w:pPr>
        <w:ind w:left="3409" w:hanging="360"/>
      </w:pPr>
    </w:lvl>
    <w:lvl w:ilvl="4" w:tplc="173CCF90">
      <w:start w:val="1"/>
      <w:numFmt w:val="lowerLetter"/>
      <w:lvlText w:val="%5."/>
      <w:lvlJc w:val="left"/>
      <w:pPr>
        <w:ind w:left="4129" w:hanging="360"/>
      </w:pPr>
    </w:lvl>
    <w:lvl w:ilvl="5" w:tplc="76946DE6">
      <w:start w:val="1"/>
      <w:numFmt w:val="lowerRoman"/>
      <w:lvlText w:val="%6."/>
      <w:lvlJc w:val="right"/>
      <w:pPr>
        <w:ind w:left="4849" w:hanging="180"/>
      </w:pPr>
    </w:lvl>
    <w:lvl w:ilvl="6" w:tplc="6FC659B8">
      <w:start w:val="1"/>
      <w:numFmt w:val="decimal"/>
      <w:lvlText w:val="%7."/>
      <w:lvlJc w:val="left"/>
      <w:pPr>
        <w:ind w:left="5569" w:hanging="360"/>
      </w:pPr>
    </w:lvl>
    <w:lvl w:ilvl="7" w:tplc="6A98C1A4">
      <w:start w:val="1"/>
      <w:numFmt w:val="lowerLetter"/>
      <w:lvlText w:val="%8."/>
      <w:lvlJc w:val="left"/>
      <w:pPr>
        <w:ind w:left="6289" w:hanging="360"/>
      </w:pPr>
    </w:lvl>
    <w:lvl w:ilvl="8" w:tplc="47060B70">
      <w:start w:val="1"/>
      <w:numFmt w:val="lowerRoman"/>
      <w:lvlText w:val="%9."/>
      <w:lvlJc w:val="right"/>
      <w:pPr>
        <w:ind w:left="7009" w:hanging="180"/>
      </w:pPr>
    </w:lvl>
  </w:abstractNum>
  <w:abstractNum w:abstractNumId="6" w15:restartNumberingAfterBreak="0">
    <w:nsid w:val="480E79CA"/>
    <w:multiLevelType w:val="hybridMultilevel"/>
    <w:tmpl w:val="3198E174"/>
    <w:lvl w:ilvl="0" w:tplc="D5FA846C">
      <w:start w:val="1"/>
      <w:numFmt w:val="bullet"/>
      <w:lvlText w:val="–"/>
      <w:lvlJc w:val="left"/>
      <w:pPr>
        <w:ind w:left="709" w:hanging="360"/>
      </w:pPr>
      <w:rPr>
        <w:rFonts w:ascii="Arial" w:eastAsia="Arial" w:hAnsi="Arial" w:cs="Arial" w:hint="default"/>
      </w:rPr>
    </w:lvl>
    <w:lvl w:ilvl="1" w:tplc="AF664E00">
      <w:start w:val="1"/>
      <w:numFmt w:val="bullet"/>
      <w:lvlText w:val="o"/>
      <w:lvlJc w:val="left"/>
      <w:pPr>
        <w:ind w:left="1429" w:hanging="360"/>
      </w:pPr>
      <w:rPr>
        <w:rFonts w:ascii="Courier New" w:eastAsia="Courier New" w:hAnsi="Courier New" w:cs="Courier New" w:hint="default"/>
      </w:rPr>
    </w:lvl>
    <w:lvl w:ilvl="2" w:tplc="E8523DF8">
      <w:start w:val="1"/>
      <w:numFmt w:val="bullet"/>
      <w:lvlText w:val="§"/>
      <w:lvlJc w:val="left"/>
      <w:pPr>
        <w:ind w:left="2149" w:hanging="360"/>
      </w:pPr>
      <w:rPr>
        <w:rFonts w:ascii="Wingdings" w:eastAsia="Wingdings" w:hAnsi="Wingdings" w:cs="Wingdings" w:hint="default"/>
      </w:rPr>
    </w:lvl>
    <w:lvl w:ilvl="3" w:tplc="B3FE8D30">
      <w:start w:val="1"/>
      <w:numFmt w:val="bullet"/>
      <w:lvlText w:val="·"/>
      <w:lvlJc w:val="left"/>
      <w:pPr>
        <w:ind w:left="2869" w:hanging="360"/>
      </w:pPr>
      <w:rPr>
        <w:rFonts w:ascii="Symbol" w:eastAsia="Symbol" w:hAnsi="Symbol" w:cs="Symbol" w:hint="default"/>
      </w:rPr>
    </w:lvl>
    <w:lvl w:ilvl="4" w:tplc="FAAC30D2">
      <w:start w:val="1"/>
      <w:numFmt w:val="bullet"/>
      <w:lvlText w:val="o"/>
      <w:lvlJc w:val="left"/>
      <w:pPr>
        <w:ind w:left="3589" w:hanging="360"/>
      </w:pPr>
      <w:rPr>
        <w:rFonts w:ascii="Courier New" w:eastAsia="Courier New" w:hAnsi="Courier New" w:cs="Courier New" w:hint="default"/>
      </w:rPr>
    </w:lvl>
    <w:lvl w:ilvl="5" w:tplc="38DCBDD0">
      <w:start w:val="1"/>
      <w:numFmt w:val="bullet"/>
      <w:lvlText w:val="§"/>
      <w:lvlJc w:val="left"/>
      <w:pPr>
        <w:ind w:left="4309" w:hanging="360"/>
      </w:pPr>
      <w:rPr>
        <w:rFonts w:ascii="Wingdings" w:eastAsia="Wingdings" w:hAnsi="Wingdings" w:cs="Wingdings" w:hint="default"/>
      </w:rPr>
    </w:lvl>
    <w:lvl w:ilvl="6" w:tplc="659EFCC4">
      <w:start w:val="1"/>
      <w:numFmt w:val="bullet"/>
      <w:lvlText w:val="·"/>
      <w:lvlJc w:val="left"/>
      <w:pPr>
        <w:ind w:left="5029" w:hanging="360"/>
      </w:pPr>
      <w:rPr>
        <w:rFonts w:ascii="Symbol" w:eastAsia="Symbol" w:hAnsi="Symbol" w:cs="Symbol" w:hint="default"/>
      </w:rPr>
    </w:lvl>
    <w:lvl w:ilvl="7" w:tplc="92D44288">
      <w:start w:val="1"/>
      <w:numFmt w:val="bullet"/>
      <w:lvlText w:val="o"/>
      <w:lvlJc w:val="left"/>
      <w:pPr>
        <w:ind w:left="5749" w:hanging="360"/>
      </w:pPr>
      <w:rPr>
        <w:rFonts w:ascii="Courier New" w:eastAsia="Courier New" w:hAnsi="Courier New" w:cs="Courier New" w:hint="default"/>
      </w:rPr>
    </w:lvl>
    <w:lvl w:ilvl="8" w:tplc="CE623DAC">
      <w:start w:val="1"/>
      <w:numFmt w:val="bullet"/>
      <w:lvlText w:val="§"/>
      <w:lvlJc w:val="left"/>
      <w:pPr>
        <w:ind w:left="6469" w:hanging="360"/>
      </w:pPr>
      <w:rPr>
        <w:rFonts w:ascii="Wingdings" w:eastAsia="Wingdings" w:hAnsi="Wingdings" w:cs="Wingdings" w:hint="default"/>
      </w:rPr>
    </w:lvl>
  </w:abstractNum>
  <w:abstractNum w:abstractNumId="7" w15:restartNumberingAfterBreak="0">
    <w:nsid w:val="71936C25"/>
    <w:multiLevelType w:val="hybridMultilevel"/>
    <w:tmpl w:val="2FBEEC22"/>
    <w:lvl w:ilvl="0" w:tplc="52BA1DD4">
      <w:start w:val="1"/>
      <w:numFmt w:val="bullet"/>
      <w:lvlText w:val="–"/>
      <w:lvlJc w:val="left"/>
      <w:pPr>
        <w:ind w:left="709" w:hanging="360"/>
      </w:pPr>
      <w:rPr>
        <w:rFonts w:ascii="Arial" w:eastAsia="Arial" w:hAnsi="Arial" w:cs="Arial" w:hint="default"/>
      </w:rPr>
    </w:lvl>
    <w:lvl w:ilvl="1" w:tplc="903269B6">
      <w:start w:val="1"/>
      <w:numFmt w:val="bullet"/>
      <w:lvlText w:val="o"/>
      <w:lvlJc w:val="left"/>
      <w:pPr>
        <w:ind w:left="1429" w:hanging="360"/>
      </w:pPr>
      <w:rPr>
        <w:rFonts w:ascii="Courier New" w:eastAsia="Courier New" w:hAnsi="Courier New" w:cs="Courier New" w:hint="default"/>
      </w:rPr>
    </w:lvl>
    <w:lvl w:ilvl="2" w:tplc="CCB6FEA6">
      <w:start w:val="1"/>
      <w:numFmt w:val="bullet"/>
      <w:lvlText w:val="§"/>
      <w:lvlJc w:val="left"/>
      <w:pPr>
        <w:ind w:left="2149" w:hanging="360"/>
      </w:pPr>
      <w:rPr>
        <w:rFonts w:ascii="Wingdings" w:eastAsia="Wingdings" w:hAnsi="Wingdings" w:cs="Wingdings" w:hint="default"/>
      </w:rPr>
    </w:lvl>
    <w:lvl w:ilvl="3" w:tplc="AE50A25E">
      <w:start w:val="1"/>
      <w:numFmt w:val="bullet"/>
      <w:lvlText w:val="·"/>
      <w:lvlJc w:val="left"/>
      <w:pPr>
        <w:ind w:left="2869" w:hanging="360"/>
      </w:pPr>
      <w:rPr>
        <w:rFonts w:ascii="Symbol" w:eastAsia="Symbol" w:hAnsi="Symbol" w:cs="Symbol" w:hint="default"/>
      </w:rPr>
    </w:lvl>
    <w:lvl w:ilvl="4" w:tplc="7BEA3ED6">
      <w:start w:val="1"/>
      <w:numFmt w:val="bullet"/>
      <w:lvlText w:val="o"/>
      <w:lvlJc w:val="left"/>
      <w:pPr>
        <w:ind w:left="3589" w:hanging="360"/>
      </w:pPr>
      <w:rPr>
        <w:rFonts w:ascii="Courier New" w:eastAsia="Courier New" w:hAnsi="Courier New" w:cs="Courier New" w:hint="default"/>
      </w:rPr>
    </w:lvl>
    <w:lvl w:ilvl="5" w:tplc="1F68211E">
      <w:start w:val="1"/>
      <w:numFmt w:val="bullet"/>
      <w:lvlText w:val="§"/>
      <w:lvlJc w:val="left"/>
      <w:pPr>
        <w:ind w:left="4309" w:hanging="360"/>
      </w:pPr>
      <w:rPr>
        <w:rFonts w:ascii="Wingdings" w:eastAsia="Wingdings" w:hAnsi="Wingdings" w:cs="Wingdings" w:hint="default"/>
      </w:rPr>
    </w:lvl>
    <w:lvl w:ilvl="6" w:tplc="C04E0B8C">
      <w:start w:val="1"/>
      <w:numFmt w:val="bullet"/>
      <w:lvlText w:val="·"/>
      <w:lvlJc w:val="left"/>
      <w:pPr>
        <w:ind w:left="5029" w:hanging="360"/>
      </w:pPr>
      <w:rPr>
        <w:rFonts w:ascii="Symbol" w:eastAsia="Symbol" w:hAnsi="Symbol" w:cs="Symbol" w:hint="default"/>
      </w:rPr>
    </w:lvl>
    <w:lvl w:ilvl="7" w:tplc="3CB09B32">
      <w:start w:val="1"/>
      <w:numFmt w:val="bullet"/>
      <w:lvlText w:val="o"/>
      <w:lvlJc w:val="left"/>
      <w:pPr>
        <w:ind w:left="5749" w:hanging="360"/>
      </w:pPr>
      <w:rPr>
        <w:rFonts w:ascii="Courier New" w:eastAsia="Courier New" w:hAnsi="Courier New" w:cs="Courier New" w:hint="default"/>
      </w:rPr>
    </w:lvl>
    <w:lvl w:ilvl="8" w:tplc="7A9C12B0">
      <w:start w:val="1"/>
      <w:numFmt w:val="bullet"/>
      <w:lvlText w:val="§"/>
      <w:lvlJc w:val="left"/>
      <w:pPr>
        <w:ind w:left="6469" w:hanging="360"/>
      </w:pPr>
      <w:rPr>
        <w:rFonts w:ascii="Wingdings" w:eastAsia="Wingdings" w:hAnsi="Wingdings" w:cs="Wingdings" w:hint="default"/>
      </w:rPr>
    </w:lvl>
  </w:abstractNum>
  <w:abstractNum w:abstractNumId="8" w15:restartNumberingAfterBreak="0">
    <w:nsid w:val="73CF0B8C"/>
    <w:multiLevelType w:val="hybridMultilevel"/>
    <w:tmpl w:val="6710268A"/>
    <w:lvl w:ilvl="0" w:tplc="F17470EE">
      <w:start w:val="1"/>
      <w:numFmt w:val="bullet"/>
      <w:lvlText w:val="–"/>
      <w:lvlJc w:val="left"/>
      <w:pPr>
        <w:ind w:left="709" w:hanging="360"/>
      </w:pPr>
      <w:rPr>
        <w:rFonts w:ascii="Arial" w:eastAsia="Arial" w:hAnsi="Arial" w:cs="Arial" w:hint="default"/>
      </w:rPr>
    </w:lvl>
    <w:lvl w:ilvl="1" w:tplc="D612F1F0">
      <w:start w:val="1"/>
      <w:numFmt w:val="bullet"/>
      <w:lvlText w:val="o"/>
      <w:lvlJc w:val="left"/>
      <w:pPr>
        <w:ind w:left="1429" w:hanging="360"/>
      </w:pPr>
      <w:rPr>
        <w:rFonts w:ascii="Courier New" w:eastAsia="Courier New" w:hAnsi="Courier New" w:cs="Courier New" w:hint="default"/>
      </w:rPr>
    </w:lvl>
    <w:lvl w:ilvl="2" w:tplc="19506B4C">
      <w:start w:val="1"/>
      <w:numFmt w:val="bullet"/>
      <w:lvlText w:val="§"/>
      <w:lvlJc w:val="left"/>
      <w:pPr>
        <w:ind w:left="2149" w:hanging="360"/>
      </w:pPr>
      <w:rPr>
        <w:rFonts w:ascii="Wingdings" w:eastAsia="Wingdings" w:hAnsi="Wingdings" w:cs="Wingdings" w:hint="default"/>
      </w:rPr>
    </w:lvl>
    <w:lvl w:ilvl="3" w:tplc="A244AA72">
      <w:start w:val="1"/>
      <w:numFmt w:val="bullet"/>
      <w:lvlText w:val="·"/>
      <w:lvlJc w:val="left"/>
      <w:pPr>
        <w:ind w:left="2869" w:hanging="360"/>
      </w:pPr>
      <w:rPr>
        <w:rFonts w:ascii="Symbol" w:eastAsia="Symbol" w:hAnsi="Symbol" w:cs="Symbol" w:hint="default"/>
      </w:rPr>
    </w:lvl>
    <w:lvl w:ilvl="4" w:tplc="4A4CA8BA">
      <w:start w:val="1"/>
      <w:numFmt w:val="bullet"/>
      <w:lvlText w:val="o"/>
      <w:lvlJc w:val="left"/>
      <w:pPr>
        <w:ind w:left="3589" w:hanging="360"/>
      </w:pPr>
      <w:rPr>
        <w:rFonts w:ascii="Courier New" w:eastAsia="Courier New" w:hAnsi="Courier New" w:cs="Courier New" w:hint="default"/>
      </w:rPr>
    </w:lvl>
    <w:lvl w:ilvl="5" w:tplc="7C2657D4">
      <w:start w:val="1"/>
      <w:numFmt w:val="bullet"/>
      <w:lvlText w:val="§"/>
      <w:lvlJc w:val="left"/>
      <w:pPr>
        <w:ind w:left="4309" w:hanging="360"/>
      </w:pPr>
      <w:rPr>
        <w:rFonts w:ascii="Wingdings" w:eastAsia="Wingdings" w:hAnsi="Wingdings" w:cs="Wingdings" w:hint="default"/>
      </w:rPr>
    </w:lvl>
    <w:lvl w:ilvl="6" w:tplc="BEAC4D08">
      <w:start w:val="1"/>
      <w:numFmt w:val="bullet"/>
      <w:lvlText w:val="·"/>
      <w:lvlJc w:val="left"/>
      <w:pPr>
        <w:ind w:left="5029" w:hanging="360"/>
      </w:pPr>
      <w:rPr>
        <w:rFonts w:ascii="Symbol" w:eastAsia="Symbol" w:hAnsi="Symbol" w:cs="Symbol" w:hint="default"/>
      </w:rPr>
    </w:lvl>
    <w:lvl w:ilvl="7" w:tplc="95846788">
      <w:start w:val="1"/>
      <w:numFmt w:val="bullet"/>
      <w:lvlText w:val="o"/>
      <w:lvlJc w:val="left"/>
      <w:pPr>
        <w:ind w:left="5749" w:hanging="360"/>
      </w:pPr>
      <w:rPr>
        <w:rFonts w:ascii="Courier New" w:eastAsia="Courier New" w:hAnsi="Courier New" w:cs="Courier New" w:hint="default"/>
      </w:rPr>
    </w:lvl>
    <w:lvl w:ilvl="8" w:tplc="3218311C">
      <w:start w:val="1"/>
      <w:numFmt w:val="bullet"/>
      <w:lvlText w:val="§"/>
      <w:lvlJc w:val="left"/>
      <w:pPr>
        <w:ind w:left="6469" w:hanging="360"/>
      </w:pPr>
      <w:rPr>
        <w:rFonts w:ascii="Wingdings" w:eastAsia="Wingdings" w:hAnsi="Wingdings" w:cs="Wingdings" w:hint="default"/>
      </w:rPr>
    </w:lvl>
  </w:abstractNum>
  <w:num w:numId="1">
    <w:abstractNumId w:val="3"/>
  </w:num>
  <w:num w:numId="2">
    <w:abstractNumId w:val="0"/>
  </w:num>
  <w:num w:numId="3">
    <w:abstractNumId w:val="4"/>
  </w:num>
  <w:num w:numId="4">
    <w:abstractNumId w:val="1"/>
  </w:num>
  <w:num w:numId="5">
    <w:abstractNumId w:val="8"/>
  </w:num>
  <w:num w:numId="6">
    <w:abstractNumId w:val="6"/>
  </w:num>
  <w:num w:numId="7">
    <w:abstractNumId w:val="5"/>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68E"/>
    <w:rsid w:val="0003468E"/>
    <w:rsid w:val="00147B9E"/>
    <w:rsid w:val="002D0477"/>
    <w:rsid w:val="006553DB"/>
    <w:rsid w:val="00BD186D"/>
    <w:rsid w:val="00EA11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BE038F-2647-4E76-BA6B-B8428BB70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pPr>
      <w:keepNext/>
      <w:spacing w:before="240" w:after="60"/>
      <w:outlineLvl w:val="0"/>
    </w:pPr>
    <w:rPr>
      <w:rFonts w:ascii="Cambria" w:eastAsia="Times New Roman" w:hAnsi="Cambria"/>
      <w:b/>
      <w:bCs/>
      <w:sz w:val="32"/>
      <w:szCs w:val="32"/>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semiHidden/>
    <w:unhideWhenUsed/>
    <w:qFormat/>
    <w:pPr>
      <w:keepNext/>
      <w:spacing w:before="240" w:after="60"/>
      <w:outlineLvl w:val="2"/>
    </w:pPr>
    <w:rPr>
      <w:rFonts w:ascii="Cambria" w:eastAsia="Times New Roman" w:hAnsi="Cambria"/>
      <w:b/>
      <w:bCs/>
      <w:sz w:val="26"/>
      <w:szCs w:val="26"/>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character" w:customStyle="1" w:styleId="Heading1Char">
    <w:name w:val="Heading 1 Char"/>
    <w:uiPriority w:val="9"/>
    <w:qFormat/>
    <w:rPr>
      <w:rFonts w:ascii="Arial" w:eastAsia="Arial" w:hAnsi="Arial" w:cs="Arial"/>
      <w:sz w:val="40"/>
      <w:szCs w:val="40"/>
    </w:rPr>
  </w:style>
  <w:style w:type="character" w:customStyle="1" w:styleId="20">
    <w:name w:val="Заголовок 2 Знак"/>
    <w:link w:val="2"/>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40">
    <w:name w:val="Заголовок 4 Знак"/>
    <w:link w:val="4"/>
    <w:uiPriority w:val="9"/>
    <w:qFormat/>
    <w:rPr>
      <w:rFonts w:ascii="Arial" w:eastAsia="Arial" w:hAnsi="Arial" w:cs="Arial"/>
      <w:b/>
      <w:bCs/>
      <w:sz w:val="26"/>
      <w:szCs w:val="26"/>
    </w:rPr>
  </w:style>
  <w:style w:type="character" w:customStyle="1" w:styleId="50">
    <w:name w:val="Заголовок 5 Знак"/>
    <w:link w:val="5"/>
    <w:uiPriority w:val="9"/>
    <w:qFormat/>
    <w:rPr>
      <w:rFonts w:ascii="Arial" w:eastAsia="Arial" w:hAnsi="Arial" w:cs="Arial"/>
      <w:b/>
      <w:bCs/>
      <w:sz w:val="24"/>
      <w:szCs w:val="24"/>
    </w:rPr>
  </w:style>
  <w:style w:type="character" w:customStyle="1" w:styleId="60">
    <w:name w:val="Заголовок 6 Знак"/>
    <w:link w:val="6"/>
    <w:uiPriority w:val="9"/>
    <w:qFormat/>
    <w:rPr>
      <w:rFonts w:ascii="Arial" w:eastAsia="Arial" w:hAnsi="Arial" w:cs="Arial"/>
      <w:b/>
      <w:bCs/>
      <w:sz w:val="22"/>
      <w:szCs w:val="22"/>
    </w:rPr>
  </w:style>
  <w:style w:type="character" w:customStyle="1" w:styleId="70">
    <w:name w:val="Заголовок 7 Знак"/>
    <w:link w:val="7"/>
    <w:uiPriority w:val="9"/>
    <w:qFormat/>
    <w:rPr>
      <w:rFonts w:ascii="Arial" w:eastAsia="Arial" w:hAnsi="Arial" w:cs="Arial"/>
      <w:b/>
      <w:bCs/>
      <w:i/>
      <w:iCs/>
      <w:sz w:val="22"/>
      <w:szCs w:val="22"/>
    </w:rPr>
  </w:style>
  <w:style w:type="character" w:customStyle="1" w:styleId="80">
    <w:name w:val="Заголовок 8 Знак"/>
    <w:link w:val="8"/>
    <w:uiPriority w:val="9"/>
    <w:qFormat/>
    <w:rPr>
      <w:rFonts w:ascii="Arial" w:eastAsia="Arial" w:hAnsi="Arial" w:cs="Arial"/>
      <w:i/>
      <w:iCs/>
      <w:sz w:val="22"/>
      <w:szCs w:val="22"/>
    </w:rPr>
  </w:style>
  <w:style w:type="character" w:customStyle="1" w:styleId="90">
    <w:name w:val="Заголовок 9 Знак"/>
    <w:link w:val="9"/>
    <w:uiPriority w:val="9"/>
    <w:qFormat/>
    <w:rPr>
      <w:rFonts w:ascii="Arial" w:eastAsia="Arial" w:hAnsi="Arial" w:cs="Arial"/>
      <w:i/>
      <w:iCs/>
      <w:sz w:val="21"/>
      <w:szCs w:val="21"/>
    </w:rPr>
  </w:style>
  <w:style w:type="character" w:customStyle="1" w:styleId="a3">
    <w:name w:val="Заголовок Знак"/>
    <w:link w:val="a4"/>
    <w:uiPriority w:val="10"/>
    <w:qFormat/>
    <w:rPr>
      <w:sz w:val="48"/>
      <w:szCs w:val="48"/>
    </w:rPr>
  </w:style>
  <w:style w:type="character" w:customStyle="1" w:styleId="a5">
    <w:name w:val="Подзаголовок Знак"/>
    <w:link w:val="a6"/>
    <w:uiPriority w:val="11"/>
    <w:qFormat/>
    <w:rPr>
      <w:sz w:val="24"/>
      <w:szCs w:val="24"/>
    </w:rPr>
  </w:style>
  <w:style w:type="character" w:customStyle="1" w:styleId="21">
    <w:name w:val="Цитата 2 Знак"/>
    <w:link w:val="22"/>
    <w:uiPriority w:val="29"/>
    <w:qFormat/>
    <w:rPr>
      <w:i/>
    </w:rPr>
  </w:style>
  <w:style w:type="character" w:customStyle="1" w:styleId="a7">
    <w:name w:val="Выделенная цитата Знак"/>
    <w:link w:val="a8"/>
    <w:uiPriority w:val="30"/>
    <w:qFormat/>
    <w:rPr>
      <w:i/>
    </w:rPr>
  </w:style>
  <w:style w:type="character" w:customStyle="1" w:styleId="a9">
    <w:name w:val="Верхний колонтитул Знак"/>
    <w:link w:val="aa"/>
    <w:uiPriority w:val="99"/>
    <w:qFormat/>
  </w:style>
  <w:style w:type="character" w:customStyle="1" w:styleId="ab">
    <w:name w:val="Нижний колонтитул Знак"/>
    <w:link w:val="ac"/>
    <w:uiPriority w:val="99"/>
    <w:qFormat/>
  </w:style>
  <w:style w:type="character" w:customStyle="1" w:styleId="ad">
    <w:name w:val="Название объекта Знак"/>
    <w:link w:val="ae"/>
    <w:uiPriority w:val="35"/>
    <w:qFormat/>
    <w:rPr>
      <w:b/>
      <w:bCs/>
      <w:color w:val="4F81BD" w:themeColor="accent1"/>
      <w:sz w:val="18"/>
      <w:szCs w:val="18"/>
    </w:rPr>
  </w:style>
  <w:style w:type="character" w:styleId="af">
    <w:name w:val="Hyperlink"/>
    <w:uiPriority w:val="99"/>
    <w:unhideWhenUsed/>
    <w:qFormat/>
    <w:rPr>
      <w:color w:val="0000FF"/>
      <w:u w:val="single"/>
    </w:rPr>
  </w:style>
  <w:style w:type="character" w:customStyle="1" w:styleId="af0">
    <w:name w:val="Текст сноски Знак"/>
    <w:link w:val="af1"/>
    <w:uiPriority w:val="99"/>
    <w:qFormat/>
    <w:rPr>
      <w:sz w:val="18"/>
    </w:rPr>
  </w:style>
  <w:style w:type="character" w:customStyle="1" w:styleId="af2">
    <w:name w:val="Символ сноски"/>
    <w:uiPriority w:val="99"/>
    <w:unhideWhenUsed/>
    <w:qFormat/>
    <w:rPr>
      <w:vertAlign w:val="superscript"/>
    </w:rPr>
  </w:style>
  <w:style w:type="character" w:styleId="af3">
    <w:name w:val="footnote reference"/>
    <w:rPr>
      <w:vertAlign w:val="superscript"/>
    </w:rPr>
  </w:style>
  <w:style w:type="character" w:customStyle="1" w:styleId="af4">
    <w:name w:val="Текст концевой сноски Знак"/>
    <w:link w:val="af5"/>
    <w:uiPriority w:val="99"/>
    <w:qFormat/>
    <w:rPr>
      <w:sz w:val="20"/>
    </w:rPr>
  </w:style>
  <w:style w:type="character" w:customStyle="1" w:styleId="af6">
    <w:name w:val="Символ концевой сноски"/>
    <w:uiPriority w:val="99"/>
    <w:semiHidden/>
    <w:unhideWhenUsed/>
    <w:qFormat/>
    <w:rPr>
      <w:vertAlign w:val="superscript"/>
    </w:rPr>
  </w:style>
  <w:style w:type="character" w:styleId="af7">
    <w:name w:val="endnote reference"/>
    <w:rPr>
      <w:vertAlign w:val="superscript"/>
    </w:rPr>
  </w:style>
  <w:style w:type="character" w:styleId="af8">
    <w:name w:val="annotation reference"/>
    <w:uiPriority w:val="99"/>
    <w:semiHidden/>
    <w:unhideWhenUsed/>
    <w:qFormat/>
    <w:rPr>
      <w:sz w:val="16"/>
      <w:szCs w:val="16"/>
    </w:rPr>
  </w:style>
  <w:style w:type="character" w:customStyle="1" w:styleId="af9">
    <w:name w:val="Текст примечания Знак"/>
    <w:link w:val="afa"/>
    <w:uiPriority w:val="99"/>
    <w:qFormat/>
    <w:rPr>
      <w:lang w:eastAsia="en-US"/>
    </w:rPr>
  </w:style>
  <w:style w:type="character" w:customStyle="1" w:styleId="afb">
    <w:name w:val="Тема примечания Знак"/>
    <w:link w:val="afc"/>
    <w:uiPriority w:val="99"/>
    <w:semiHidden/>
    <w:qFormat/>
    <w:rPr>
      <w:b/>
      <w:bCs/>
      <w:lang w:eastAsia="en-US"/>
    </w:rPr>
  </w:style>
  <w:style w:type="character" w:customStyle="1" w:styleId="afd">
    <w:name w:val="Текст выноски Знак"/>
    <w:link w:val="afe"/>
    <w:uiPriority w:val="99"/>
    <w:semiHidden/>
    <w:qFormat/>
    <w:rPr>
      <w:rFonts w:ascii="Tahoma" w:hAnsi="Tahoma" w:cs="Tahoma"/>
      <w:sz w:val="16"/>
      <w:szCs w:val="16"/>
      <w:lang w:eastAsia="en-US"/>
    </w:rPr>
  </w:style>
  <w:style w:type="character" w:customStyle="1" w:styleId="10">
    <w:name w:val="Заголовок 1 Знак"/>
    <w:link w:val="1"/>
    <w:uiPriority w:val="9"/>
    <w:qFormat/>
    <w:rPr>
      <w:rFonts w:ascii="Cambria" w:eastAsia="Times New Roman" w:hAnsi="Cambria" w:cs="Times New Roman"/>
      <w:b/>
      <w:bCs/>
      <w:sz w:val="32"/>
      <w:szCs w:val="32"/>
      <w:lang w:eastAsia="en-US"/>
    </w:rPr>
  </w:style>
  <w:style w:type="character" w:styleId="aff">
    <w:name w:val="Subtle Emphasis"/>
    <w:uiPriority w:val="19"/>
    <w:qFormat/>
    <w:rPr>
      <w:i/>
      <w:iCs/>
      <w:color w:val="808080"/>
    </w:rPr>
  </w:style>
  <w:style w:type="character" w:customStyle="1" w:styleId="30">
    <w:name w:val="Заголовок 3 Знак"/>
    <w:link w:val="3"/>
    <w:uiPriority w:val="9"/>
    <w:semiHidden/>
    <w:qFormat/>
    <w:rPr>
      <w:rFonts w:ascii="Cambria" w:eastAsia="Times New Roman" w:hAnsi="Cambria" w:cs="Times New Roman"/>
      <w:b/>
      <w:bCs/>
      <w:sz w:val="26"/>
      <w:szCs w:val="26"/>
      <w:lang w:eastAsia="en-US"/>
    </w:rPr>
  </w:style>
  <w:style w:type="paragraph" w:styleId="a4">
    <w:name w:val="Title"/>
    <w:basedOn w:val="a"/>
    <w:next w:val="aff0"/>
    <w:link w:val="a3"/>
    <w:uiPriority w:val="10"/>
    <w:qFormat/>
    <w:pPr>
      <w:spacing w:before="300"/>
      <w:contextualSpacing/>
    </w:pPr>
    <w:rPr>
      <w:sz w:val="48"/>
      <w:szCs w:val="48"/>
    </w:rPr>
  </w:style>
  <w:style w:type="paragraph" w:styleId="aff0">
    <w:name w:val="Body Text"/>
    <w:basedOn w:val="a"/>
    <w:pPr>
      <w:spacing w:after="140"/>
    </w:pPr>
  </w:style>
  <w:style w:type="paragraph" w:styleId="aff1">
    <w:name w:val="List"/>
    <w:basedOn w:val="aff0"/>
    <w:rPr>
      <w:rFonts w:ascii="PT Astra Serif" w:hAnsi="PT Astra Serif" w:cs="Noto Sans Devanagari"/>
    </w:rPr>
  </w:style>
  <w:style w:type="paragraph" w:styleId="ae">
    <w:name w:val="caption"/>
    <w:basedOn w:val="a"/>
    <w:next w:val="a"/>
    <w:link w:val="ad"/>
    <w:uiPriority w:val="35"/>
    <w:semiHidden/>
    <w:unhideWhenUsed/>
    <w:qFormat/>
    <w:rPr>
      <w:b/>
      <w:bCs/>
      <w:color w:val="4F81BD" w:themeColor="accent1"/>
      <w:sz w:val="18"/>
      <w:szCs w:val="18"/>
    </w:rPr>
  </w:style>
  <w:style w:type="paragraph" w:styleId="aff2">
    <w:name w:val="index heading"/>
    <w:basedOn w:val="a4"/>
  </w:style>
  <w:style w:type="paragraph" w:styleId="aff3">
    <w:name w:val="List Paragraph"/>
    <w:basedOn w:val="a"/>
    <w:uiPriority w:val="34"/>
    <w:qFormat/>
    <w:pPr>
      <w:spacing w:after="0"/>
      <w:ind w:left="720"/>
      <w:contextualSpacing/>
    </w:pPr>
  </w:style>
  <w:style w:type="paragraph" w:styleId="aff4">
    <w:name w:val="No Spacing"/>
    <w:uiPriority w:val="1"/>
    <w:qFormat/>
    <w:rPr>
      <w:sz w:val="22"/>
      <w:szCs w:val="22"/>
      <w:lang w:eastAsia="en-US"/>
    </w:rPr>
  </w:style>
  <w:style w:type="paragraph" w:styleId="a6">
    <w:name w:val="Subtitle"/>
    <w:basedOn w:val="a"/>
    <w:next w:val="a"/>
    <w:link w:val="a5"/>
    <w:uiPriority w:val="11"/>
    <w:qFormat/>
    <w:pPr>
      <w:spacing w:before="200"/>
    </w:pPr>
    <w:rPr>
      <w:sz w:val="24"/>
      <w:szCs w:val="24"/>
    </w:rPr>
  </w:style>
  <w:style w:type="paragraph" w:styleId="22">
    <w:name w:val="Quote"/>
    <w:basedOn w:val="a"/>
    <w:next w:val="a"/>
    <w:link w:val="21"/>
    <w:uiPriority w:val="29"/>
    <w:qFormat/>
    <w:pPr>
      <w:ind w:left="720" w:right="720"/>
    </w:pPr>
    <w:rPr>
      <w:i/>
    </w:rPr>
  </w:style>
  <w:style w:type="paragraph" w:styleId="a8">
    <w:name w:val="Intense Quote"/>
    <w:basedOn w:val="a"/>
    <w:next w:val="a"/>
    <w:link w:val="a7"/>
    <w:uiPriority w:val="30"/>
    <w:qFormat/>
    <w:pPr>
      <w:pBdr>
        <w:top w:val="single" w:sz="4" w:space="5" w:color="FFFFFF"/>
        <w:left w:val="single" w:sz="4" w:space="10" w:color="FFFFFF"/>
        <w:bottom w:val="single" w:sz="4" w:space="5" w:color="FFFFFF"/>
        <w:right w:val="single" w:sz="4" w:space="10" w:color="FFFFFF"/>
      </w:pBdr>
      <w:shd w:val="clear" w:color="auto" w:fill="F2F2F2"/>
      <w:spacing w:after="0"/>
      <w:ind w:left="720" w:right="720"/>
    </w:pPr>
    <w:rPr>
      <w:i/>
    </w:rPr>
  </w:style>
  <w:style w:type="paragraph" w:customStyle="1" w:styleId="aff5">
    <w:name w:val="Колонтитул"/>
    <w:basedOn w:val="a"/>
    <w:qFormat/>
  </w:style>
  <w:style w:type="paragraph" w:styleId="aa">
    <w:name w:val="header"/>
    <w:basedOn w:val="a"/>
    <w:link w:val="a9"/>
    <w:uiPriority w:val="99"/>
    <w:unhideWhenUsed/>
    <w:pPr>
      <w:tabs>
        <w:tab w:val="center" w:pos="7143"/>
        <w:tab w:val="right" w:pos="14287"/>
      </w:tabs>
      <w:spacing w:after="0" w:line="240" w:lineRule="auto"/>
    </w:pPr>
  </w:style>
  <w:style w:type="paragraph" w:styleId="ac">
    <w:name w:val="footer"/>
    <w:basedOn w:val="a"/>
    <w:link w:val="ab"/>
    <w:uiPriority w:val="99"/>
    <w:unhideWhenUsed/>
    <w:pPr>
      <w:tabs>
        <w:tab w:val="center" w:pos="7143"/>
        <w:tab w:val="right" w:pos="14287"/>
      </w:tabs>
      <w:spacing w:after="0" w:line="240" w:lineRule="auto"/>
    </w:pPr>
  </w:style>
  <w:style w:type="paragraph" w:styleId="af1">
    <w:name w:val="footnote text"/>
    <w:basedOn w:val="a"/>
    <w:link w:val="af0"/>
    <w:uiPriority w:val="99"/>
    <w:semiHidden/>
    <w:unhideWhenUsed/>
    <w:pPr>
      <w:spacing w:after="40" w:line="240" w:lineRule="auto"/>
    </w:pPr>
    <w:rPr>
      <w:sz w:val="18"/>
    </w:rPr>
  </w:style>
  <w:style w:type="paragraph" w:styleId="af5">
    <w:name w:val="endnote text"/>
    <w:basedOn w:val="a"/>
    <w:link w:val="af4"/>
    <w:uiPriority w:val="99"/>
    <w:semiHidden/>
    <w:unhideWhenUsed/>
    <w:pPr>
      <w:spacing w:after="0" w:line="240" w:lineRule="auto"/>
    </w:pPr>
    <w:rPr>
      <w:sz w:val="20"/>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aff6">
    <w:name w:val="TOC Heading"/>
    <w:uiPriority w:val="39"/>
    <w:unhideWhenUsed/>
  </w:style>
  <w:style w:type="paragraph" w:styleId="aff7">
    <w:name w:val="table of figures"/>
    <w:basedOn w:val="a"/>
    <w:next w:val="a"/>
    <w:uiPriority w:val="99"/>
    <w:unhideWhenUsed/>
    <w:qFormat/>
    <w:pPr>
      <w:spacing w:after="0"/>
    </w:pPr>
  </w:style>
  <w:style w:type="paragraph" w:styleId="afa">
    <w:name w:val="annotation text"/>
    <w:basedOn w:val="a"/>
    <w:link w:val="af9"/>
    <w:uiPriority w:val="99"/>
    <w:unhideWhenUsed/>
    <w:qFormat/>
    <w:rPr>
      <w:sz w:val="20"/>
      <w:szCs w:val="20"/>
    </w:rPr>
  </w:style>
  <w:style w:type="paragraph" w:styleId="afc">
    <w:name w:val="annotation subject"/>
    <w:basedOn w:val="afa"/>
    <w:next w:val="afa"/>
    <w:link w:val="afb"/>
    <w:uiPriority w:val="99"/>
    <w:semiHidden/>
    <w:unhideWhenUsed/>
    <w:qFormat/>
    <w:rPr>
      <w:b/>
      <w:bCs/>
    </w:rPr>
  </w:style>
  <w:style w:type="paragraph" w:styleId="afe">
    <w:name w:val="Balloon Text"/>
    <w:basedOn w:val="a"/>
    <w:link w:val="afd"/>
    <w:uiPriority w:val="99"/>
    <w:semiHidden/>
    <w:unhideWhenUsed/>
    <w:qFormat/>
    <w:pPr>
      <w:spacing w:after="0" w:line="240" w:lineRule="auto"/>
    </w:pPr>
    <w:rPr>
      <w:rFonts w:ascii="Tahoma" w:hAnsi="Tahoma" w:cs="Tahoma"/>
      <w:sz w:val="16"/>
      <w:szCs w:val="16"/>
    </w:rPr>
  </w:style>
  <w:style w:type="paragraph" w:styleId="aff8">
    <w:name w:val="Normal (Web)"/>
    <w:basedOn w:val="a"/>
    <w:unhideWhenUsed/>
    <w:qFormat/>
    <w:pPr>
      <w:spacing w:beforeAutospacing="1" w:afterAutospacing="1" w:line="240" w:lineRule="auto"/>
      <w:ind w:firstLine="709"/>
      <w:jc w:val="both"/>
    </w:pPr>
    <w:rPr>
      <w:rFonts w:ascii="Times New Roman" w:eastAsia="Times New Roman" w:hAnsi="Times New Roman"/>
      <w:sz w:val="24"/>
      <w:szCs w:val="24"/>
      <w:lang w:eastAsia="ru-RU"/>
    </w:rPr>
  </w:style>
  <w:style w:type="paragraph" w:customStyle="1" w:styleId="ConsPlusNormal">
    <w:name w:val="ConsPlusNormal"/>
    <w:qFormat/>
    <w:pPr>
      <w:widowControl w:val="0"/>
    </w:pPr>
    <w:rPr>
      <w:rFonts w:ascii="Times New Roman" w:eastAsia="Times New Roman" w:hAnsi="Times New Roman"/>
      <w:sz w:val="24"/>
      <w:szCs w:val="24"/>
      <w:lang w:eastAsia="ru-RU"/>
    </w:rPr>
  </w:style>
  <w:style w:type="table" w:styleId="aff9">
    <w:name w:val="Table Grid"/>
    <w:basedOn w:val="a1"/>
    <w:uiPriority w:val="59"/>
    <w:tblPr/>
  </w:style>
  <w:style w:type="table" w:customStyle="1" w:styleId="TableGridLight">
    <w:name w:val="Table Grid Light"/>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2">
    <w:name w:val="Plain Table 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FFFFFF" w:fill="FFFFFF" w:themeFill="text1" w:themeFillTint="00"/>
      </w:tcPr>
    </w:tblStylePr>
    <w:tblStylePr w:type="band1Horz">
      <w:tblPr/>
      <w:tcPr>
        <w:shd w:val="clear" w:color="FFFFFF" w:fill="FFFFFF" w:themeFill="text1" w:themeFillTint="00"/>
      </w:tcPr>
    </w:tblStylePr>
  </w:style>
  <w:style w:type="table" w:styleId="24">
    <w:name w:val="Plain Table 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uiPriority w:val="99"/>
    <w:tblPr>
      <w:tblStyleRowBandSize w:val="1"/>
      <w:tblStyleColBandSize w:val="1"/>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FFFFFF" w:fill="FFFFFF" w:themeFill="text1" w:themeFillTint="00"/>
      </w:tcPr>
    </w:tblStylePr>
    <w:tblStylePr w:type="band1Horz">
      <w:rPr>
        <w:color w:val="404040"/>
        <w:sz w:val="22"/>
      </w:rPr>
      <w:tblPr/>
      <w:tcPr>
        <w:shd w:val="clear" w:color="FFFFFF" w:fill="FFFFFF" w:themeFill="text1" w:themeFillTint="00"/>
      </w:tcPr>
    </w:tblStylePr>
  </w:style>
  <w:style w:type="table" w:styleId="42">
    <w:name w:val="Plain Table 4"/>
    <w:uiPriority w:val="99"/>
    <w:tblPr>
      <w:tblStyleRowBandSize w:val="1"/>
      <w:tblStyleColBandSize w:val="1"/>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FFFFFF" w:themeFill="text1" w:themeFillTint="00"/>
      </w:tcPr>
    </w:tblStylePr>
    <w:tblStylePr w:type="band1Horz">
      <w:rPr>
        <w:color w:val="404040"/>
        <w:sz w:val="22"/>
      </w:rPr>
      <w:tblPr/>
      <w:tcPr>
        <w:shd w:val="clear" w:color="FFFFFF" w:fill="FFFFFF" w:themeFill="text1" w:themeFillTint="00"/>
      </w:tcPr>
    </w:tblStylePr>
  </w:style>
  <w:style w:type="table" w:styleId="52">
    <w:name w:val="Plain Table 5"/>
    <w:uiPriority w:val="99"/>
    <w:tblPr>
      <w:tblStyleRowBandSize w:val="1"/>
      <w:tblStyleColBandSize w:val="1"/>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color w:val="404040"/>
        <w:sz w:val="22"/>
      </w:rPr>
      <w:tblPr/>
      <w:tcPr>
        <w:shd w:val="clear" w:color="FFFFFF" w:fill="FFFFFF" w:themeFill="text1" w:themeFillTint="00"/>
      </w:tcPr>
    </w:tblStylePr>
    <w:tblStylePr w:type="band1Horz">
      <w:rPr>
        <w:color w:val="404040"/>
        <w:sz w:val="22"/>
      </w:rPr>
      <w:tblPr/>
      <w:tcPr>
        <w:shd w:val="clear" w:color="FFFFFF" w:fill="FFFFFF" w:themeFill="text1" w:themeFillTint="00"/>
      </w:tcPr>
    </w:tblStylePr>
  </w:style>
  <w:style w:type="table" w:styleId="-1">
    <w:name w:val="Grid Table 1 Light"/>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2">
    <w:name w:val="Grid Table 2"/>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CBCBCB" w:themeFill="text1" w:themeFillTint="34"/>
      </w:tcPr>
    </w:tblStylePr>
    <w:tblStylePr w:type="band1Horz">
      <w:rPr>
        <w:color w:val="404040"/>
        <w:sz w:val="22"/>
      </w:rPr>
      <w:tblPr/>
      <w:tcPr>
        <w:shd w:val="clear" w:color="FFFFFF" w:fill="CBCBCB" w:themeFill="text1" w:themeFillTint="34"/>
      </w:tcPr>
    </w:tblStylePr>
  </w:style>
  <w:style w:type="table" w:customStyle="1" w:styleId="GridTable2-Accent1">
    <w:name w:val="Grid Table 2 - Accent 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DAE5F1" w:themeFill="accent1" w:themeFillTint="34"/>
      </w:tcPr>
    </w:tblStylePr>
    <w:tblStylePr w:type="band1Horz">
      <w:rPr>
        <w:color w:val="404040"/>
        <w:sz w:val="22"/>
      </w:rPr>
      <w:tblPr/>
      <w:tcPr>
        <w:shd w:val="clear" w:color="FFFFFF" w:fill="DAE5F1" w:themeFill="accent1" w:themeFillTint="34"/>
      </w:tcPr>
    </w:tblStylePr>
  </w:style>
  <w:style w:type="table" w:customStyle="1" w:styleId="GridTable2-Accent2">
    <w:name w:val="Grid Table 2 - Accent 2"/>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F2DCDC" w:themeFill="accent2" w:themeFillTint="32"/>
      </w:tcPr>
    </w:tblStylePr>
    <w:tblStylePr w:type="band1Horz">
      <w:rPr>
        <w:color w:val="404040"/>
        <w:sz w:val="22"/>
      </w:rPr>
      <w:tblPr/>
      <w:tcPr>
        <w:shd w:val="clear" w:color="FFFFFF" w:fill="F2DCDC" w:themeFill="accent2" w:themeFillTint="32"/>
      </w:tcPr>
    </w:tblStylePr>
  </w:style>
  <w:style w:type="table" w:customStyle="1" w:styleId="GridTable2-Accent3">
    <w:name w:val="Grid Table 2 - Accent 3"/>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EAF1DC" w:themeFill="accent3" w:themeFillTint="34"/>
      </w:tcPr>
    </w:tblStylePr>
    <w:tblStylePr w:type="band1Horz">
      <w:rPr>
        <w:color w:val="404040"/>
        <w:sz w:val="22"/>
      </w:rPr>
      <w:tblPr/>
      <w:tcPr>
        <w:shd w:val="clear" w:color="FFFFFF" w:fill="EAF1DC" w:themeFill="accent3" w:themeFillTint="34"/>
      </w:tcPr>
    </w:tblStylePr>
  </w:style>
  <w:style w:type="table" w:customStyle="1" w:styleId="GridTable2-Accent4">
    <w:name w:val="Grid Table 2 - Accent 4"/>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E5DFEC" w:themeFill="accent4" w:themeFillTint="34"/>
      </w:tcPr>
    </w:tblStylePr>
    <w:tblStylePr w:type="band1Horz">
      <w:rPr>
        <w:color w:val="404040"/>
        <w:sz w:val="22"/>
      </w:rPr>
      <w:tblPr/>
      <w:tcPr>
        <w:shd w:val="clear" w:color="FFFFFF" w:fill="E5DFEC" w:themeFill="accent4" w:themeFillTint="34"/>
      </w:tcPr>
    </w:tblStylePr>
  </w:style>
  <w:style w:type="table" w:customStyle="1" w:styleId="GridTable2-Accent5">
    <w:name w:val="Grid Table 2 - Accent 5"/>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DAEEF3" w:themeFill="accent5" w:themeFillTint="34"/>
      </w:tcPr>
    </w:tblStylePr>
    <w:tblStylePr w:type="band1Horz">
      <w:rPr>
        <w:color w:val="404040"/>
        <w:sz w:val="22"/>
      </w:rPr>
      <w:tblPr/>
      <w:tcPr>
        <w:shd w:val="clear" w:color="FFFFFF" w:fill="DAEEF3" w:themeFill="accent5" w:themeFillTint="34"/>
      </w:tcPr>
    </w:tblStylePr>
  </w:style>
  <w:style w:type="table" w:customStyle="1" w:styleId="GridTable2-Accent6">
    <w:name w:val="Grid Table 2 - Accent 6"/>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FFF" w:fill="FDE9D8" w:themeFill="accent6" w:themeFillTint="34"/>
      </w:tcPr>
    </w:tblStylePr>
    <w:tblStylePr w:type="band1Horz">
      <w:rPr>
        <w:color w:val="404040"/>
        <w:sz w:val="22"/>
      </w:rPr>
      <w:tblPr/>
      <w:tcPr>
        <w:shd w:val="clear" w:color="FFFFFF" w:fill="FDE9D8" w:themeFill="accent6" w:themeFillTint="34"/>
      </w:tcPr>
    </w:tblStylePr>
  </w:style>
  <w:style w:type="table" w:styleId="-3">
    <w:name w:val="Grid Table 3"/>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CBCBCB" w:themeFill="text1" w:themeFillTint="34"/>
      </w:tcPr>
    </w:tblStylePr>
    <w:tblStylePr w:type="band1Horz">
      <w:rPr>
        <w:color w:val="404040"/>
        <w:sz w:val="22"/>
      </w:rPr>
      <w:tblPr/>
      <w:tcPr>
        <w:shd w:val="clear" w:color="FFFFFF" w:fill="CBCBCB" w:themeFill="text1" w:themeFillTint="34"/>
      </w:tcPr>
    </w:tblStylePr>
  </w:style>
  <w:style w:type="table" w:customStyle="1" w:styleId="GridTable3-Accent1">
    <w:name w:val="Grid Table 3 - Accent 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DAE5F1" w:themeFill="accent1" w:themeFillTint="34"/>
      </w:tcPr>
    </w:tblStylePr>
    <w:tblStylePr w:type="band1Horz">
      <w:rPr>
        <w:color w:val="404040"/>
        <w:sz w:val="22"/>
      </w:rPr>
      <w:tblPr/>
      <w:tcPr>
        <w:shd w:val="clear" w:color="FFFFFF" w:fill="DAE5F1" w:themeFill="accent1" w:themeFillTint="34"/>
      </w:tcPr>
    </w:tblStylePr>
  </w:style>
  <w:style w:type="table" w:customStyle="1" w:styleId="GridTable3-Accent2">
    <w:name w:val="Grid Table 3 - Accent 2"/>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F2DCDC" w:themeFill="accent2" w:themeFillTint="32"/>
      </w:tcPr>
    </w:tblStylePr>
    <w:tblStylePr w:type="band1Horz">
      <w:rPr>
        <w:color w:val="404040"/>
        <w:sz w:val="22"/>
      </w:rPr>
      <w:tblPr/>
      <w:tcPr>
        <w:shd w:val="clear" w:color="FFFFFF" w:fill="F2DCDC" w:themeFill="accent2" w:themeFillTint="32"/>
      </w:tcPr>
    </w:tblStylePr>
  </w:style>
  <w:style w:type="table" w:customStyle="1" w:styleId="GridTable3-Accent3">
    <w:name w:val="Grid Table 3 - Accent 3"/>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EAF1DC" w:themeFill="accent3" w:themeFillTint="34"/>
      </w:tcPr>
    </w:tblStylePr>
    <w:tblStylePr w:type="band1Horz">
      <w:rPr>
        <w:color w:val="404040"/>
        <w:sz w:val="22"/>
      </w:rPr>
      <w:tblPr/>
      <w:tcPr>
        <w:shd w:val="clear" w:color="FFFFFF" w:fill="EAF1DC" w:themeFill="accent3" w:themeFillTint="34"/>
      </w:tcPr>
    </w:tblStylePr>
  </w:style>
  <w:style w:type="table" w:customStyle="1" w:styleId="GridTable3-Accent4">
    <w:name w:val="Grid Table 3 - Accent 4"/>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E5DFEC" w:themeFill="accent4" w:themeFillTint="34"/>
      </w:tcPr>
    </w:tblStylePr>
    <w:tblStylePr w:type="band1Horz">
      <w:rPr>
        <w:color w:val="404040"/>
        <w:sz w:val="22"/>
      </w:rPr>
      <w:tblPr/>
      <w:tcPr>
        <w:shd w:val="clear" w:color="FFFFFF" w:fill="E5DFEC" w:themeFill="accent4" w:themeFillTint="34"/>
      </w:tcPr>
    </w:tblStylePr>
  </w:style>
  <w:style w:type="table" w:customStyle="1" w:styleId="GridTable3-Accent5">
    <w:name w:val="Grid Table 3 - Accent 5"/>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DAEEF3" w:themeFill="accent5" w:themeFillTint="34"/>
      </w:tcPr>
    </w:tblStylePr>
    <w:tblStylePr w:type="band1Horz">
      <w:rPr>
        <w:color w:val="404040"/>
        <w:sz w:val="22"/>
      </w:rPr>
      <w:tblPr/>
      <w:tcPr>
        <w:shd w:val="clear" w:color="FFFFFF" w:fill="DAEEF3" w:themeFill="accent5" w:themeFillTint="34"/>
      </w:tcPr>
    </w:tblStylePr>
  </w:style>
  <w:style w:type="table" w:customStyle="1" w:styleId="GridTable3-Accent6">
    <w:name w:val="Grid Table 3 - Accent 6"/>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FFF" w:fill="FDE9D8" w:themeFill="accent6" w:themeFillTint="34"/>
      </w:tcPr>
    </w:tblStylePr>
    <w:tblStylePr w:type="band1Horz">
      <w:rPr>
        <w:color w:val="404040"/>
        <w:sz w:val="22"/>
      </w:rPr>
      <w:tblPr/>
      <w:tcPr>
        <w:shd w:val="clear" w:color="FFFFFF" w:fill="FDE9D8" w:themeFill="accent6" w:themeFillTint="34"/>
      </w:tcPr>
    </w:tblStylePr>
  </w:style>
  <w:style w:type="table" w:styleId="-4">
    <w:name w:val="Grid Table 4"/>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FFFFFF" w:fill="CBCBCB" w:themeFill="text1" w:themeFillTint="34"/>
      </w:tcPr>
    </w:tblStylePr>
    <w:tblStylePr w:type="band1Horz">
      <w:rPr>
        <w:color w:val="404040"/>
        <w:sz w:val="22"/>
      </w:rPr>
      <w:tblPr/>
      <w:tcPr>
        <w:shd w:val="clear" w:color="FFFFFF" w:fill="CBCBCB" w:themeFill="text1" w:themeFillTint="34"/>
      </w:tcPr>
    </w:tblStylePr>
  </w:style>
  <w:style w:type="table" w:customStyle="1" w:styleId="GridTable4-Accent1">
    <w:name w:val="Grid Table 4 - Accent 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FFFFFF"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FFFFFF" w:fill="DCE6F2" w:themeFill="accent1" w:themeFillTint="32"/>
      </w:tcPr>
    </w:tblStylePr>
    <w:tblStylePr w:type="band1Horz">
      <w:rPr>
        <w:color w:val="404040"/>
        <w:sz w:val="22"/>
      </w:rPr>
      <w:tblPr/>
      <w:tcPr>
        <w:shd w:val="clear" w:color="FFFFFF" w:fill="DCE6F2" w:themeFill="accent1" w:themeFillTint="32"/>
      </w:tcPr>
    </w:tblStylePr>
  </w:style>
  <w:style w:type="table" w:customStyle="1" w:styleId="GridTable4-Accent2">
    <w:name w:val="Grid Table 4 - Accent 2"/>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FFFFFF"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FFFFFF" w:fill="F2DCDC" w:themeFill="accent2" w:themeFillTint="32"/>
      </w:tcPr>
    </w:tblStylePr>
    <w:tblStylePr w:type="band1Horz">
      <w:rPr>
        <w:color w:val="404040"/>
        <w:sz w:val="22"/>
      </w:rPr>
      <w:tblPr/>
      <w:tcPr>
        <w:shd w:val="clear" w:color="FFFFFF" w:fill="F2DCDC" w:themeFill="accent2" w:themeFillTint="32"/>
      </w:tcPr>
    </w:tblStylePr>
  </w:style>
  <w:style w:type="table" w:customStyle="1" w:styleId="GridTable4-Accent3">
    <w:name w:val="Grid Table 4 - Accent 3"/>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FFFFFF"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FFFFFF" w:fill="EAF1DC" w:themeFill="accent3" w:themeFillTint="34"/>
      </w:tcPr>
    </w:tblStylePr>
    <w:tblStylePr w:type="band1Horz">
      <w:rPr>
        <w:color w:val="404040"/>
        <w:sz w:val="22"/>
      </w:rPr>
      <w:tblPr/>
      <w:tcPr>
        <w:shd w:val="clear" w:color="FFFFFF" w:fill="EAF1DC" w:themeFill="accent3" w:themeFillTint="34"/>
      </w:tcPr>
    </w:tblStylePr>
  </w:style>
  <w:style w:type="table" w:customStyle="1" w:styleId="GridTable4-Accent4">
    <w:name w:val="Grid Table 4 - Accent 4"/>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FFFFFF"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FFFFFF" w:fill="E5DFEC" w:themeFill="accent4" w:themeFillTint="34"/>
      </w:tcPr>
    </w:tblStylePr>
    <w:tblStylePr w:type="band1Horz">
      <w:rPr>
        <w:color w:val="404040"/>
        <w:sz w:val="22"/>
      </w:rPr>
      <w:tblPr/>
      <w:tcPr>
        <w:shd w:val="clear" w:color="FFFFFF" w:fill="E5DFEC" w:themeFill="accent4" w:themeFillTint="34"/>
      </w:tcPr>
    </w:tblStylePr>
  </w:style>
  <w:style w:type="table" w:customStyle="1" w:styleId="GridTable4-Accent5">
    <w:name w:val="Grid Table 4 - Accent 5"/>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FFFFFF"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FFFFFF" w:fill="DAEEF3" w:themeFill="accent5" w:themeFillTint="34"/>
      </w:tcPr>
    </w:tblStylePr>
    <w:tblStylePr w:type="band1Horz">
      <w:rPr>
        <w:color w:val="404040"/>
        <w:sz w:val="22"/>
      </w:rPr>
      <w:tblPr/>
      <w:tcPr>
        <w:shd w:val="clear" w:color="FFFFFF" w:fill="DAEEF3" w:themeFill="accent5" w:themeFillTint="34"/>
      </w:tcPr>
    </w:tblStylePr>
  </w:style>
  <w:style w:type="table" w:customStyle="1" w:styleId="GridTable4-Accent6">
    <w:name w:val="Grid Table 4 - Accent 6"/>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FFFFF"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FFFFFF" w:fill="FDE9D8" w:themeFill="accent6" w:themeFillTint="34"/>
      </w:tcPr>
    </w:tblStylePr>
    <w:tblStylePr w:type="band1Horz">
      <w:rPr>
        <w:color w:val="404040"/>
        <w:sz w:val="22"/>
      </w:rPr>
      <w:tblPr/>
      <w:tcPr>
        <w:shd w:val="clear" w:color="FFFFFF" w:fill="FDE9D8" w:themeFill="accent6" w:themeFillTint="34"/>
      </w:tcPr>
    </w:tblStylePr>
  </w:style>
  <w:style w:type="table" w:styleId="-5">
    <w:name w:val="Grid Table 5 Dark"/>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FFFFFF" w:fill="000000" w:themeFill="text1"/>
      </w:tcPr>
    </w:tblStylePr>
    <w:tblStylePr w:type="lastRow">
      <w:rPr>
        <w:b/>
        <w:color w:val="FFFFFF"/>
        <w:sz w:val="22"/>
      </w:rPr>
      <w:tblPr/>
      <w:tcPr>
        <w:tcBorders>
          <w:top w:val="single" w:sz="4" w:space="0" w:color="FFFFFF" w:themeColor="light1"/>
        </w:tcBorders>
        <w:shd w:val="clear" w:color="FFFFFF" w:fill="000000" w:themeFill="text1"/>
      </w:tcPr>
    </w:tblStylePr>
    <w:tblStylePr w:type="firstCol">
      <w:rPr>
        <w:b/>
        <w:color w:val="FFFFFF"/>
        <w:sz w:val="22"/>
      </w:rPr>
      <w:tblPr/>
      <w:tcPr>
        <w:shd w:val="clear" w:color="FFFFFF" w:fill="000000" w:themeFill="text1"/>
      </w:tcPr>
    </w:tblStylePr>
    <w:tblStylePr w:type="lastCol">
      <w:rPr>
        <w:b/>
        <w:color w:val="FFFFFF"/>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GridTable5Dark-Accent1">
    <w:name w:val="Grid Table 5 Dark- Accent 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FFFFFF" w:fill="4F81BD" w:themeFill="accent1"/>
      </w:tcPr>
    </w:tblStylePr>
    <w:tblStylePr w:type="lastRow">
      <w:rPr>
        <w:b/>
        <w:color w:val="FFFFFF"/>
        <w:sz w:val="22"/>
      </w:rPr>
      <w:tblPr/>
      <w:tcPr>
        <w:tcBorders>
          <w:top w:val="single" w:sz="4" w:space="0" w:color="FFFFFF" w:themeColor="light1"/>
        </w:tcBorders>
        <w:shd w:val="clear" w:color="FFFFFF" w:fill="4F81BD" w:themeFill="accent1"/>
      </w:tcPr>
    </w:tblStylePr>
    <w:tblStylePr w:type="firstCol">
      <w:rPr>
        <w:b/>
        <w:color w:val="FFFFFF"/>
        <w:sz w:val="22"/>
      </w:rPr>
      <w:tblPr/>
      <w:tcPr>
        <w:shd w:val="clear" w:color="FFFFFF" w:fill="4F81BD" w:themeFill="accent1"/>
      </w:tcPr>
    </w:tblStylePr>
    <w:tblStylePr w:type="lastCol">
      <w:rPr>
        <w:b/>
        <w:color w:val="FFFFFF"/>
        <w:sz w:val="22"/>
      </w:rPr>
      <w:tblPr/>
      <w:tcPr>
        <w:shd w:val="clear" w:color="FFFFFF" w:fill="4F81BD" w:themeFill="accent1"/>
      </w:tcPr>
    </w:tblStylePr>
    <w:tblStylePr w:type="band1Vert">
      <w:tblPr/>
      <w:tcPr>
        <w:shd w:val="clear" w:color="FFFFFF" w:fill="AEC4E0" w:themeFill="accent1" w:themeFillTint="75"/>
      </w:tcPr>
    </w:tblStylePr>
    <w:tblStylePr w:type="band1Horz">
      <w:tblPr/>
      <w:tcPr>
        <w:shd w:val="clear" w:color="FFFFFF" w:fill="AEC4E0" w:themeFill="accent1" w:themeFillTint="75"/>
      </w:tcPr>
    </w:tblStylePr>
  </w:style>
  <w:style w:type="table" w:customStyle="1" w:styleId="GridTable5Dark-Accent2">
    <w:name w:val="Grid Table 5 Dark - Accent 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FFFFFF" w:fill="C0504D" w:themeFill="accent2"/>
      </w:tcPr>
    </w:tblStylePr>
    <w:tblStylePr w:type="lastRow">
      <w:rPr>
        <w:b/>
        <w:color w:val="FFFFFF"/>
        <w:sz w:val="22"/>
      </w:rPr>
      <w:tblPr/>
      <w:tcPr>
        <w:tcBorders>
          <w:top w:val="single" w:sz="4" w:space="0" w:color="FFFFFF" w:themeColor="light1"/>
        </w:tcBorders>
        <w:shd w:val="clear" w:color="FFFFFF" w:fill="C0504D" w:themeFill="accent2"/>
      </w:tcPr>
    </w:tblStylePr>
    <w:tblStylePr w:type="firstCol">
      <w:rPr>
        <w:b/>
        <w:color w:val="FFFFFF"/>
        <w:sz w:val="22"/>
      </w:rPr>
      <w:tblPr/>
      <w:tcPr>
        <w:shd w:val="clear" w:color="FFFFFF" w:fill="C0504D" w:themeFill="accent2"/>
      </w:tcPr>
    </w:tblStylePr>
    <w:tblStylePr w:type="lastCol">
      <w:rPr>
        <w:b/>
        <w:color w:val="FFFFFF"/>
        <w:sz w:val="22"/>
      </w:rPr>
      <w:tblPr/>
      <w:tcPr>
        <w:shd w:val="clear" w:color="FFFFFF" w:fill="C0504D" w:themeFill="accent2"/>
      </w:tcPr>
    </w:tblStylePr>
    <w:tblStylePr w:type="band1Vert">
      <w:tblPr/>
      <w:tcPr>
        <w:shd w:val="clear" w:color="FFFFFF" w:fill="E2AEAD" w:themeFill="accent2" w:themeFillTint="75"/>
      </w:tcPr>
    </w:tblStylePr>
    <w:tblStylePr w:type="band1Horz">
      <w:tblPr/>
      <w:tcPr>
        <w:shd w:val="clear" w:color="FFFFFF" w:fill="E2AEAD" w:themeFill="accent2" w:themeFillTint="75"/>
      </w:tcPr>
    </w:tblStylePr>
  </w:style>
  <w:style w:type="table" w:customStyle="1" w:styleId="GridTable5Dark-Accent3">
    <w:name w:val="Grid Table 5 Dark - Accent 3"/>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FFFFFF" w:fill="9BBB59" w:themeFill="accent3"/>
      </w:tcPr>
    </w:tblStylePr>
    <w:tblStylePr w:type="lastRow">
      <w:rPr>
        <w:b/>
        <w:color w:val="FFFFFF"/>
        <w:sz w:val="22"/>
      </w:rPr>
      <w:tblPr/>
      <w:tcPr>
        <w:tcBorders>
          <w:top w:val="single" w:sz="4" w:space="0" w:color="FFFFFF" w:themeColor="light1"/>
        </w:tcBorders>
        <w:shd w:val="clear" w:color="FFFFFF" w:fill="9BBB59" w:themeFill="accent3"/>
      </w:tcPr>
    </w:tblStylePr>
    <w:tblStylePr w:type="firstCol">
      <w:rPr>
        <w:b/>
        <w:color w:val="FFFFFF"/>
        <w:sz w:val="22"/>
      </w:rPr>
      <w:tblPr/>
      <w:tcPr>
        <w:shd w:val="clear" w:color="FFFFFF" w:fill="9BBB59" w:themeFill="accent3"/>
      </w:tcPr>
    </w:tblStylePr>
    <w:tblStylePr w:type="lastCol">
      <w:rPr>
        <w:b/>
        <w:color w:val="FFFFFF"/>
        <w:sz w:val="22"/>
      </w:rPr>
      <w:tblPr/>
      <w:tcPr>
        <w:shd w:val="clear" w:color="FFFFFF" w:fill="9BBB59" w:themeFill="accent3"/>
      </w:tcPr>
    </w:tblStylePr>
    <w:tblStylePr w:type="band1Vert">
      <w:tblPr/>
      <w:tcPr>
        <w:shd w:val="clear" w:color="FFFFFF" w:fill="D0DFB2" w:themeFill="accent3" w:themeFillTint="75"/>
      </w:tcPr>
    </w:tblStylePr>
    <w:tblStylePr w:type="band1Horz">
      <w:tblPr/>
      <w:tcPr>
        <w:shd w:val="clear" w:color="FFFFFF" w:fill="D0DFB2" w:themeFill="accent3" w:themeFillTint="75"/>
      </w:tcPr>
    </w:tblStylePr>
  </w:style>
  <w:style w:type="table" w:customStyle="1" w:styleId="GridTable5Dark-Accent4">
    <w:name w:val="Grid Table 5 Dark- Accent 4"/>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FFFFFF" w:fill="8064A2" w:themeFill="accent4"/>
      </w:tcPr>
    </w:tblStylePr>
    <w:tblStylePr w:type="lastRow">
      <w:rPr>
        <w:b/>
        <w:color w:val="FFFFFF"/>
        <w:sz w:val="22"/>
      </w:rPr>
      <w:tblPr/>
      <w:tcPr>
        <w:tcBorders>
          <w:top w:val="single" w:sz="4" w:space="0" w:color="FFFFFF" w:themeColor="light1"/>
        </w:tcBorders>
        <w:shd w:val="clear" w:color="FFFFFF" w:fill="8064A2" w:themeFill="accent4"/>
      </w:tcPr>
    </w:tblStylePr>
    <w:tblStylePr w:type="firstCol">
      <w:rPr>
        <w:b/>
        <w:color w:val="FFFFFF"/>
        <w:sz w:val="22"/>
      </w:rPr>
      <w:tblPr/>
      <w:tcPr>
        <w:shd w:val="clear" w:color="FFFFFF" w:fill="8064A2" w:themeFill="accent4"/>
      </w:tcPr>
    </w:tblStylePr>
    <w:tblStylePr w:type="lastCol">
      <w:rPr>
        <w:b/>
        <w:color w:val="FFFFFF"/>
        <w:sz w:val="22"/>
      </w:rPr>
      <w:tblPr/>
      <w:tcPr>
        <w:shd w:val="clear" w:color="FFFFFF" w:fill="8064A2" w:themeFill="accent4"/>
      </w:tcPr>
    </w:tblStylePr>
    <w:tblStylePr w:type="band1Vert">
      <w:tblPr/>
      <w:tcPr>
        <w:shd w:val="clear" w:color="FFFFFF" w:fill="C4B7D4" w:themeFill="accent4" w:themeFillTint="75"/>
      </w:tcPr>
    </w:tblStylePr>
    <w:tblStylePr w:type="band1Horz">
      <w:tblPr/>
      <w:tcPr>
        <w:shd w:val="clear" w:color="FFFFFF" w:fill="C4B7D4" w:themeFill="accent4" w:themeFillTint="75"/>
      </w:tcPr>
    </w:tblStylePr>
  </w:style>
  <w:style w:type="table" w:customStyle="1" w:styleId="GridTable5Dark-Accent5">
    <w:name w:val="Grid Table 5 Dark - Accent 5"/>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FFFFFF" w:fill="4BACC6" w:themeFill="accent5"/>
      </w:tcPr>
    </w:tblStylePr>
    <w:tblStylePr w:type="lastRow">
      <w:rPr>
        <w:b/>
        <w:color w:val="FFFFFF"/>
        <w:sz w:val="22"/>
      </w:rPr>
      <w:tblPr/>
      <w:tcPr>
        <w:tcBorders>
          <w:top w:val="single" w:sz="4" w:space="0" w:color="FFFFFF" w:themeColor="light1"/>
        </w:tcBorders>
        <w:shd w:val="clear" w:color="FFFFFF" w:fill="4BACC6" w:themeFill="accent5"/>
      </w:tcPr>
    </w:tblStylePr>
    <w:tblStylePr w:type="firstCol">
      <w:rPr>
        <w:b/>
        <w:color w:val="FFFFFF"/>
        <w:sz w:val="22"/>
      </w:rPr>
      <w:tblPr/>
      <w:tcPr>
        <w:shd w:val="clear" w:color="FFFFFF" w:fill="4BACC6" w:themeFill="accent5"/>
      </w:tcPr>
    </w:tblStylePr>
    <w:tblStylePr w:type="lastCol">
      <w:rPr>
        <w:b/>
        <w:color w:val="FFFFFF"/>
        <w:sz w:val="22"/>
      </w:rPr>
      <w:tblPr/>
      <w:tcPr>
        <w:shd w:val="clear" w:color="FFFFFF" w:fill="4BACC6" w:themeFill="accent5"/>
      </w:tcPr>
    </w:tblStylePr>
    <w:tblStylePr w:type="band1Vert">
      <w:tblPr/>
      <w:tcPr>
        <w:shd w:val="clear" w:color="FFFFFF" w:fill="ACD8E4" w:themeFill="accent5" w:themeFillTint="75"/>
      </w:tcPr>
    </w:tblStylePr>
    <w:tblStylePr w:type="band1Horz">
      <w:tblPr/>
      <w:tcPr>
        <w:shd w:val="clear" w:color="FFFFFF" w:fill="ACD8E4" w:themeFill="accent5" w:themeFillTint="75"/>
      </w:tcPr>
    </w:tblStylePr>
  </w:style>
  <w:style w:type="table" w:customStyle="1" w:styleId="GridTable5Dark-Accent6">
    <w:name w:val="Grid Table 5 Dark - Accent 6"/>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FFFFFF" w:fill="F79646" w:themeFill="accent6"/>
      </w:tcPr>
    </w:tblStylePr>
    <w:tblStylePr w:type="lastRow">
      <w:rPr>
        <w:b/>
        <w:color w:val="FFFFFF"/>
        <w:sz w:val="22"/>
      </w:rPr>
      <w:tblPr/>
      <w:tcPr>
        <w:tcBorders>
          <w:top w:val="single" w:sz="4" w:space="0" w:color="FFFFFF" w:themeColor="light1"/>
        </w:tcBorders>
        <w:shd w:val="clear" w:color="FFFFFF" w:fill="F79646" w:themeFill="accent6"/>
      </w:tcPr>
    </w:tblStylePr>
    <w:tblStylePr w:type="firstCol">
      <w:rPr>
        <w:b/>
        <w:color w:val="FFFFFF"/>
        <w:sz w:val="22"/>
      </w:rPr>
      <w:tblPr/>
      <w:tcPr>
        <w:shd w:val="clear" w:color="FFFFFF" w:fill="F79646" w:themeFill="accent6"/>
      </w:tcPr>
    </w:tblStylePr>
    <w:tblStylePr w:type="lastCol">
      <w:rPr>
        <w:b/>
        <w:color w:val="FFFFFF"/>
        <w:sz w:val="22"/>
      </w:rPr>
      <w:tblPr/>
      <w:tcPr>
        <w:shd w:val="clear" w:color="FFFFFF" w:fill="F79646" w:themeFill="accent6"/>
      </w:tcPr>
    </w:tblStylePr>
    <w:tblStylePr w:type="band1Vert">
      <w:tblPr/>
      <w:tcPr>
        <w:shd w:val="clear" w:color="FFFFFF" w:fill="FBCEAA" w:themeFill="accent6" w:themeFillTint="75"/>
      </w:tcPr>
    </w:tblStylePr>
    <w:tblStylePr w:type="band1Horz">
      <w:tblPr/>
      <w:tcPr>
        <w:shd w:val="clear" w:color="FFFFFF" w:fill="FBCEAA" w:themeFill="accent6" w:themeFillTint="75"/>
      </w:tcPr>
    </w:tblStylePr>
  </w:style>
  <w:style w:type="table" w:styleId="-6">
    <w:name w:val="Grid Table 6 Colorfu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color w:val="7F7F7F" w:themeColor="text1" w:themeTint="80" w:themeShade="95"/>
        <w:sz w:val="22"/>
      </w:rPr>
      <w:tblPr/>
      <w:tcPr>
        <w:shd w:val="clear" w:color="FFFFFF"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FFFFFF" w:fill="DAE5F1" w:themeFill="accent1" w:themeFillTint="34"/>
      </w:tcPr>
    </w:tblStylePr>
    <w:tblStylePr w:type="band1Horz">
      <w:rPr>
        <w:color w:val="A6BFDD" w:themeColor="accent1" w:themeTint="80" w:themeShade="95"/>
        <w:sz w:val="22"/>
      </w:rPr>
      <w:tblPr/>
      <w:tcPr>
        <w:shd w:val="clear" w:color="FFFFFF"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F2DCDC" w:themeFill="accent2" w:themeFillTint="32"/>
      </w:tcPr>
    </w:tblStylePr>
    <w:tblStylePr w:type="band1Horz">
      <w:rPr>
        <w:color w:val="D99695" w:themeColor="accent2" w:themeTint="97" w:themeShade="95"/>
        <w:sz w:val="22"/>
      </w:rPr>
      <w:tblPr/>
      <w:tcPr>
        <w:shd w:val="clear" w:color="FFFFFF"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FFFFFF" w:fill="EAF1DC" w:themeFill="accent3" w:themeFillTint="34"/>
      </w:tcPr>
    </w:tblStylePr>
    <w:tblStylePr w:type="band1Horz">
      <w:rPr>
        <w:color w:val="9ABB59" w:themeColor="accent3" w:themeTint="FE" w:themeShade="95"/>
        <w:sz w:val="22"/>
      </w:rPr>
      <w:tblPr/>
      <w:tcPr>
        <w:shd w:val="clear" w:color="FFFFFF"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E5DFEC" w:themeFill="accent4" w:themeFillTint="34"/>
      </w:tcPr>
    </w:tblStylePr>
    <w:tblStylePr w:type="band1Horz">
      <w:rPr>
        <w:color w:val="B2A1C6" w:themeColor="accent4" w:themeTint="9A" w:themeShade="95"/>
        <w:sz w:val="22"/>
      </w:rPr>
      <w:tblPr/>
      <w:tcPr>
        <w:shd w:val="clear" w:color="FFFFFF"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DAEEF3" w:themeFill="accent5" w:themeFillTint="34"/>
      </w:tcPr>
    </w:tblStylePr>
    <w:tblStylePr w:type="band1Horz">
      <w:rPr>
        <w:color w:val="266779" w:themeColor="accent5" w:themeShade="95"/>
        <w:sz w:val="22"/>
      </w:rPr>
      <w:tblPr/>
      <w:tcPr>
        <w:shd w:val="clear" w:color="FFFFFF"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FDE9D8" w:themeFill="accent6" w:themeFillTint="34"/>
      </w:tcPr>
    </w:tblStylePr>
    <w:tblStylePr w:type="band1Horz">
      <w:rPr>
        <w:color w:val="266779" w:themeColor="accent5" w:themeShade="95"/>
        <w:sz w:val="22"/>
      </w:rPr>
      <w:tblPr/>
      <w:tcPr>
        <w:shd w:val="clear" w:color="FFFFFF" w:fill="FDE9D8" w:themeFill="accent6" w:themeFillTint="34"/>
      </w:tcPr>
    </w:tblStylePr>
    <w:tblStylePr w:type="band2Horz">
      <w:rPr>
        <w:color w:val="266779" w:themeColor="accent5" w:themeShade="95"/>
        <w:sz w:val="22"/>
      </w:rPr>
    </w:tblStylePr>
  </w:style>
  <w:style w:type="table" w:styleId="-7">
    <w:name w:val="Grid Table 7 Colorfu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FFFFF" w:fill="FFFFFF" w:themeFill="text1" w:themeFillTint="00"/>
      </w:tcPr>
    </w:tblStylePr>
    <w:tblStylePr w:type="band1Horz">
      <w:rPr>
        <w:color w:val="7F7F7F" w:themeColor="text1" w:themeTint="80" w:themeShade="95"/>
        <w:sz w:val="22"/>
      </w:rPr>
      <w:tblPr/>
      <w:tcPr>
        <w:shd w:val="clear" w:color="FFFFFF"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FFFFFF" w:fill="DAE5F1" w:themeFill="accent1" w:themeFillTint="34"/>
      </w:tcPr>
    </w:tblStylePr>
    <w:tblStylePr w:type="band1Horz">
      <w:rPr>
        <w:color w:val="A6BFDD" w:themeColor="accent1" w:themeTint="80" w:themeShade="95"/>
        <w:sz w:val="22"/>
      </w:rPr>
      <w:tblPr/>
      <w:tcPr>
        <w:shd w:val="clear" w:color="FFFFFF"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FFFFF" w:fill="F2DCDC" w:themeFill="accent2" w:themeFillTint="32"/>
      </w:tcPr>
    </w:tblStylePr>
    <w:tblStylePr w:type="band1Horz">
      <w:rPr>
        <w:color w:val="D99695" w:themeColor="accent2" w:themeTint="97" w:themeShade="95"/>
        <w:sz w:val="22"/>
      </w:rPr>
      <w:tblPr/>
      <w:tcPr>
        <w:shd w:val="clear" w:color="FFFFFF"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FFFFFF" w:fill="EAF1DC" w:themeFill="accent3" w:themeFillTint="34"/>
      </w:tcPr>
    </w:tblStylePr>
    <w:tblStylePr w:type="band1Horz">
      <w:rPr>
        <w:color w:val="9ABB59" w:themeColor="accent3" w:themeTint="FE" w:themeShade="95"/>
        <w:sz w:val="22"/>
      </w:rPr>
      <w:tblPr/>
      <w:tcPr>
        <w:shd w:val="clear" w:color="FFFFFF"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FFFFFF" w:fill="E5DFEC" w:themeFill="accent4" w:themeFillTint="34"/>
      </w:tcPr>
    </w:tblStylePr>
    <w:tblStylePr w:type="band1Horz">
      <w:rPr>
        <w:color w:val="B2A1C6" w:themeColor="accent4" w:themeTint="9A" w:themeShade="95"/>
        <w:sz w:val="22"/>
      </w:rPr>
      <w:tblPr/>
      <w:tcPr>
        <w:shd w:val="clear" w:color="FFFFFF"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FFFFFF" w:fill="DAEEF3" w:themeFill="accent5" w:themeFillTint="34"/>
      </w:tcPr>
    </w:tblStylePr>
    <w:tblStylePr w:type="band1Horz">
      <w:rPr>
        <w:color w:val="266779" w:themeColor="accent5" w:themeShade="95"/>
        <w:sz w:val="22"/>
      </w:rPr>
      <w:tblPr/>
      <w:tcPr>
        <w:shd w:val="clear" w:color="FFFFFF"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FFFFF" w:fill="FDE9D8" w:themeFill="accent6" w:themeFillTint="34"/>
      </w:tcPr>
    </w:tblStylePr>
    <w:tblStylePr w:type="band1Horz">
      <w:rPr>
        <w:color w:val="B15407" w:themeColor="accent6" w:themeShade="95"/>
        <w:sz w:val="22"/>
      </w:rPr>
      <w:tblPr/>
      <w:tcPr>
        <w:shd w:val="clear" w:color="FFFFFF" w:fill="FDE9D8" w:themeFill="accent6" w:themeFillTint="34"/>
      </w:tcPr>
    </w:tblStylePr>
    <w:tblStylePr w:type="band2Horz">
      <w:rPr>
        <w:color w:val="B15407" w:themeColor="accent6" w:themeShade="95"/>
        <w:sz w:val="22"/>
      </w:rPr>
    </w:tblStylePr>
  </w:style>
  <w:style w:type="table" w:styleId="-10">
    <w:name w:val="List Table 1 Light"/>
    <w:uiPriority w:val="99"/>
    <w:tblPr>
      <w:tblStyleRowBandSize w:val="1"/>
      <w:tblStyleColBandSize w:val="1"/>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customStyle="1" w:styleId="ListTable1Light-Accent1">
    <w:name w:val="List Table 1 Light - Accent 1"/>
    <w:uiPriority w:val="99"/>
    <w:tblPr>
      <w:tblStyleRowBandSize w:val="1"/>
      <w:tblStyleColBandSize w:val="1"/>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2DFEE" w:themeFill="accent1" w:themeFillTint="40"/>
      </w:tcPr>
    </w:tblStylePr>
    <w:tblStylePr w:type="band1Horz">
      <w:tblPr/>
      <w:tcPr>
        <w:shd w:val="clear" w:color="FFFFFF" w:fill="D2DFEE" w:themeFill="accent1" w:themeFillTint="40"/>
      </w:tcPr>
    </w:tblStylePr>
  </w:style>
  <w:style w:type="table" w:customStyle="1" w:styleId="ListTable1Light-Accent2">
    <w:name w:val="List Table 1 Light - Accent 2"/>
    <w:uiPriority w:val="99"/>
    <w:tblPr>
      <w:tblStyleRowBandSize w:val="1"/>
      <w:tblStyleColBandSize w:val="1"/>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FD2D2" w:themeFill="accent2" w:themeFillTint="40"/>
      </w:tcPr>
    </w:tblStylePr>
    <w:tblStylePr w:type="band1Horz">
      <w:tblPr/>
      <w:tcPr>
        <w:shd w:val="clear" w:color="FFFFFF" w:fill="EFD2D2" w:themeFill="accent2" w:themeFillTint="40"/>
      </w:tcPr>
    </w:tblStylePr>
  </w:style>
  <w:style w:type="table" w:customStyle="1" w:styleId="ListTable1Light-Accent3">
    <w:name w:val="List Table 1 Light - Accent 3"/>
    <w:uiPriority w:val="99"/>
    <w:tblPr>
      <w:tblStyleRowBandSize w:val="1"/>
      <w:tblStyleColBandSize w:val="1"/>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5EED5" w:themeFill="accent3" w:themeFillTint="40"/>
      </w:tcPr>
    </w:tblStylePr>
    <w:tblStylePr w:type="band1Horz">
      <w:tblPr/>
      <w:tcPr>
        <w:shd w:val="clear" w:color="FFFFFF" w:fill="E5EED5" w:themeFill="accent3" w:themeFillTint="40"/>
      </w:tcPr>
    </w:tblStylePr>
  </w:style>
  <w:style w:type="table" w:customStyle="1" w:styleId="ListTable1Light-Accent4">
    <w:name w:val="List Table 1 Light - Accent 4"/>
    <w:uiPriority w:val="99"/>
    <w:tblPr>
      <w:tblStyleRowBandSize w:val="1"/>
      <w:tblStyleColBandSize w:val="1"/>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FD8E7" w:themeFill="accent4" w:themeFillTint="40"/>
      </w:tcPr>
    </w:tblStylePr>
    <w:tblStylePr w:type="band1Horz">
      <w:tblPr/>
      <w:tcPr>
        <w:shd w:val="clear" w:color="FFFFFF" w:fill="DFD8E7" w:themeFill="accent4" w:themeFillTint="40"/>
      </w:tcPr>
    </w:tblStylePr>
  </w:style>
  <w:style w:type="table" w:customStyle="1" w:styleId="ListTable1Light-Accent5">
    <w:name w:val="List Table 1 Light - Accent 5"/>
    <w:uiPriority w:val="99"/>
    <w:tblPr>
      <w:tblStyleRowBandSize w:val="1"/>
      <w:tblStyleColBandSize w:val="1"/>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1EAF0" w:themeFill="accent5" w:themeFillTint="40"/>
      </w:tcPr>
    </w:tblStylePr>
    <w:tblStylePr w:type="band1Horz">
      <w:tblPr/>
      <w:tcPr>
        <w:shd w:val="clear" w:color="FFFFFF" w:fill="D1EAF0" w:themeFill="accent5" w:themeFillTint="40"/>
      </w:tcPr>
    </w:tblStylePr>
  </w:style>
  <w:style w:type="table" w:customStyle="1" w:styleId="ListTable1Light-Accent6">
    <w:name w:val="List Table 1 Light - Accent 6"/>
    <w:uiPriority w:val="99"/>
    <w:tblPr>
      <w:tblStyleRowBandSize w:val="1"/>
      <w:tblStyleColBandSize w:val="1"/>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DE4D0" w:themeFill="accent6" w:themeFillTint="40"/>
      </w:tcPr>
    </w:tblStylePr>
    <w:tblStylePr w:type="band1Horz">
      <w:tblPr/>
      <w:tcPr>
        <w:shd w:val="clear" w:color="FFFFFF" w:fill="FDE4D0" w:themeFill="accent6" w:themeFillTint="40"/>
      </w:tcPr>
    </w:tblStylePr>
  </w:style>
  <w:style w:type="table" w:styleId="-20">
    <w:name w:val="List Table 2"/>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BFBFBF" w:themeFill="text1" w:themeFillTint="40"/>
      </w:tcPr>
    </w:tblStylePr>
    <w:tblStylePr w:type="band1Horz">
      <w:rPr>
        <w:color w:val="404040"/>
        <w:sz w:val="22"/>
      </w:rPr>
      <w:tblPr/>
      <w:tcPr>
        <w:shd w:val="clear" w:color="FFFFFF" w:fill="BFBFBF" w:themeFill="text1" w:themeFillTint="40"/>
      </w:tcPr>
    </w:tblStylePr>
  </w:style>
  <w:style w:type="table" w:customStyle="1" w:styleId="ListTable2-Accent1">
    <w:name w:val="List Table 2 - Accent 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D2DFEE" w:themeFill="accent1" w:themeFillTint="40"/>
      </w:tcPr>
    </w:tblStylePr>
    <w:tblStylePr w:type="band1Horz">
      <w:rPr>
        <w:color w:val="404040"/>
        <w:sz w:val="22"/>
      </w:rPr>
      <w:tblPr/>
      <w:tcPr>
        <w:shd w:val="clear" w:color="FFFFFF" w:fill="D2DFEE" w:themeFill="accent1" w:themeFillTint="40"/>
      </w:tcPr>
    </w:tblStylePr>
  </w:style>
  <w:style w:type="table" w:customStyle="1" w:styleId="ListTable2-Accent2">
    <w:name w:val="List Table 2 - Accent 2"/>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EFD2D2" w:themeFill="accent2" w:themeFillTint="40"/>
      </w:tcPr>
    </w:tblStylePr>
    <w:tblStylePr w:type="band1Horz">
      <w:rPr>
        <w:color w:val="404040"/>
        <w:sz w:val="22"/>
      </w:rPr>
      <w:tblPr/>
      <w:tcPr>
        <w:shd w:val="clear" w:color="FFFFFF" w:fill="EFD2D2" w:themeFill="accent2" w:themeFillTint="40"/>
      </w:tcPr>
    </w:tblStylePr>
  </w:style>
  <w:style w:type="table" w:customStyle="1" w:styleId="ListTable2-Accent3">
    <w:name w:val="List Table 2 - Accent 3"/>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E5EED5" w:themeFill="accent3" w:themeFillTint="40"/>
      </w:tcPr>
    </w:tblStylePr>
    <w:tblStylePr w:type="band1Horz">
      <w:rPr>
        <w:color w:val="404040"/>
        <w:sz w:val="22"/>
      </w:rPr>
      <w:tblPr/>
      <w:tcPr>
        <w:shd w:val="clear" w:color="FFFFFF" w:fill="E5EED5" w:themeFill="accent3" w:themeFillTint="40"/>
      </w:tcPr>
    </w:tblStylePr>
  </w:style>
  <w:style w:type="table" w:customStyle="1" w:styleId="ListTable2-Accent4">
    <w:name w:val="List Table 2 - Accent 4"/>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DFD8E7" w:themeFill="accent4" w:themeFillTint="40"/>
      </w:tcPr>
    </w:tblStylePr>
    <w:tblStylePr w:type="band1Horz">
      <w:rPr>
        <w:color w:val="404040"/>
        <w:sz w:val="22"/>
      </w:rPr>
      <w:tblPr/>
      <w:tcPr>
        <w:shd w:val="clear" w:color="FFFFFF" w:fill="DFD8E7" w:themeFill="accent4" w:themeFillTint="40"/>
      </w:tcPr>
    </w:tblStylePr>
  </w:style>
  <w:style w:type="table" w:customStyle="1" w:styleId="ListTable2-Accent5">
    <w:name w:val="List Table 2 - Accent 5"/>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D1EAF0" w:themeFill="accent5" w:themeFillTint="40"/>
      </w:tcPr>
    </w:tblStylePr>
    <w:tblStylePr w:type="band1Horz">
      <w:rPr>
        <w:color w:val="404040"/>
        <w:sz w:val="22"/>
      </w:rPr>
      <w:tblPr/>
      <w:tcPr>
        <w:shd w:val="clear" w:color="FFFFFF" w:fill="D1EAF0" w:themeFill="accent5" w:themeFillTint="40"/>
      </w:tcPr>
    </w:tblStylePr>
  </w:style>
  <w:style w:type="table" w:customStyle="1" w:styleId="ListTable2-Accent6">
    <w:name w:val="List Table 2 - Accent 6"/>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FFFF" w:fill="FDE4D0" w:themeFill="accent6" w:themeFillTint="40"/>
      </w:tcPr>
    </w:tblStylePr>
    <w:tblStylePr w:type="band1Horz">
      <w:rPr>
        <w:color w:val="404040"/>
        <w:sz w:val="22"/>
      </w:rPr>
      <w:tblPr/>
      <w:tcPr>
        <w:shd w:val="clear" w:color="FFFFFF" w:fill="FDE4D0" w:themeFill="accent6" w:themeFillTint="40"/>
      </w:tcPr>
    </w:tblStylePr>
  </w:style>
  <w:style w:type="table" w:styleId="-30">
    <w:name w:val="List Table 3"/>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FFFFFF"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FFFFFF"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FFFFFF"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FFFFFF"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FFFFFF"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40">
    <w:name w:val="List Table 4"/>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BFBFBF" w:themeFill="text1" w:themeFillTint="40"/>
      </w:tcPr>
    </w:tblStylePr>
    <w:tblStylePr w:type="band1Horz">
      <w:rPr>
        <w:color w:val="404040"/>
        <w:sz w:val="22"/>
      </w:rPr>
      <w:tblPr/>
      <w:tcPr>
        <w:shd w:val="clear" w:color="FFFFFF" w:fill="BFBFBF" w:themeFill="text1" w:themeFillTint="40"/>
      </w:tcPr>
    </w:tblStylePr>
  </w:style>
  <w:style w:type="table" w:customStyle="1" w:styleId="ListTable4-Accent1">
    <w:name w:val="List Table 4 - Accent 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D2DFEE" w:themeFill="accent1" w:themeFillTint="40"/>
      </w:tcPr>
    </w:tblStylePr>
    <w:tblStylePr w:type="band1Horz">
      <w:rPr>
        <w:color w:val="404040"/>
        <w:sz w:val="22"/>
      </w:rPr>
      <w:tblPr/>
      <w:tcPr>
        <w:shd w:val="clear" w:color="FFFFFF" w:fill="D2DFEE" w:themeFill="accent1" w:themeFillTint="40"/>
      </w:tcPr>
    </w:tblStylePr>
  </w:style>
  <w:style w:type="table" w:customStyle="1" w:styleId="ListTable4-Accent2">
    <w:name w:val="List Table 4 - Accent 2"/>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FFFFFF"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EFD2D2" w:themeFill="accent2" w:themeFillTint="40"/>
      </w:tcPr>
    </w:tblStylePr>
    <w:tblStylePr w:type="band1Horz">
      <w:rPr>
        <w:color w:val="404040"/>
        <w:sz w:val="22"/>
      </w:rPr>
      <w:tblPr/>
      <w:tcPr>
        <w:shd w:val="clear" w:color="FFFFFF" w:fill="EFD2D2" w:themeFill="accent2" w:themeFillTint="40"/>
      </w:tcPr>
    </w:tblStylePr>
  </w:style>
  <w:style w:type="table" w:customStyle="1" w:styleId="ListTable4-Accent3">
    <w:name w:val="List Table 4 - Accent 3"/>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FFFFFF"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E5EED5" w:themeFill="accent3" w:themeFillTint="40"/>
      </w:tcPr>
    </w:tblStylePr>
    <w:tblStylePr w:type="band1Horz">
      <w:rPr>
        <w:color w:val="404040"/>
        <w:sz w:val="22"/>
      </w:rPr>
      <w:tblPr/>
      <w:tcPr>
        <w:shd w:val="clear" w:color="FFFFFF" w:fill="E5EED5" w:themeFill="accent3" w:themeFillTint="40"/>
      </w:tcPr>
    </w:tblStylePr>
  </w:style>
  <w:style w:type="table" w:customStyle="1" w:styleId="ListTable4-Accent4">
    <w:name w:val="List Table 4 - Accent 4"/>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FFFFFF"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DFD8E7" w:themeFill="accent4" w:themeFillTint="40"/>
      </w:tcPr>
    </w:tblStylePr>
    <w:tblStylePr w:type="band1Horz">
      <w:rPr>
        <w:color w:val="404040"/>
        <w:sz w:val="22"/>
      </w:rPr>
      <w:tblPr/>
      <w:tcPr>
        <w:shd w:val="clear" w:color="FFFFFF" w:fill="DFD8E7" w:themeFill="accent4" w:themeFillTint="40"/>
      </w:tcPr>
    </w:tblStylePr>
  </w:style>
  <w:style w:type="table" w:customStyle="1" w:styleId="ListTable4-Accent5">
    <w:name w:val="List Table 4 - Accent 5"/>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FFFFFF"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D1EAF0" w:themeFill="accent5" w:themeFillTint="40"/>
      </w:tcPr>
    </w:tblStylePr>
    <w:tblStylePr w:type="band1Horz">
      <w:rPr>
        <w:color w:val="404040"/>
        <w:sz w:val="22"/>
      </w:rPr>
      <w:tblPr/>
      <w:tcPr>
        <w:shd w:val="clear" w:color="FFFFFF" w:fill="D1EAF0" w:themeFill="accent5" w:themeFillTint="40"/>
      </w:tcPr>
    </w:tblStylePr>
  </w:style>
  <w:style w:type="table" w:customStyle="1" w:styleId="ListTable4-Accent6">
    <w:name w:val="List Table 4 - Accent 6"/>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FFFFFF"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FFFF" w:fill="FDE4D0" w:themeFill="accent6" w:themeFillTint="40"/>
      </w:tcPr>
    </w:tblStylePr>
    <w:tblStylePr w:type="band1Horz">
      <w:rPr>
        <w:color w:val="404040"/>
        <w:sz w:val="22"/>
      </w:rPr>
      <w:tblPr/>
      <w:tcPr>
        <w:shd w:val="clear" w:color="FFFFFF" w:fill="FDE4D0" w:themeFill="accent6" w:themeFillTint="40"/>
      </w:tcPr>
    </w:tblStylePr>
  </w:style>
  <w:style w:type="table" w:styleId="-50">
    <w:name w:val="List Table 5 Dark"/>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FFFFF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customStyle="1" w:styleId="ListTable5Dark-Accent1">
    <w:name w:val="List Table 5 Dark - Accent 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FFFFFF"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FFFFFF"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4F81BD" w:themeFill="accent1"/>
      </w:tcPr>
    </w:tblStylePr>
    <w:tblStylePr w:type="band2Horz">
      <w:tblPr/>
      <w:tcPr>
        <w:tcBorders>
          <w:top w:val="single" w:sz="4" w:space="0" w:color="FFFFFF" w:themeColor="light1"/>
          <w:bottom w:val="single" w:sz="4" w:space="0" w:color="FFFFFF" w:themeColor="light1"/>
        </w:tcBorders>
        <w:shd w:val="clear" w:color="FFFFFF" w:fill="4F81BD" w:themeFill="accent1"/>
      </w:tcPr>
    </w:tblStylePr>
  </w:style>
  <w:style w:type="table" w:customStyle="1" w:styleId="ListTable5Dark-Accent2">
    <w:name w:val="List Table 5 Dark - Accent 2"/>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FFFFFF"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FFFFFF"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D99695" w:themeFill="accent2" w:themeFillTint="97"/>
      </w:tcPr>
    </w:tblStylePr>
    <w:tblStylePr w:type="band2Horz">
      <w:tblPr/>
      <w:tcPr>
        <w:tcBorders>
          <w:top w:val="single" w:sz="4" w:space="0" w:color="FFFFFF" w:themeColor="light1"/>
          <w:bottom w:val="single" w:sz="4" w:space="0" w:color="FFFFFF" w:themeColor="light1"/>
        </w:tcBorders>
        <w:shd w:val="clear" w:color="FFFFFF" w:fill="D99695" w:themeFill="accent2" w:themeFillTint="97"/>
      </w:tcPr>
    </w:tblStylePr>
  </w:style>
  <w:style w:type="table" w:customStyle="1" w:styleId="ListTable5Dark-Accent3">
    <w:name w:val="List Table 5 Dark - Accent 3"/>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FFFFFF"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FFFFFF"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3D69B" w:themeFill="accent3" w:themeFillTint="98"/>
      </w:tcPr>
    </w:tblStylePr>
    <w:tblStylePr w:type="band2Horz">
      <w:tblPr/>
      <w:tcPr>
        <w:tcBorders>
          <w:top w:val="single" w:sz="4" w:space="0" w:color="FFFFFF" w:themeColor="light1"/>
          <w:bottom w:val="single" w:sz="4" w:space="0" w:color="FFFFFF" w:themeColor="light1"/>
        </w:tcBorders>
        <w:shd w:val="clear" w:color="FFFFFF" w:fill="C3D69B" w:themeFill="accent3" w:themeFillTint="98"/>
      </w:tcPr>
    </w:tblStylePr>
  </w:style>
  <w:style w:type="table" w:customStyle="1" w:styleId="ListTable5Dark-Accent4">
    <w:name w:val="List Table 5 Dark - Accent 4"/>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FFFFFF"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FFFFFF"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B2A1C6" w:themeFill="accent4" w:themeFillTint="9A"/>
      </w:tcPr>
    </w:tblStylePr>
    <w:tblStylePr w:type="band2Horz">
      <w:tblPr/>
      <w:tcPr>
        <w:tcBorders>
          <w:top w:val="single" w:sz="4" w:space="0" w:color="FFFFFF" w:themeColor="light1"/>
          <w:bottom w:val="single" w:sz="4" w:space="0" w:color="FFFFFF" w:themeColor="light1"/>
        </w:tcBorders>
        <w:shd w:val="clear" w:color="FFFFFF" w:fill="B2A1C6" w:themeFill="accent4" w:themeFillTint="9A"/>
      </w:tcPr>
    </w:tblStylePr>
  </w:style>
  <w:style w:type="table" w:customStyle="1" w:styleId="ListTable5Dark-Accent5">
    <w:name w:val="List Table 5 Dark - Accent 5"/>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FFFFFF"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FFFFFF"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92CCDC" w:themeFill="accent5" w:themeFillTint="9A"/>
      </w:tcPr>
    </w:tblStylePr>
    <w:tblStylePr w:type="band2Horz">
      <w:tblPr/>
      <w:tcPr>
        <w:tcBorders>
          <w:top w:val="single" w:sz="4" w:space="0" w:color="FFFFFF" w:themeColor="light1"/>
          <w:bottom w:val="single" w:sz="4" w:space="0" w:color="FFFFFF" w:themeColor="light1"/>
        </w:tcBorders>
        <w:shd w:val="clear" w:color="FFFFFF" w:fill="92CCDC" w:themeFill="accent5" w:themeFillTint="9A"/>
      </w:tcPr>
    </w:tblStylePr>
  </w:style>
  <w:style w:type="table" w:customStyle="1" w:styleId="ListTable5Dark-Accent6">
    <w:name w:val="List Table 5 Dark - Accent 6"/>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FFFFFF"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FFFFF"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AC090" w:themeFill="accent6" w:themeFillTint="98"/>
      </w:tcPr>
    </w:tblStylePr>
    <w:tblStylePr w:type="band2Horz">
      <w:tblPr/>
      <w:tcPr>
        <w:tcBorders>
          <w:top w:val="single" w:sz="4" w:space="0" w:color="FFFFFF" w:themeColor="light1"/>
          <w:bottom w:val="single" w:sz="4" w:space="0" w:color="FFFFFF" w:themeColor="light1"/>
        </w:tcBorders>
        <w:shd w:val="clear" w:color="FFFFFF" w:fill="FAC090" w:themeFill="accent6" w:themeFillTint="98"/>
      </w:tcPr>
    </w:tblStylePr>
  </w:style>
  <w:style w:type="table" w:styleId="-60">
    <w:name w:val="List Table 6 Colorful"/>
    <w:uiPriority w:val="99"/>
    <w:tblPr>
      <w:tblStyleRowBandSize w:val="1"/>
      <w:tblStyleColBandSize w:val="1"/>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color w:val="000000" w:themeColor="text1"/>
        <w:sz w:val="22"/>
      </w:rPr>
      <w:tblPr/>
      <w:tcPr>
        <w:shd w:val="clear" w:color="FFFFFF"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FFFFFF" w:fill="D2DFEE" w:themeFill="accent1" w:themeFillTint="40"/>
      </w:tcPr>
    </w:tblStylePr>
    <w:tblStylePr w:type="band1Horz">
      <w:rPr>
        <w:color w:val="2A4A71" w:themeColor="accent1" w:themeShade="95"/>
        <w:sz w:val="22"/>
      </w:rPr>
      <w:tblPr/>
      <w:tcPr>
        <w:shd w:val="clear" w:color="FFFFFF"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EFD2D2" w:themeFill="accent2" w:themeFillTint="40"/>
      </w:tcPr>
    </w:tblStylePr>
    <w:tblStylePr w:type="band1Horz">
      <w:rPr>
        <w:color w:val="D99695" w:themeColor="accent2" w:themeTint="97" w:themeShade="95"/>
        <w:sz w:val="22"/>
      </w:rPr>
      <w:tblPr/>
      <w:tcPr>
        <w:shd w:val="clear" w:color="FFFFFF"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FFFFFF" w:fill="E5EED5" w:themeFill="accent3" w:themeFillTint="40"/>
      </w:tcPr>
    </w:tblStylePr>
    <w:tblStylePr w:type="band1Horz">
      <w:rPr>
        <w:color w:val="C3D69B" w:themeColor="accent3" w:themeTint="98" w:themeShade="95"/>
        <w:sz w:val="22"/>
      </w:rPr>
      <w:tblPr/>
      <w:tcPr>
        <w:shd w:val="clear" w:color="FFFFFF"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DFD8E7" w:themeFill="accent4" w:themeFillTint="40"/>
      </w:tcPr>
    </w:tblStylePr>
    <w:tblStylePr w:type="band1Horz">
      <w:rPr>
        <w:color w:val="B2A1C6" w:themeColor="accent4" w:themeTint="9A" w:themeShade="95"/>
        <w:sz w:val="22"/>
      </w:rPr>
      <w:tblPr/>
      <w:tcPr>
        <w:shd w:val="clear" w:color="FFFFFF"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FFFFFF" w:fill="D1EAF0" w:themeFill="accent5" w:themeFillTint="40"/>
      </w:tcPr>
    </w:tblStylePr>
    <w:tblStylePr w:type="band1Horz">
      <w:rPr>
        <w:color w:val="92CCDC" w:themeColor="accent5" w:themeTint="9A" w:themeShade="95"/>
        <w:sz w:val="22"/>
      </w:rPr>
      <w:tblPr/>
      <w:tcPr>
        <w:shd w:val="clear" w:color="FFFFFF"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FFFFF" w:fill="FDE4D0" w:themeFill="accent6" w:themeFillTint="40"/>
      </w:tcPr>
    </w:tblStylePr>
    <w:tblStylePr w:type="band1Horz">
      <w:rPr>
        <w:color w:val="FAC090" w:themeColor="accent6" w:themeTint="98" w:themeShade="95"/>
        <w:sz w:val="22"/>
      </w:rPr>
      <w:tblPr/>
      <w:tcPr>
        <w:shd w:val="clear" w:color="FFFFFF" w:fill="FDE4D0" w:themeFill="accent6" w:themeFillTint="40"/>
      </w:tcPr>
    </w:tblStylePr>
    <w:tblStylePr w:type="band2Horz">
      <w:rPr>
        <w:color w:val="FAC090" w:themeColor="accent6" w:themeTint="98" w:themeShade="95"/>
        <w:sz w:val="22"/>
      </w:rPr>
    </w:tblStylePr>
  </w:style>
  <w:style w:type="table" w:styleId="-70">
    <w:name w:val="List Table 7 Colorful"/>
    <w:uiPriority w:val="99"/>
    <w:tblPr>
      <w:tblStyleRowBandSize w:val="1"/>
      <w:tblStyleColBandSize w:val="1"/>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FFFFF" w:fill="BFBFBF" w:themeFill="text1" w:themeFillTint="40"/>
      </w:tcPr>
    </w:tblStylePr>
    <w:tblStylePr w:type="band1Horz">
      <w:rPr>
        <w:color w:val="7F7F7F" w:themeColor="text1" w:themeTint="80" w:themeShade="95"/>
        <w:sz w:val="22"/>
      </w:rPr>
      <w:tblPr/>
      <w:tcPr>
        <w:shd w:val="clear" w:color="FFFFF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FFFFFF" w:fill="D2DFEE" w:themeFill="accent1" w:themeFillTint="40"/>
      </w:tcPr>
    </w:tblStylePr>
    <w:tblStylePr w:type="band1Horz">
      <w:rPr>
        <w:color w:val="2A4A71" w:themeColor="accent1" w:themeShade="95"/>
        <w:sz w:val="22"/>
      </w:rPr>
      <w:tblPr/>
      <w:tcPr>
        <w:shd w:val="clear" w:color="FFFFFF"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FFFFF" w:fill="EFD2D2" w:themeFill="accent2" w:themeFillTint="40"/>
      </w:tcPr>
    </w:tblStylePr>
    <w:tblStylePr w:type="band1Horz">
      <w:rPr>
        <w:color w:val="D99695" w:themeColor="accent2" w:themeTint="97" w:themeShade="95"/>
        <w:sz w:val="22"/>
      </w:rPr>
      <w:tblPr/>
      <w:tcPr>
        <w:shd w:val="clear" w:color="FFFFFF"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FFFFFF" w:fill="E5EED5" w:themeFill="accent3" w:themeFillTint="40"/>
      </w:tcPr>
    </w:tblStylePr>
    <w:tblStylePr w:type="band1Horz">
      <w:rPr>
        <w:color w:val="C3D69B" w:themeColor="accent3" w:themeTint="98" w:themeShade="95"/>
        <w:sz w:val="22"/>
      </w:rPr>
      <w:tblPr/>
      <w:tcPr>
        <w:shd w:val="clear" w:color="FFFFFF"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FFFFFF" w:fill="DFD8E7" w:themeFill="accent4" w:themeFillTint="40"/>
      </w:tcPr>
    </w:tblStylePr>
    <w:tblStylePr w:type="band1Horz">
      <w:rPr>
        <w:color w:val="B2A1C6" w:themeColor="accent4" w:themeTint="9A" w:themeShade="95"/>
        <w:sz w:val="22"/>
      </w:rPr>
      <w:tblPr/>
      <w:tcPr>
        <w:shd w:val="clear" w:color="FFFFFF"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FFFFFF" w:fill="D1EAF0" w:themeFill="accent5" w:themeFillTint="40"/>
      </w:tcPr>
    </w:tblStylePr>
    <w:tblStylePr w:type="band1Horz">
      <w:rPr>
        <w:color w:val="92CCDC" w:themeColor="accent5" w:themeTint="9A" w:themeShade="95"/>
        <w:sz w:val="22"/>
      </w:rPr>
      <w:tblPr/>
      <w:tcPr>
        <w:shd w:val="clear" w:color="FFFFFF"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FFFFF" w:fill="FDE4D0" w:themeFill="accent6" w:themeFillTint="40"/>
      </w:tcPr>
    </w:tblStylePr>
    <w:tblStylePr w:type="band1Horz">
      <w:rPr>
        <w:color w:val="FAC090" w:themeColor="accent6" w:themeTint="98" w:themeShade="95"/>
        <w:sz w:val="22"/>
      </w:rPr>
      <w:tblPr/>
      <w:tcPr>
        <w:shd w:val="clear" w:color="FFFFFF"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CellMar>
        <w:top w:w="0" w:type="dxa"/>
        <w:left w:w="0" w:type="dxa"/>
        <w:bottom w:w="0" w:type="dxa"/>
        <w:right w:w="0" w:type="dxa"/>
      </w:tblCellMar>
    </w:tblPr>
    <w:tblStylePr w:type="firstRow">
      <w:rPr>
        <w:color w:val="F2F2F2"/>
        <w:sz w:val="22"/>
      </w:rPr>
      <w:tblPr/>
      <w:tcPr>
        <w:shd w:val="clear" w:color="FFFFFF" w:fill="7F7F7F" w:themeFill="text1" w:themeFillTint="80"/>
      </w:tcPr>
    </w:tblStylePr>
    <w:tblStylePr w:type="lastRow">
      <w:rPr>
        <w:color w:val="F2F2F2"/>
        <w:sz w:val="22"/>
      </w:rPr>
      <w:tblPr/>
      <w:tcPr>
        <w:shd w:val="clear" w:color="FFFFFF" w:fill="7F7F7F" w:themeFill="text1" w:themeFillTint="80"/>
      </w:tcPr>
    </w:tblStylePr>
    <w:tblStylePr w:type="firstCol">
      <w:rPr>
        <w:color w:val="F2F2F2"/>
        <w:sz w:val="22"/>
      </w:rPr>
      <w:tblPr/>
      <w:tcPr>
        <w:shd w:val="clear" w:color="FFFFFF" w:fill="7F7F7F" w:themeFill="text1" w:themeFillTint="80"/>
      </w:tcPr>
    </w:tblStylePr>
    <w:tblStylePr w:type="lastCol">
      <w:rPr>
        <w:color w:val="F2F2F2"/>
        <w:sz w:val="22"/>
      </w:rPr>
      <w:tblPr/>
      <w:tcPr>
        <w:shd w:val="clear" w:color="FFFFFF" w:fill="7F7F7F" w:themeFill="text1" w:themeFillTint="80"/>
      </w:tcPr>
    </w:tblStylePr>
    <w:tblStylePr w:type="band1Vert">
      <w:rPr>
        <w:color w:val="404040"/>
        <w:sz w:val="22"/>
      </w:rPr>
    </w:tblStylePr>
    <w:tblStylePr w:type="band2Vert">
      <w:rPr>
        <w:color w:val="404040"/>
        <w:sz w:val="22"/>
      </w:rPr>
      <w:tblPr/>
      <w:tcPr>
        <w:shd w:val="clear" w:color="FFFFFF" w:fill="FFFFFF" w:themeFill="text1" w:themeFillTint="00"/>
      </w:tcPr>
    </w:tblStylePr>
    <w:tblStylePr w:type="band1Horz">
      <w:rPr>
        <w:color w:val="404040"/>
        <w:sz w:val="22"/>
      </w:rPr>
    </w:tblStylePr>
    <w:tblStylePr w:type="band2Horz">
      <w:rPr>
        <w:color w:val="404040"/>
        <w:sz w:val="22"/>
      </w:rPr>
      <w:tblPr/>
      <w:tcPr>
        <w:shd w:val="clear" w:color="FFFFFF" w:fill="FFFFFF" w:themeFill="text1" w:themeFillTint="00"/>
      </w:tcPr>
    </w:tblStylePr>
  </w:style>
  <w:style w:type="table" w:customStyle="1" w:styleId="Lined-Accent1">
    <w:name w:val="Lined - Accent 1"/>
    <w:uiPriority w:val="99"/>
    <w:rPr>
      <w:color w:val="404040"/>
      <w:lang w:eastAsia="ru-RU"/>
    </w:rPr>
    <w:tblPr>
      <w:tblStyleRowBandSize w:val="1"/>
      <w:tblStyleColBandSize w:val="1"/>
      <w:tblCellMar>
        <w:top w:w="0" w:type="dxa"/>
        <w:left w:w="0" w:type="dxa"/>
        <w:bottom w:w="0" w:type="dxa"/>
        <w:right w:w="0" w:type="dxa"/>
      </w:tblCellMar>
    </w:tblPr>
    <w:tblStylePr w:type="firstRow">
      <w:rPr>
        <w:color w:val="F2F2F2"/>
        <w:sz w:val="22"/>
      </w:rPr>
      <w:tblPr/>
      <w:tcPr>
        <w:shd w:val="clear" w:color="FFFFFF" w:fill="5D8AC2" w:themeFill="accent1" w:themeFillTint="EA"/>
      </w:tcPr>
    </w:tblStylePr>
    <w:tblStylePr w:type="lastRow">
      <w:rPr>
        <w:color w:val="F2F2F2"/>
        <w:sz w:val="22"/>
      </w:rPr>
      <w:tblPr/>
      <w:tcPr>
        <w:shd w:val="clear" w:color="FFFFFF" w:fill="5D8AC2" w:themeFill="accent1" w:themeFillTint="EA"/>
      </w:tcPr>
    </w:tblStylePr>
    <w:tblStylePr w:type="firstCol">
      <w:rPr>
        <w:color w:val="F2F2F2"/>
        <w:sz w:val="22"/>
      </w:rPr>
      <w:tblPr/>
      <w:tcPr>
        <w:shd w:val="clear" w:color="FFFFFF" w:fill="5D8AC2" w:themeFill="accent1" w:themeFillTint="EA"/>
      </w:tcPr>
    </w:tblStylePr>
    <w:tblStylePr w:type="lastCol">
      <w:rPr>
        <w:color w:val="F2F2F2"/>
        <w:sz w:val="22"/>
      </w:rPr>
      <w:tblPr/>
      <w:tcPr>
        <w:shd w:val="clear" w:color="FFFFFF" w:fill="5D8AC2" w:themeFill="accent1" w:themeFillTint="EA"/>
      </w:tcPr>
    </w:tblStylePr>
    <w:tblStylePr w:type="band1Vert">
      <w:rPr>
        <w:color w:val="404040"/>
        <w:sz w:val="22"/>
      </w:rPr>
    </w:tblStylePr>
    <w:tblStylePr w:type="band2Vert">
      <w:rPr>
        <w:color w:val="404040"/>
        <w:sz w:val="22"/>
      </w:rPr>
      <w:tblPr/>
      <w:tcPr>
        <w:shd w:val="clear" w:color="FFFFFF" w:fill="C7D7EA" w:themeFill="accent1" w:themeFillTint="50"/>
      </w:tcPr>
    </w:tblStylePr>
    <w:tblStylePr w:type="band1Horz">
      <w:rPr>
        <w:color w:val="404040"/>
        <w:sz w:val="22"/>
      </w:rPr>
    </w:tblStylePr>
    <w:tblStylePr w:type="band2Horz">
      <w:rPr>
        <w:color w:val="404040"/>
        <w:sz w:val="22"/>
      </w:rPr>
      <w:tblPr/>
      <w:tcPr>
        <w:shd w:val="clear" w:color="FFFFFF"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CellMar>
        <w:top w:w="0" w:type="dxa"/>
        <w:left w:w="0" w:type="dxa"/>
        <w:bottom w:w="0" w:type="dxa"/>
        <w:right w:w="0" w:type="dxa"/>
      </w:tblCellMar>
    </w:tblPr>
    <w:tblStylePr w:type="firstRow">
      <w:rPr>
        <w:color w:val="F2F2F2"/>
        <w:sz w:val="22"/>
      </w:rPr>
      <w:tblPr/>
      <w:tcPr>
        <w:shd w:val="clear" w:color="FFFFFF" w:fill="D99695" w:themeFill="accent2" w:themeFillTint="97"/>
      </w:tcPr>
    </w:tblStylePr>
    <w:tblStylePr w:type="lastRow">
      <w:rPr>
        <w:color w:val="F2F2F2"/>
        <w:sz w:val="22"/>
      </w:rPr>
      <w:tblPr/>
      <w:tcPr>
        <w:shd w:val="clear" w:color="FFFFFF" w:fill="D99695" w:themeFill="accent2" w:themeFillTint="97"/>
      </w:tcPr>
    </w:tblStylePr>
    <w:tblStylePr w:type="firstCol">
      <w:rPr>
        <w:color w:val="F2F2F2"/>
        <w:sz w:val="22"/>
      </w:rPr>
      <w:tblPr/>
      <w:tcPr>
        <w:shd w:val="clear" w:color="FFFFFF" w:fill="D99695" w:themeFill="accent2" w:themeFillTint="97"/>
      </w:tcPr>
    </w:tblStylePr>
    <w:tblStylePr w:type="lastCol">
      <w:rPr>
        <w:color w:val="F2F2F2"/>
        <w:sz w:val="22"/>
      </w:rPr>
      <w:tblPr/>
      <w:tcPr>
        <w:shd w:val="clear" w:color="FFFFFF" w:fill="D99695" w:themeFill="accent2" w:themeFillTint="97"/>
      </w:tcPr>
    </w:tblStylePr>
    <w:tblStylePr w:type="band1Vert">
      <w:rPr>
        <w:color w:val="404040"/>
        <w:sz w:val="22"/>
      </w:rPr>
    </w:tblStylePr>
    <w:tblStylePr w:type="band2Vert">
      <w:rPr>
        <w:color w:val="404040"/>
        <w:sz w:val="22"/>
      </w:rPr>
      <w:tblPr/>
      <w:tcPr>
        <w:shd w:val="clear" w:color="FFFFFF" w:fill="F2DCDC" w:themeFill="accent2" w:themeFillTint="32"/>
      </w:tcPr>
    </w:tblStylePr>
    <w:tblStylePr w:type="band1Horz">
      <w:rPr>
        <w:color w:val="404040"/>
        <w:sz w:val="22"/>
      </w:rPr>
    </w:tblStylePr>
    <w:tblStylePr w:type="band2Horz">
      <w:rPr>
        <w:color w:val="404040"/>
        <w:sz w:val="22"/>
      </w:rPr>
      <w:tblPr/>
      <w:tcPr>
        <w:shd w:val="clear" w:color="FFFFFF"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CellMar>
        <w:top w:w="0" w:type="dxa"/>
        <w:left w:w="0" w:type="dxa"/>
        <w:bottom w:w="0" w:type="dxa"/>
        <w:right w:w="0" w:type="dxa"/>
      </w:tblCellMar>
    </w:tblPr>
    <w:tblStylePr w:type="firstRow">
      <w:rPr>
        <w:color w:val="F2F2F2"/>
        <w:sz w:val="22"/>
      </w:rPr>
      <w:tblPr/>
      <w:tcPr>
        <w:shd w:val="clear" w:color="FFFFFF" w:fill="9ABB59" w:themeFill="accent3" w:themeFillTint="FE"/>
      </w:tcPr>
    </w:tblStylePr>
    <w:tblStylePr w:type="lastRow">
      <w:rPr>
        <w:color w:val="F2F2F2"/>
        <w:sz w:val="22"/>
      </w:rPr>
      <w:tblPr/>
      <w:tcPr>
        <w:shd w:val="clear" w:color="FFFFFF" w:fill="9ABB59" w:themeFill="accent3" w:themeFillTint="FE"/>
      </w:tcPr>
    </w:tblStylePr>
    <w:tblStylePr w:type="firstCol">
      <w:rPr>
        <w:color w:val="F2F2F2"/>
        <w:sz w:val="22"/>
      </w:rPr>
      <w:tblPr/>
      <w:tcPr>
        <w:shd w:val="clear" w:color="FFFFFF" w:fill="9ABB59" w:themeFill="accent3" w:themeFillTint="FE"/>
      </w:tcPr>
    </w:tblStylePr>
    <w:tblStylePr w:type="lastCol">
      <w:rPr>
        <w:color w:val="F2F2F2"/>
        <w:sz w:val="22"/>
      </w:rPr>
      <w:tblPr/>
      <w:tcPr>
        <w:shd w:val="clear" w:color="FFFFFF" w:fill="9ABB59" w:themeFill="accent3" w:themeFillTint="FE"/>
      </w:tcPr>
    </w:tblStylePr>
    <w:tblStylePr w:type="band1Vert">
      <w:rPr>
        <w:color w:val="404040"/>
        <w:sz w:val="22"/>
      </w:rPr>
    </w:tblStylePr>
    <w:tblStylePr w:type="band2Vert">
      <w:rPr>
        <w:color w:val="404040"/>
        <w:sz w:val="22"/>
      </w:rPr>
      <w:tblPr/>
      <w:tcPr>
        <w:shd w:val="clear" w:color="FFFFFF" w:fill="EAF1DC" w:themeFill="accent3" w:themeFillTint="34"/>
      </w:tcPr>
    </w:tblStylePr>
    <w:tblStylePr w:type="band1Horz">
      <w:rPr>
        <w:color w:val="404040"/>
        <w:sz w:val="22"/>
      </w:rPr>
    </w:tblStylePr>
    <w:tblStylePr w:type="band2Horz">
      <w:rPr>
        <w:color w:val="404040"/>
        <w:sz w:val="22"/>
      </w:rPr>
      <w:tblPr/>
      <w:tcPr>
        <w:shd w:val="clear" w:color="FFFFFF"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CellMar>
        <w:top w:w="0" w:type="dxa"/>
        <w:left w:w="0" w:type="dxa"/>
        <w:bottom w:w="0" w:type="dxa"/>
        <w:right w:w="0" w:type="dxa"/>
      </w:tblCellMar>
    </w:tblPr>
    <w:tblStylePr w:type="firstRow">
      <w:rPr>
        <w:color w:val="F2F2F2"/>
        <w:sz w:val="22"/>
      </w:rPr>
      <w:tblPr/>
      <w:tcPr>
        <w:shd w:val="clear" w:color="FFFFFF" w:fill="B2A1C6" w:themeFill="accent4" w:themeFillTint="9A"/>
      </w:tcPr>
    </w:tblStylePr>
    <w:tblStylePr w:type="lastRow">
      <w:rPr>
        <w:color w:val="F2F2F2"/>
        <w:sz w:val="22"/>
      </w:rPr>
      <w:tblPr/>
      <w:tcPr>
        <w:shd w:val="clear" w:color="FFFFFF" w:fill="B2A1C6" w:themeFill="accent4" w:themeFillTint="9A"/>
      </w:tcPr>
    </w:tblStylePr>
    <w:tblStylePr w:type="firstCol">
      <w:rPr>
        <w:color w:val="F2F2F2"/>
        <w:sz w:val="22"/>
      </w:rPr>
      <w:tblPr/>
      <w:tcPr>
        <w:shd w:val="clear" w:color="FFFFFF" w:fill="B2A1C6" w:themeFill="accent4" w:themeFillTint="9A"/>
      </w:tcPr>
    </w:tblStylePr>
    <w:tblStylePr w:type="lastCol">
      <w:rPr>
        <w:color w:val="F2F2F2"/>
        <w:sz w:val="22"/>
      </w:rPr>
      <w:tblPr/>
      <w:tcPr>
        <w:shd w:val="clear" w:color="FFFFFF" w:fill="B2A1C6" w:themeFill="accent4" w:themeFillTint="9A"/>
      </w:tcPr>
    </w:tblStylePr>
    <w:tblStylePr w:type="band1Vert">
      <w:rPr>
        <w:color w:val="404040"/>
        <w:sz w:val="22"/>
      </w:rPr>
    </w:tblStylePr>
    <w:tblStylePr w:type="band2Vert">
      <w:rPr>
        <w:color w:val="404040"/>
        <w:sz w:val="22"/>
      </w:rPr>
      <w:tblPr/>
      <w:tcPr>
        <w:shd w:val="clear" w:color="FFFFFF" w:fill="E5DFEC" w:themeFill="accent4" w:themeFillTint="34"/>
      </w:tcPr>
    </w:tblStylePr>
    <w:tblStylePr w:type="band1Horz">
      <w:rPr>
        <w:color w:val="404040"/>
        <w:sz w:val="22"/>
      </w:rPr>
    </w:tblStylePr>
    <w:tblStylePr w:type="band2Horz">
      <w:rPr>
        <w:color w:val="404040"/>
        <w:sz w:val="22"/>
      </w:rPr>
      <w:tblPr/>
      <w:tcPr>
        <w:shd w:val="clear" w:color="FFFFFF"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CellMar>
        <w:top w:w="0" w:type="dxa"/>
        <w:left w:w="0" w:type="dxa"/>
        <w:bottom w:w="0" w:type="dxa"/>
        <w:right w:w="0" w:type="dxa"/>
      </w:tblCellMar>
    </w:tblPr>
    <w:tblStylePr w:type="firstRow">
      <w:rPr>
        <w:color w:val="F2F2F2"/>
        <w:sz w:val="22"/>
      </w:rPr>
      <w:tblPr/>
      <w:tcPr>
        <w:shd w:val="clear" w:color="FFFFFF" w:fill="4BACC6" w:themeFill="accent5"/>
      </w:tcPr>
    </w:tblStylePr>
    <w:tblStylePr w:type="lastRow">
      <w:rPr>
        <w:color w:val="F2F2F2"/>
        <w:sz w:val="22"/>
      </w:rPr>
      <w:tblPr/>
      <w:tcPr>
        <w:shd w:val="clear" w:color="FFFFFF" w:fill="4BACC6" w:themeFill="accent5"/>
      </w:tcPr>
    </w:tblStylePr>
    <w:tblStylePr w:type="firstCol">
      <w:rPr>
        <w:color w:val="F2F2F2"/>
        <w:sz w:val="22"/>
      </w:rPr>
      <w:tblPr/>
      <w:tcPr>
        <w:shd w:val="clear" w:color="FFFFFF" w:fill="4BACC6" w:themeFill="accent5"/>
      </w:tcPr>
    </w:tblStylePr>
    <w:tblStylePr w:type="lastCol">
      <w:rPr>
        <w:color w:val="F2F2F2"/>
        <w:sz w:val="22"/>
      </w:rPr>
      <w:tblPr/>
      <w:tcPr>
        <w:shd w:val="clear" w:color="FFFFFF" w:fill="4BACC6" w:themeFill="accent5"/>
      </w:tcPr>
    </w:tblStylePr>
    <w:tblStylePr w:type="band1Vert">
      <w:rPr>
        <w:color w:val="404040"/>
        <w:sz w:val="22"/>
      </w:rPr>
    </w:tblStylePr>
    <w:tblStylePr w:type="band2Vert">
      <w:rPr>
        <w:color w:val="404040"/>
        <w:sz w:val="22"/>
      </w:rPr>
      <w:tblPr/>
      <w:tcPr>
        <w:shd w:val="clear" w:color="FFFFFF" w:fill="DAEEF3" w:themeFill="accent5" w:themeFillTint="34"/>
      </w:tcPr>
    </w:tblStylePr>
    <w:tblStylePr w:type="band1Horz">
      <w:rPr>
        <w:color w:val="404040"/>
        <w:sz w:val="22"/>
      </w:rPr>
    </w:tblStylePr>
    <w:tblStylePr w:type="band2Horz">
      <w:rPr>
        <w:color w:val="404040"/>
        <w:sz w:val="22"/>
      </w:rPr>
      <w:tblPr/>
      <w:tcPr>
        <w:shd w:val="clear" w:color="FFFFFF"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CellMar>
        <w:top w:w="0" w:type="dxa"/>
        <w:left w:w="0" w:type="dxa"/>
        <w:bottom w:w="0" w:type="dxa"/>
        <w:right w:w="0" w:type="dxa"/>
      </w:tblCellMar>
    </w:tblPr>
    <w:tblStylePr w:type="firstRow">
      <w:rPr>
        <w:color w:val="F2F2F2"/>
        <w:sz w:val="22"/>
      </w:rPr>
      <w:tblPr/>
      <w:tcPr>
        <w:shd w:val="clear" w:color="FFFFFF" w:fill="F79646" w:themeFill="accent6"/>
      </w:tcPr>
    </w:tblStylePr>
    <w:tblStylePr w:type="lastRow">
      <w:rPr>
        <w:color w:val="F2F2F2"/>
        <w:sz w:val="22"/>
      </w:rPr>
      <w:tblPr/>
      <w:tcPr>
        <w:shd w:val="clear" w:color="FFFFFF" w:fill="F79646" w:themeFill="accent6"/>
      </w:tcPr>
    </w:tblStylePr>
    <w:tblStylePr w:type="firstCol">
      <w:rPr>
        <w:color w:val="F2F2F2"/>
        <w:sz w:val="22"/>
      </w:rPr>
      <w:tblPr/>
      <w:tcPr>
        <w:shd w:val="clear" w:color="FFFFFF" w:fill="F79646" w:themeFill="accent6"/>
      </w:tcPr>
    </w:tblStylePr>
    <w:tblStylePr w:type="lastCol">
      <w:rPr>
        <w:color w:val="F2F2F2"/>
        <w:sz w:val="22"/>
      </w:rPr>
      <w:tblPr/>
      <w:tcPr>
        <w:shd w:val="clear" w:color="FFFFFF" w:fill="F79646" w:themeFill="accent6"/>
      </w:tcPr>
    </w:tblStylePr>
    <w:tblStylePr w:type="band1Vert">
      <w:rPr>
        <w:color w:val="404040"/>
        <w:sz w:val="22"/>
      </w:rPr>
    </w:tblStylePr>
    <w:tblStylePr w:type="band2Vert">
      <w:rPr>
        <w:color w:val="404040"/>
        <w:sz w:val="22"/>
      </w:rPr>
      <w:tblPr/>
      <w:tcPr>
        <w:shd w:val="clear" w:color="FFFFFF" w:fill="FDE9D8" w:themeFill="accent6" w:themeFillTint="34"/>
      </w:tcPr>
    </w:tblStylePr>
    <w:tblStylePr w:type="band1Horz">
      <w:rPr>
        <w:color w:val="404040"/>
        <w:sz w:val="22"/>
      </w:rPr>
    </w:tblStylePr>
    <w:tblStylePr w:type="band2Horz">
      <w:rPr>
        <w:color w:val="404040"/>
        <w:sz w:val="22"/>
      </w:rPr>
      <w:tblPr/>
      <w:tcPr>
        <w:shd w:val="clear" w:color="FFFFFF"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FFFFFF" w:fill="7F7F7F" w:themeFill="text1" w:themeFillTint="80"/>
      </w:tcPr>
    </w:tblStylePr>
    <w:tblStylePr w:type="lastRow">
      <w:rPr>
        <w:color w:val="F2F2F2"/>
        <w:sz w:val="22"/>
      </w:rPr>
      <w:tblPr/>
      <w:tcPr>
        <w:shd w:val="clear" w:color="FFFFFF" w:fill="7F7F7F" w:themeFill="text1" w:themeFillTint="80"/>
      </w:tcPr>
    </w:tblStylePr>
    <w:tblStylePr w:type="firstCol">
      <w:rPr>
        <w:color w:val="F2F2F2"/>
        <w:sz w:val="22"/>
      </w:rPr>
      <w:tblPr/>
      <w:tcPr>
        <w:shd w:val="clear" w:color="FFFFFF" w:fill="7F7F7F" w:themeFill="text1" w:themeFillTint="80"/>
      </w:tcPr>
    </w:tblStylePr>
    <w:tblStylePr w:type="lastCol">
      <w:rPr>
        <w:color w:val="F2F2F2"/>
        <w:sz w:val="22"/>
      </w:rPr>
      <w:tblPr/>
      <w:tcPr>
        <w:shd w:val="clear" w:color="FFFFFF" w:fill="7F7F7F" w:themeFill="text1" w:themeFillTint="80"/>
      </w:tcPr>
    </w:tblStylePr>
    <w:tblStylePr w:type="band1Vert">
      <w:rPr>
        <w:color w:val="404040"/>
        <w:sz w:val="22"/>
      </w:rPr>
    </w:tblStylePr>
    <w:tblStylePr w:type="band2Vert">
      <w:rPr>
        <w:color w:val="404040"/>
        <w:sz w:val="22"/>
      </w:rPr>
      <w:tblPr/>
      <w:tcPr>
        <w:shd w:val="clear" w:color="FFFFFF" w:fill="FFFFFF" w:themeFill="text1" w:themeFillTint="00"/>
      </w:tcPr>
    </w:tblStylePr>
    <w:tblStylePr w:type="band1Horz">
      <w:rPr>
        <w:color w:val="404040"/>
        <w:sz w:val="22"/>
      </w:rPr>
    </w:tblStylePr>
    <w:tblStylePr w:type="band2Horz">
      <w:rPr>
        <w:color w:val="404040"/>
        <w:sz w:val="22"/>
      </w:rPr>
      <w:tblPr/>
      <w:tcPr>
        <w:shd w:val="clear" w:color="FFFFFF" w:fill="FFFFFF" w:themeFill="text1" w:themeFillTint="00"/>
      </w:tcPr>
    </w:tblStylePr>
  </w:style>
  <w:style w:type="table" w:customStyle="1" w:styleId="BorderedLined-Accent1">
    <w:name w:val="Bordered &amp; Lined - Accent 1"/>
    <w:uiPriority w:val="99"/>
    <w:rPr>
      <w:color w:val="404040"/>
      <w:lang w:eastAsia="ru-RU"/>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FFFFFF" w:fill="5D8AC2" w:themeFill="accent1" w:themeFillTint="EA"/>
      </w:tcPr>
    </w:tblStylePr>
    <w:tblStylePr w:type="lastRow">
      <w:rPr>
        <w:color w:val="F2F2F2"/>
        <w:sz w:val="22"/>
      </w:rPr>
      <w:tblPr/>
      <w:tcPr>
        <w:shd w:val="clear" w:color="FFFFFF" w:fill="5D8AC2" w:themeFill="accent1" w:themeFillTint="EA"/>
      </w:tcPr>
    </w:tblStylePr>
    <w:tblStylePr w:type="firstCol">
      <w:rPr>
        <w:color w:val="F2F2F2"/>
        <w:sz w:val="22"/>
      </w:rPr>
      <w:tblPr/>
      <w:tcPr>
        <w:shd w:val="clear" w:color="FFFFFF" w:fill="5D8AC2" w:themeFill="accent1" w:themeFillTint="EA"/>
      </w:tcPr>
    </w:tblStylePr>
    <w:tblStylePr w:type="lastCol">
      <w:rPr>
        <w:color w:val="F2F2F2"/>
        <w:sz w:val="22"/>
      </w:rPr>
      <w:tblPr/>
      <w:tcPr>
        <w:shd w:val="clear" w:color="FFFFFF" w:fill="5D8AC2" w:themeFill="accent1" w:themeFillTint="EA"/>
      </w:tcPr>
    </w:tblStylePr>
    <w:tblStylePr w:type="band1Vert">
      <w:rPr>
        <w:color w:val="404040"/>
        <w:sz w:val="22"/>
      </w:rPr>
    </w:tblStylePr>
    <w:tblStylePr w:type="band2Vert">
      <w:rPr>
        <w:color w:val="404040"/>
        <w:sz w:val="22"/>
      </w:rPr>
      <w:tblPr/>
      <w:tcPr>
        <w:shd w:val="clear" w:color="FFFFFF" w:fill="C7D7EA" w:themeFill="accent1" w:themeFillTint="50"/>
      </w:tcPr>
    </w:tblStylePr>
    <w:tblStylePr w:type="band1Horz">
      <w:rPr>
        <w:color w:val="404040"/>
        <w:sz w:val="22"/>
      </w:rPr>
    </w:tblStylePr>
    <w:tblStylePr w:type="band2Horz">
      <w:rPr>
        <w:color w:val="404040"/>
        <w:sz w:val="22"/>
      </w:rPr>
      <w:tblPr/>
      <w:tcPr>
        <w:shd w:val="clear" w:color="FFFFFF"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FFFFFF" w:fill="D99695" w:themeFill="accent2" w:themeFillTint="97"/>
      </w:tcPr>
    </w:tblStylePr>
    <w:tblStylePr w:type="lastRow">
      <w:rPr>
        <w:color w:val="F2F2F2"/>
        <w:sz w:val="22"/>
      </w:rPr>
      <w:tblPr/>
      <w:tcPr>
        <w:shd w:val="clear" w:color="FFFFFF" w:fill="D99695" w:themeFill="accent2" w:themeFillTint="97"/>
      </w:tcPr>
    </w:tblStylePr>
    <w:tblStylePr w:type="firstCol">
      <w:rPr>
        <w:color w:val="F2F2F2"/>
        <w:sz w:val="22"/>
      </w:rPr>
      <w:tblPr/>
      <w:tcPr>
        <w:shd w:val="clear" w:color="FFFFFF" w:fill="D99695" w:themeFill="accent2" w:themeFillTint="97"/>
      </w:tcPr>
    </w:tblStylePr>
    <w:tblStylePr w:type="lastCol">
      <w:rPr>
        <w:color w:val="F2F2F2"/>
        <w:sz w:val="22"/>
      </w:rPr>
      <w:tblPr/>
      <w:tcPr>
        <w:shd w:val="clear" w:color="FFFFFF" w:fill="D99695" w:themeFill="accent2" w:themeFillTint="97"/>
      </w:tcPr>
    </w:tblStylePr>
    <w:tblStylePr w:type="band1Vert">
      <w:rPr>
        <w:color w:val="404040"/>
        <w:sz w:val="22"/>
      </w:rPr>
    </w:tblStylePr>
    <w:tblStylePr w:type="band2Vert">
      <w:rPr>
        <w:color w:val="404040"/>
        <w:sz w:val="22"/>
      </w:rPr>
      <w:tblPr/>
      <w:tcPr>
        <w:shd w:val="clear" w:color="FFFFFF" w:fill="F2DCDC" w:themeFill="accent2" w:themeFillTint="32"/>
      </w:tcPr>
    </w:tblStylePr>
    <w:tblStylePr w:type="band1Horz">
      <w:rPr>
        <w:color w:val="404040"/>
        <w:sz w:val="22"/>
      </w:rPr>
    </w:tblStylePr>
    <w:tblStylePr w:type="band2Horz">
      <w:rPr>
        <w:color w:val="404040"/>
        <w:sz w:val="22"/>
      </w:rPr>
      <w:tblPr/>
      <w:tcPr>
        <w:shd w:val="clear" w:color="FFFFFF"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FFFFFF" w:fill="9ABB59" w:themeFill="accent3" w:themeFillTint="FE"/>
      </w:tcPr>
    </w:tblStylePr>
    <w:tblStylePr w:type="lastRow">
      <w:rPr>
        <w:color w:val="F2F2F2"/>
        <w:sz w:val="22"/>
      </w:rPr>
      <w:tblPr/>
      <w:tcPr>
        <w:shd w:val="clear" w:color="FFFFFF" w:fill="9ABB59" w:themeFill="accent3" w:themeFillTint="FE"/>
      </w:tcPr>
    </w:tblStylePr>
    <w:tblStylePr w:type="firstCol">
      <w:rPr>
        <w:color w:val="F2F2F2"/>
        <w:sz w:val="22"/>
      </w:rPr>
      <w:tblPr/>
      <w:tcPr>
        <w:shd w:val="clear" w:color="FFFFFF" w:fill="9ABB59" w:themeFill="accent3" w:themeFillTint="FE"/>
      </w:tcPr>
    </w:tblStylePr>
    <w:tblStylePr w:type="lastCol">
      <w:rPr>
        <w:color w:val="F2F2F2"/>
        <w:sz w:val="22"/>
      </w:rPr>
      <w:tblPr/>
      <w:tcPr>
        <w:shd w:val="clear" w:color="FFFFFF" w:fill="9ABB59" w:themeFill="accent3" w:themeFillTint="FE"/>
      </w:tcPr>
    </w:tblStylePr>
    <w:tblStylePr w:type="band1Vert">
      <w:rPr>
        <w:color w:val="404040"/>
        <w:sz w:val="22"/>
      </w:rPr>
    </w:tblStylePr>
    <w:tblStylePr w:type="band2Vert">
      <w:rPr>
        <w:color w:val="404040"/>
        <w:sz w:val="22"/>
      </w:rPr>
      <w:tblPr/>
      <w:tcPr>
        <w:shd w:val="clear" w:color="FFFFFF" w:fill="EAF1DC" w:themeFill="accent3" w:themeFillTint="34"/>
      </w:tcPr>
    </w:tblStylePr>
    <w:tblStylePr w:type="band1Horz">
      <w:rPr>
        <w:color w:val="404040"/>
        <w:sz w:val="22"/>
      </w:rPr>
    </w:tblStylePr>
    <w:tblStylePr w:type="band2Horz">
      <w:rPr>
        <w:color w:val="404040"/>
        <w:sz w:val="22"/>
      </w:rPr>
      <w:tblPr/>
      <w:tcPr>
        <w:shd w:val="clear" w:color="FFFFFF"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FFFFFF" w:fill="B2A1C6" w:themeFill="accent4" w:themeFillTint="9A"/>
      </w:tcPr>
    </w:tblStylePr>
    <w:tblStylePr w:type="lastRow">
      <w:rPr>
        <w:color w:val="F2F2F2"/>
        <w:sz w:val="22"/>
      </w:rPr>
      <w:tblPr/>
      <w:tcPr>
        <w:shd w:val="clear" w:color="FFFFFF" w:fill="B2A1C6" w:themeFill="accent4" w:themeFillTint="9A"/>
      </w:tcPr>
    </w:tblStylePr>
    <w:tblStylePr w:type="firstCol">
      <w:rPr>
        <w:color w:val="F2F2F2"/>
        <w:sz w:val="22"/>
      </w:rPr>
      <w:tblPr/>
      <w:tcPr>
        <w:shd w:val="clear" w:color="FFFFFF" w:fill="B2A1C6" w:themeFill="accent4" w:themeFillTint="9A"/>
      </w:tcPr>
    </w:tblStylePr>
    <w:tblStylePr w:type="lastCol">
      <w:rPr>
        <w:color w:val="F2F2F2"/>
        <w:sz w:val="22"/>
      </w:rPr>
      <w:tblPr/>
      <w:tcPr>
        <w:shd w:val="clear" w:color="FFFFFF" w:fill="B2A1C6" w:themeFill="accent4" w:themeFillTint="9A"/>
      </w:tcPr>
    </w:tblStylePr>
    <w:tblStylePr w:type="band1Vert">
      <w:rPr>
        <w:color w:val="404040"/>
        <w:sz w:val="22"/>
      </w:rPr>
    </w:tblStylePr>
    <w:tblStylePr w:type="band2Vert">
      <w:rPr>
        <w:color w:val="404040"/>
        <w:sz w:val="22"/>
      </w:rPr>
      <w:tblPr/>
      <w:tcPr>
        <w:shd w:val="clear" w:color="FFFFFF" w:fill="E5DFEC" w:themeFill="accent4" w:themeFillTint="34"/>
      </w:tcPr>
    </w:tblStylePr>
    <w:tblStylePr w:type="band1Horz">
      <w:rPr>
        <w:color w:val="404040"/>
        <w:sz w:val="22"/>
      </w:rPr>
    </w:tblStylePr>
    <w:tblStylePr w:type="band2Horz">
      <w:rPr>
        <w:color w:val="404040"/>
        <w:sz w:val="22"/>
      </w:rPr>
      <w:tblPr/>
      <w:tcPr>
        <w:shd w:val="clear" w:color="FFFFFF"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FFFFFF" w:fill="4BACC6" w:themeFill="accent5"/>
      </w:tcPr>
    </w:tblStylePr>
    <w:tblStylePr w:type="lastRow">
      <w:rPr>
        <w:color w:val="F2F2F2"/>
        <w:sz w:val="22"/>
      </w:rPr>
      <w:tblPr/>
      <w:tcPr>
        <w:shd w:val="clear" w:color="FFFFFF" w:fill="4BACC6" w:themeFill="accent5"/>
      </w:tcPr>
    </w:tblStylePr>
    <w:tblStylePr w:type="firstCol">
      <w:rPr>
        <w:color w:val="F2F2F2"/>
        <w:sz w:val="22"/>
      </w:rPr>
      <w:tblPr/>
      <w:tcPr>
        <w:shd w:val="clear" w:color="FFFFFF" w:fill="4BACC6" w:themeFill="accent5"/>
      </w:tcPr>
    </w:tblStylePr>
    <w:tblStylePr w:type="lastCol">
      <w:rPr>
        <w:color w:val="F2F2F2"/>
        <w:sz w:val="22"/>
      </w:rPr>
      <w:tblPr/>
      <w:tcPr>
        <w:shd w:val="clear" w:color="FFFFFF" w:fill="4BACC6" w:themeFill="accent5"/>
      </w:tcPr>
    </w:tblStylePr>
    <w:tblStylePr w:type="band1Vert">
      <w:rPr>
        <w:color w:val="404040"/>
        <w:sz w:val="22"/>
      </w:rPr>
    </w:tblStylePr>
    <w:tblStylePr w:type="band2Vert">
      <w:rPr>
        <w:color w:val="404040"/>
        <w:sz w:val="22"/>
      </w:rPr>
      <w:tblPr/>
      <w:tcPr>
        <w:shd w:val="clear" w:color="FFFFFF" w:fill="DAEEF3" w:themeFill="accent5" w:themeFillTint="34"/>
      </w:tcPr>
    </w:tblStylePr>
    <w:tblStylePr w:type="band1Horz">
      <w:rPr>
        <w:color w:val="404040"/>
        <w:sz w:val="22"/>
      </w:rPr>
    </w:tblStylePr>
    <w:tblStylePr w:type="band2Horz">
      <w:rPr>
        <w:color w:val="404040"/>
        <w:sz w:val="22"/>
      </w:rPr>
      <w:tblPr/>
      <w:tcPr>
        <w:shd w:val="clear" w:color="FFFFFF"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FFFFFF" w:fill="F79646" w:themeFill="accent6"/>
      </w:tcPr>
    </w:tblStylePr>
    <w:tblStylePr w:type="lastRow">
      <w:rPr>
        <w:color w:val="F2F2F2"/>
        <w:sz w:val="22"/>
      </w:rPr>
      <w:tblPr/>
      <w:tcPr>
        <w:shd w:val="clear" w:color="FFFFFF" w:fill="F79646" w:themeFill="accent6"/>
      </w:tcPr>
    </w:tblStylePr>
    <w:tblStylePr w:type="firstCol">
      <w:rPr>
        <w:color w:val="F2F2F2"/>
        <w:sz w:val="22"/>
      </w:rPr>
      <w:tblPr/>
      <w:tcPr>
        <w:shd w:val="clear" w:color="FFFFFF" w:fill="F79646" w:themeFill="accent6"/>
      </w:tcPr>
    </w:tblStylePr>
    <w:tblStylePr w:type="lastCol">
      <w:rPr>
        <w:color w:val="F2F2F2"/>
        <w:sz w:val="22"/>
      </w:rPr>
      <w:tblPr/>
      <w:tcPr>
        <w:shd w:val="clear" w:color="FFFFFF" w:fill="F79646" w:themeFill="accent6"/>
      </w:tcPr>
    </w:tblStylePr>
    <w:tblStylePr w:type="band1Vert">
      <w:rPr>
        <w:color w:val="404040"/>
        <w:sz w:val="22"/>
      </w:rPr>
    </w:tblStylePr>
    <w:tblStylePr w:type="band2Vert">
      <w:rPr>
        <w:color w:val="404040"/>
        <w:sz w:val="22"/>
      </w:rPr>
      <w:tblPr/>
      <w:tcPr>
        <w:shd w:val="clear" w:color="FFFFFF" w:fill="FDE9D8" w:themeFill="accent6" w:themeFillTint="34"/>
      </w:tcPr>
    </w:tblStylePr>
    <w:tblStylePr w:type="band1Horz">
      <w:rPr>
        <w:color w:val="404040"/>
        <w:sz w:val="22"/>
      </w:rPr>
    </w:tblStylePr>
    <w:tblStylePr w:type="band2Horz">
      <w:rPr>
        <w:color w:val="404040"/>
        <w:sz w:val="22"/>
      </w:rPr>
      <w:tblPr/>
      <w:tcPr>
        <w:shd w:val="clear" w:color="FFFFFF" w:fill="FDE9D8" w:themeFill="accent6" w:themeFillTint="34"/>
      </w:tcPr>
    </w:tblStylePr>
  </w:style>
  <w:style w:type="table" w:customStyle="1" w:styleId="Bordered">
    <w:name w:val="Bordered"/>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1gzakaz.ru/" TargetMode="External"/><Relationship Id="rId21" Type="http://schemas.openxmlformats.org/officeDocument/2006/relationships/hyperlink" Target="https://login.consultant.ru/link/?req=doc&amp;base=LAW&amp;n=513601&amp;dst=100710&amp;field=134&amp;date=09.09.2025" TargetMode="External"/><Relationship Id="rId42" Type="http://schemas.openxmlformats.org/officeDocument/2006/relationships/hyperlink" Target="https://login.consultant.ru/link/?req=doc&amp;base=LAW&amp;n=513601&amp;dst=101635&amp;field=134&amp;date=09.09.2025" TargetMode="External"/><Relationship Id="rId47" Type="http://schemas.openxmlformats.org/officeDocument/2006/relationships/hyperlink" Target="https://login.consultant.ru/link/?req=doc&amp;base=LAW&amp;n=513601&amp;dst=101682&amp;field=134&amp;date=09.09.2025" TargetMode="External"/><Relationship Id="rId63" Type="http://schemas.openxmlformats.org/officeDocument/2006/relationships/hyperlink" Target="https://login.consultant.ru/link/?req=doc&amp;base=LAW&amp;n=513601&amp;dst=100750&amp;field=134&amp;date=09.09.2025" TargetMode="External"/><Relationship Id="rId68" Type="http://schemas.openxmlformats.org/officeDocument/2006/relationships/hyperlink" Target="https://login.consultant.ru/link/?req=doc&amp;base=LAW&amp;n=513601&amp;dst=101838&amp;field=134&amp;date=09.09.2025" TargetMode="External"/><Relationship Id="rId84" Type="http://schemas.openxmlformats.org/officeDocument/2006/relationships/hyperlink" Target="https://login.consultant.ru/link/?req=doc&amp;base=LAW&amp;n=511948&amp;dst=1170&amp;field=134&amp;date=05.09.2025" TargetMode="External"/><Relationship Id="rId89" Type="http://schemas.openxmlformats.org/officeDocument/2006/relationships/hyperlink" Target="https://garant.orb.ru/" TargetMode="External"/><Relationship Id="rId16" Type="http://schemas.openxmlformats.org/officeDocument/2006/relationships/hyperlink" Target="https://login.consultant.ru/link/?req=doc&amp;base=LAW&amp;n=511948&amp;dst=1170&amp;field=134&amp;date=05.09.2025" TargetMode="External"/><Relationship Id="rId11" Type="http://schemas.openxmlformats.org/officeDocument/2006/relationships/hyperlink" Target="https://internet.garant.ru/" TargetMode="External"/><Relationship Id="rId32" Type="http://schemas.openxmlformats.org/officeDocument/2006/relationships/hyperlink" Target="https://1gzakaz.ru/" TargetMode="External"/><Relationship Id="rId37" Type="http://schemas.openxmlformats.org/officeDocument/2006/relationships/hyperlink" Target="https://1gzakaz.ru/" TargetMode="External"/><Relationship Id="rId53" Type="http://schemas.openxmlformats.org/officeDocument/2006/relationships/hyperlink" Target="https://login.consultant.ru/link/?req=doc&amp;base=LAW&amp;n=513601&amp;dst=101808&amp;field=134&amp;date=09.09.2025" TargetMode="External"/><Relationship Id="rId58" Type="http://schemas.openxmlformats.org/officeDocument/2006/relationships/hyperlink" Target="https://login.consultant.ru/link/?req=doc&amp;base=LAW&amp;n=513601&amp;dst=101440&amp;field=134&amp;date=09.09.2025" TargetMode="External"/><Relationship Id="rId74" Type="http://schemas.openxmlformats.org/officeDocument/2006/relationships/hyperlink" Target="https://garant.orb.ru/" TargetMode="External"/><Relationship Id="rId79" Type="http://schemas.openxmlformats.org/officeDocument/2006/relationships/hyperlink" Target="https://garant.orb.ru/" TargetMode="External"/><Relationship Id="rId102"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https://1gzakaz.ru/" TargetMode="External"/><Relationship Id="rId95" Type="http://schemas.openxmlformats.org/officeDocument/2006/relationships/hyperlink" Target="consultantplus://offline/ref=ADE6C77B1A3576315FE368211DDB88C8167877F5B4C79B319E0318B7305D50F9246AB91ACC4CFBA69789E4D84F53E8C7E1E6C85EAA26Q4hAE" TargetMode="External"/><Relationship Id="rId22" Type="http://schemas.openxmlformats.org/officeDocument/2006/relationships/hyperlink" Target="https://login.consultant.ru/link/?req=doc&amp;base=LAW&amp;n=513601&amp;dst=100719&amp;field=134&amp;date=09.09.2025" TargetMode="External"/><Relationship Id="rId27" Type="http://schemas.openxmlformats.org/officeDocument/2006/relationships/hyperlink" Target="https://1gzakaz.ru/" TargetMode="External"/><Relationship Id="rId43" Type="http://schemas.openxmlformats.org/officeDocument/2006/relationships/hyperlink" Target="https://login.consultant.ru/link/?req=doc&amp;base=LAW&amp;n=513601&amp;dst=101641&amp;field=134&amp;date=09.09.2025" TargetMode="External"/><Relationship Id="rId48" Type="http://schemas.openxmlformats.org/officeDocument/2006/relationships/hyperlink" Target="https://login.consultant.ru/link/?req=doc&amp;base=LAW&amp;n=513601&amp;dst=101688&amp;field=134&amp;date=09.09.2025" TargetMode="External"/><Relationship Id="rId64" Type="http://schemas.openxmlformats.org/officeDocument/2006/relationships/hyperlink" Target="https://login.consultant.ru/link/?req=doc&amp;base=LAW&amp;n=513601&amp;dst=101260&amp;field=134&amp;date=09.09.2025" TargetMode="External"/><Relationship Id="rId69" Type="http://schemas.openxmlformats.org/officeDocument/2006/relationships/hyperlink" Target="https://login.consultant.ru/link/?req=doc&amp;base=LAW&amp;n=513601&amp;dst=101844&amp;field=134&amp;date=09.09.2025" TargetMode="External"/><Relationship Id="rId80" Type="http://schemas.openxmlformats.org/officeDocument/2006/relationships/hyperlink" Target="https://garant.orb.ru/" TargetMode="External"/><Relationship Id="rId85" Type="http://schemas.openxmlformats.org/officeDocument/2006/relationships/hyperlink" Target="https://1gzakaz.ru/" TargetMode="External"/><Relationship Id="rId12" Type="http://schemas.openxmlformats.org/officeDocument/2006/relationships/hyperlink" Target="consultantplus://offline/ref=F2ACDE233A6AC067C1E40D236F542E9D5472A222AEE4B922BC10995E90A773588040EC78D916AD7C0969AE5DDD826A4E4C9D93879B61TDg0B" TargetMode="External"/><Relationship Id="rId17" Type="http://schemas.openxmlformats.org/officeDocument/2006/relationships/hyperlink" Target="https://login.consultant.ru/link/?req=doc&amp;base=LAW&amp;n=513601&amp;dst=100704&amp;field=134&amp;date=09.09.2025" TargetMode="External"/><Relationship Id="rId25" Type="http://schemas.openxmlformats.org/officeDocument/2006/relationships/hyperlink" Target="https://login.consultant.ru/link/?req=doc&amp;base=LAW&amp;n=451182&amp;dst=100024&amp;field=134&amp;date=03.09.2025" TargetMode="External"/><Relationship Id="rId33" Type="http://schemas.openxmlformats.org/officeDocument/2006/relationships/hyperlink" Target="https://1gzakaz.ru/" TargetMode="External"/><Relationship Id="rId38" Type="http://schemas.openxmlformats.org/officeDocument/2006/relationships/hyperlink" Target="https://login.consultant.ru/link/?req=doc&amp;base=LAW&amp;n=505888&amp;dst=225&amp;field=134&amp;date=05.09.2025" TargetMode="External"/><Relationship Id="rId46" Type="http://schemas.openxmlformats.org/officeDocument/2006/relationships/hyperlink" Target="https://login.consultant.ru/link/?req=doc&amp;base=LAW&amp;n=513601&amp;dst=101673&amp;field=134&amp;date=09.09.2025" TargetMode="External"/><Relationship Id="rId59" Type="http://schemas.openxmlformats.org/officeDocument/2006/relationships/hyperlink" Target="https://login.consultant.ru/link/?req=doc&amp;base=LAW&amp;n=513601&amp;dst=101449&amp;field=134&amp;date=09.09.2025" TargetMode="External"/><Relationship Id="rId67" Type="http://schemas.openxmlformats.org/officeDocument/2006/relationships/hyperlink" Target="https://login.consultant.ru/link/?req=doc&amp;base=LAW&amp;n=513601&amp;dst=101832&amp;field=134&amp;date=09.09.2025" TargetMode="External"/><Relationship Id="rId103" Type="http://schemas.openxmlformats.org/officeDocument/2006/relationships/theme" Target="theme/theme1.xml"/><Relationship Id="rId20" Type="http://schemas.openxmlformats.org/officeDocument/2006/relationships/hyperlink" Target="https://login.consultant.ru/link/?req=doc&amp;base=LAW&amp;n=513601&amp;dst=100707&amp;field=134&amp;date=09.09.2025" TargetMode="External"/><Relationship Id="rId41" Type="http://schemas.openxmlformats.org/officeDocument/2006/relationships/hyperlink" Target="https://login.consultant.ru/link/?req=doc&amp;base=LAW&amp;n=513601&amp;dst=101572&amp;field=134&amp;date=09.09.2025" TargetMode="External"/><Relationship Id="rId54" Type="http://schemas.openxmlformats.org/officeDocument/2006/relationships/hyperlink" Target="https://login.consultant.ru/link/?req=doc&amp;base=LAW&amp;n=513601&amp;dst=101892&amp;field=134&amp;date=09.09.2025" TargetMode="External"/><Relationship Id="rId62" Type="http://schemas.openxmlformats.org/officeDocument/2006/relationships/hyperlink" Target="https://login.consultant.ru/link/?req=doc&amp;base=LAW&amp;n=513601&amp;dst=101497&amp;field=134&amp;date=09.09.2025" TargetMode="External"/><Relationship Id="rId70" Type="http://schemas.openxmlformats.org/officeDocument/2006/relationships/hyperlink" Target="https://login.consultant.ru/link/?req=doc&amp;base=LAW&amp;n=513601&amp;dst=101880&amp;field=134&amp;date=09.09.2025" TargetMode="External"/><Relationship Id="rId75" Type="http://schemas.openxmlformats.org/officeDocument/2006/relationships/hyperlink" Target="https://garant.orb.ru/" TargetMode="External"/><Relationship Id="rId83" Type="http://schemas.openxmlformats.org/officeDocument/2006/relationships/hyperlink" Target="https://login.consultant.ru/link/?req=doc&amp;base=LAW&amp;n=451182&amp;dst=100024&amp;field=134&amp;date=03.09.2025" TargetMode="External"/><Relationship Id="rId88" Type="http://schemas.openxmlformats.org/officeDocument/2006/relationships/hyperlink" Target="https://login.consultant.ru/link/?req=doc&amp;base=LAW&amp;n=511948&amp;dst=1170&amp;field=134&amp;date=05.09.2025" TargetMode="External"/><Relationship Id="rId91" Type="http://schemas.openxmlformats.org/officeDocument/2006/relationships/hyperlink" Target="https://internet.garant.ru/" TargetMode="External"/><Relationship Id="rId96" Type="http://schemas.openxmlformats.org/officeDocument/2006/relationships/hyperlink" Target="consultantplus://offline/ref=ADE6C77B1A3576315FE368211DDB88C8167877F5B4C79B319E0318B7305D50F9246AB91ACC4EFCA69789E4D84F53E8C7E1E6C85EAA26Q4hA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login.consultant.ru/link/?req=doc&amp;base=LAW&amp;n=505888&amp;dst=225&amp;field=134&amp;date=05.09.2025" TargetMode="External"/><Relationship Id="rId23" Type="http://schemas.openxmlformats.org/officeDocument/2006/relationships/hyperlink" Target="https://garant.orb.ru/" TargetMode="External"/><Relationship Id="rId28" Type="http://schemas.openxmlformats.org/officeDocument/2006/relationships/hyperlink" Target="https://internet.garant.ru/" TargetMode="External"/><Relationship Id="rId36" Type="http://schemas.openxmlformats.org/officeDocument/2006/relationships/hyperlink" Target="https://1gzakaz.ru/" TargetMode="External"/><Relationship Id="rId49" Type="http://schemas.openxmlformats.org/officeDocument/2006/relationships/hyperlink" Target="https://login.consultant.ru/link/?req=doc&amp;base=LAW&amp;n=513601&amp;dst=101694&amp;field=134&amp;date=09.09.2025" TargetMode="External"/><Relationship Id="rId57" Type="http://schemas.openxmlformats.org/officeDocument/2006/relationships/hyperlink" Target="https://login.consultant.ru/link/?req=doc&amp;base=LAW&amp;n=513601&amp;dst=101383&amp;field=134&amp;date=09.09.2025" TargetMode="External"/><Relationship Id="rId10" Type="http://schemas.openxmlformats.org/officeDocument/2006/relationships/hyperlink" Target="https://internet.garant.ru/" TargetMode="External"/><Relationship Id="rId31" Type="http://schemas.openxmlformats.org/officeDocument/2006/relationships/hyperlink" Target="https://login.consultant.ru/link/?req=doc&amp;base=LAW&amp;n=301290&amp;dst=100017&amp;field=134&amp;date=03.02.2026" TargetMode="External"/><Relationship Id="rId44" Type="http://schemas.openxmlformats.org/officeDocument/2006/relationships/hyperlink" Target="https://login.consultant.ru/link/?req=doc&amp;base=LAW&amp;n=513601&amp;dst=101656&amp;field=134&amp;date=09.09.2025" TargetMode="External"/><Relationship Id="rId52" Type="http://schemas.openxmlformats.org/officeDocument/2006/relationships/hyperlink" Target="https://login.consultant.ru/link/?req=doc&amp;base=LAW&amp;n=513601&amp;dst=101748&amp;field=134&amp;date=09.09.2025" TargetMode="External"/><Relationship Id="rId60" Type="http://schemas.openxmlformats.org/officeDocument/2006/relationships/hyperlink" Target="https://login.consultant.ru/link/?req=doc&amp;base=LAW&amp;n=513601&amp;dst=101467&amp;field=134&amp;date=09.09.2025" TargetMode="External"/><Relationship Id="rId65" Type="http://schemas.openxmlformats.org/officeDocument/2006/relationships/hyperlink" Target="https://login.consultant.ru/link/?req=doc&amp;base=LAW&amp;n=513601&amp;dst=101281&amp;field=134&amp;date=09.09.2025" TargetMode="External"/><Relationship Id="rId73" Type="http://schemas.openxmlformats.org/officeDocument/2006/relationships/hyperlink" Target="https://login.consultant.ru/link/?req=doc&amp;base=LAW&amp;n=513601&amp;dst=101916&amp;field=134&amp;date=09.09.2025" TargetMode="External"/><Relationship Id="rId78" Type="http://schemas.openxmlformats.org/officeDocument/2006/relationships/hyperlink" Target="https://garant.orb.ru/" TargetMode="External"/><Relationship Id="rId81" Type="http://schemas.openxmlformats.org/officeDocument/2006/relationships/hyperlink" Target="https://garant.orb.ru/" TargetMode="External"/><Relationship Id="rId86" Type="http://schemas.openxmlformats.org/officeDocument/2006/relationships/hyperlink" Target="https://1gzakaz.ru/" TargetMode="External"/><Relationship Id="rId94" Type="http://schemas.openxmlformats.org/officeDocument/2006/relationships/hyperlink" Target="consultantplus://offline/ref=ADE6C77B1A3576315FE368211DDB88C8167871FABDC59B319E0318B7305D50F9246AB91ECC4CF3F9929CF5804053F4D9E5FCD45CA8Q2h6E" TargetMode="External"/><Relationship Id="rId99" Type="http://schemas.openxmlformats.org/officeDocument/2006/relationships/hyperlink" Target="consultantplus://offline/ref=ADE6C77B1A3576315FE368211DDB88C8167877F5B4C49B319E0318B7305D50F9246AB919CD49FAA69789E4D84F53E8C7E1E6C85EAA26Q4hAE" TargetMode="External"/><Relationship Id="rId101" Type="http://schemas.openxmlformats.org/officeDocument/2006/relationships/hyperlink" Target="consultantplus://offline/ref=ADE6C77B1A3576315FE368211DDB88C8167871FABDC59B319E0318B7305D50F9246AB919CB4CF8A69789E4D84F53E8C7E1E6C85EAA26Q4hAE"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3" Type="http://schemas.openxmlformats.org/officeDocument/2006/relationships/hyperlink" Target="https://1gzakaz.ru/" TargetMode="External"/><Relationship Id="rId18" Type="http://schemas.openxmlformats.org/officeDocument/2006/relationships/hyperlink" Target="https://login.consultant.ru/link/?req=doc&amp;base=LAW&amp;n=513601&amp;dst=100335&amp;field=134&amp;date=09.09.2025" TargetMode="External"/><Relationship Id="rId39" Type="http://schemas.openxmlformats.org/officeDocument/2006/relationships/hyperlink" Target="https://login.consultant.ru/link/?req=doc&amp;base=LAW&amp;n=511948&amp;dst=1170&amp;field=134&amp;date=05.09.2025" TargetMode="External"/><Relationship Id="rId34" Type="http://schemas.openxmlformats.org/officeDocument/2006/relationships/hyperlink" Target="https://1gzakaz.ru/" TargetMode="External"/><Relationship Id="rId50" Type="http://schemas.openxmlformats.org/officeDocument/2006/relationships/hyperlink" Target="https://login.consultant.ru/link/?req=doc&amp;base=LAW&amp;n=513601&amp;dst=101700&amp;field=134&amp;date=09.09.2025" TargetMode="External"/><Relationship Id="rId55" Type="http://schemas.openxmlformats.org/officeDocument/2006/relationships/hyperlink" Target="https://login.consultant.ru/link/?req=doc&amp;base=LAW&amp;n=513601&amp;dst=101359&amp;field=134&amp;date=09.09.2025" TargetMode="External"/><Relationship Id="rId76" Type="http://schemas.openxmlformats.org/officeDocument/2006/relationships/hyperlink" Target="https://garant.orb.ru/" TargetMode="External"/><Relationship Id="rId97" Type="http://schemas.openxmlformats.org/officeDocument/2006/relationships/hyperlink" Target="consultantplus://offline/ref=ADE6C77B1A3576315FE368211DDB88C8167877F5B4C49B319E0318B7305D50F9246AB91ACD4FF0A4C4D3F4DC0604E7DBE3FCD658B4264810QBhDE" TargetMode="External"/><Relationship Id="rId7" Type="http://schemas.openxmlformats.org/officeDocument/2006/relationships/hyperlink" Target="https://internet.garant.ru/" TargetMode="External"/><Relationship Id="rId71" Type="http://schemas.openxmlformats.org/officeDocument/2006/relationships/hyperlink" Target="https://login.consultant.ru/link/?req=doc&amp;base=LAW&amp;n=513601&amp;dst=101895&amp;field=134&amp;date=09.09.2025" TargetMode="External"/><Relationship Id="rId92" Type="http://schemas.openxmlformats.org/officeDocument/2006/relationships/hyperlink" Target="https://internet.garant.ru/" TargetMode="External"/><Relationship Id="rId2" Type="http://schemas.openxmlformats.org/officeDocument/2006/relationships/styles" Target="styles.xml"/><Relationship Id="rId29" Type="http://schemas.openxmlformats.org/officeDocument/2006/relationships/hyperlink" Target="https://internet.garant.ru/" TargetMode="External"/><Relationship Id="rId24" Type="http://schemas.openxmlformats.org/officeDocument/2006/relationships/hyperlink" Target="https://login.consultant.ru/link/?req=doc&amp;base=LAW&amp;n=451182&amp;dst=100024&amp;field=134&amp;date=03.09.2025" TargetMode="External"/><Relationship Id="rId40" Type="http://schemas.openxmlformats.org/officeDocument/2006/relationships/hyperlink" Target="https://login.consultant.ru/link/?req=doc&amp;base=LAW&amp;n=513601&amp;dst=101563&amp;field=134&amp;date=09.09.2025" TargetMode="External"/><Relationship Id="rId45" Type="http://schemas.openxmlformats.org/officeDocument/2006/relationships/hyperlink" Target="https://login.consultant.ru/link/?req=doc&amp;base=LAW&amp;n=513601&amp;dst=101662&amp;field=134&amp;date=09.09.2025" TargetMode="External"/><Relationship Id="rId66" Type="http://schemas.openxmlformats.org/officeDocument/2006/relationships/hyperlink" Target="https://login.consultant.ru/link/?req=doc&amp;base=LAW&amp;n=513601&amp;dst=101311&amp;field=134&amp;date=09.09.2025" TargetMode="External"/><Relationship Id="rId87" Type="http://schemas.openxmlformats.org/officeDocument/2006/relationships/hyperlink" Target="https://login.consultant.ru/link/?req=doc&amp;base=LAW&amp;n=505888&amp;dst=225&amp;field=134&amp;date=05.09.2025" TargetMode="External"/><Relationship Id="rId61" Type="http://schemas.openxmlformats.org/officeDocument/2006/relationships/hyperlink" Target="https://login.consultant.ru/link/?req=doc&amp;base=LAW&amp;n=513601&amp;dst=101488&amp;field=134&amp;date=09.09.2025" TargetMode="External"/><Relationship Id="rId82" Type="http://schemas.openxmlformats.org/officeDocument/2006/relationships/hyperlink" Target="https://login.consultant.ru/link/?req=doc&amp;base=LAW&amp;n=451182&amp;dst=100024&amp;field=134&amp;date=03.09.2025" TargetMode="External"/><Relationship Id="rId19" Type="http://schemas.openxmlformats.org/officeDocument/2006/relationships/hyperlink" Target="https://login.consultant.ru/link/?req=doc&amp;base=LAW&amp;n=513601&amp;dst=100338&amp;field=134&amp;date=09.09.2025" TargetMode="External"/><Relationship Id="rId14" Type="http://schemas.openxmlformats.org/officeDocument/2006/relationships/hyperlink" Target="https://1gzakaz.ru/" TargetMode="External"/><Relationship Id="rId30" Type="http://schemas.openxmlformats.org/officeDocument/2006/relationships/hyperlink" Target="https://login.consultant.ru/link/?req=doc&amp;base=LAW&amp;n=301290&amp;dst=100017&amp;field=134&amp;date=03.02.2026" TargetMode="External"/><Relationship Id="rId35" Type="http://schemas.openxmlformats.org/officeDocument/2006/relationships/hyperlink" Target="https://1gzakaz.ru/" TargetMode="External"/><Relationship Id="rId56" Type="http://schemas.openxmlformats.org/officeDocument/2006/relationships/hyperlink" Target="https://login.consultant.ru/link/?req=doc&amp;base=LAW&amp;n=513601&amp;dst=101374&amp;field=134&amp;date=09.09.2025" TargetMode="External"/><Relationship Id="rId77" Type="http://schemas.openxmlformats.org/officeDocument/2006/relationships/hyperlink" Target="https://garant.orb.ru/" TargetMode="External"/><Relationship Id="rId100" Type="http://schemas.openxmlformats.org/officeDocument/2006/relationships/hyperlink" Target="consultantplus://offline/ref=ADE6C77B1A3576315FE368211DDB88C8167877F5B4C49B319E0318B7305D50F9246AB919CD46FEA69789E4D84F53E8C7E1E6C85EAA26Q4hAE" TargetMode="External"/><Relationship Id="rId8" Type="http://schemas.openxmlformats.org/officeDocument/2006/relationships/hyperlink" Target="https://internet.garant.ru/" TargetMode="External"/><Relationship Id="rId51" Type="http://schemas.openxmlformats.org/officeDocument/2006/relationships/hyperlink" Target="https://login.consultant.ru/link/?req=doc&amp;base=LAW&amp;n=513601&amp;dst=101706&amp;field=134&amp;date=09.09.2025" TargetMode="External"/><Relationship Id="rId72" Type="http://schemas.openxmlformats.org/officeDocument/2006/relationships/hyperlink" Target="https://login.consultant.ru/link/?req=doc&amp;base=LAW&amp;n=513601&amp;dst=101910&amp;field=134&amp;date=09.09.2025" TargetMode="External"/><Relationship Id="rId93" Type="http://schemas.openxmlformats.org/officeDocument/2006/relationships/hyperlink" Target="consultantplus://offline/ref=CEEB036FCD71CADC696388B58FDDBBC2577892B38DD099FD5D1963466FE256DB7FB7842C36BADFF4B215DD05D86D081205C9C7C810514Eb3A" TargetMode="External"/><Relationship Id="rId98" Type="http://schemas.openxmlformats.org/officeDocument/2006/relationships/hyperlink" Target="consultantplus://offline/ref=ADE6C77B1A3576315FE368211DDB88C8167877F5B4C49B319E0318B7305D50F9246AB919CD4BFCA69789E4D84F53E8C7E1E6C85EAA26Q4hAE" TargetMode="External"/><Relationship Id="rId3" Type="http://schemas.openxmlformats.org/officeDocument/2006/relationships/settings" Target="setting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24</Pages>
  <Words>13232</Words>
  <Characters>75428</Characters>
  <Application>Microsoft Office Word</Application>
  <DocSecurity>0</DocSecurity>
  <Lines>628</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dc:description/>
  <cp:lastModifiedBy>user</cp:lastModifiedBy>
  <cp:revision>3</cp:revision>
  <dcterms:created xsi:type="dcterms:W3CDTF">2026-03-20T07:54:00Z</dcterms:created>
  <dcterms:modified xsi:type="dcterms:W3CDTF">2026-06-11T11:47:00Z</dcterms:modified>
  <dc:language>ru-RU</dc:language>
  <cp:version>917504</cp:version>
</cp:coreProperties>
</file>