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_rels/document.xml.rels" ContentType="application/vnd.openxmlformats-package.relationships+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2</w:t>
      </w:r>
      <w:r>
        <w:rPr>
          <w:b/>
          <w:sz w:val="20"/>
          <w:szCs w:val="20"/>
        </w:rPr>
        <w:t>20</w:t>
      </w:r>
      <w:r>
        <w:rPr>
          <w:b/>
          <w:sz w:val="20"/>
          <w:szCs w:val="20"/>
        </w:rPr>
        <w:t>/2026</w:t>
      </w:r>
    </w:p>
    <w:p>
      <w:pPr>
        <w:pStyle w:val="Normal"/>
        <w:rPr>
          <w:sz w:val="20"/>
          <w:szCs w:val="20"/>
        </w:rPr>
      </w:pPr>
      <w:r>
        <w:rPr>
          <w:sz w:val="20"/>
          <w:szCs w:val="20"/>
        </w:rPr>
      </w:r>
    </w:p>
    <w:tbl>
      <w:tblPr>
        <w:tblStyle w:val="af9"/>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30"/>
        <w:gridCol w:w="2689"/>
        <w:gridCol w:w="4104"/>
      </w:tblGrid>
      <w:tr>
        <w:trPr/>
        <w:tc>
          <w:tcPr>
            <w:tcW w:w="3130"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104"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pPr>
        <w:pStyle w:val="Normal"/>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w:t>
      </w:r>
      <w:r>
        <w:rPr>
          <w:b/>
          <w:bCs/>
          <w:sz w:val="20"/>
          <w:szCs w:val="20"/>
        </w:rPr>
        <w:t>закупка шовного материала</w:t>
      </w:r>
      <w:r>
        <w:rPr>
          <w:sz w:val="20"/>
          <w:szCs w:val="20"/>
        </w:rPr>
        <w:t xml:space="preserve"> </w:t>
      </w:r>
      <w:r>
        <w:rPr>
          <w:rFonts w:eastAsia="Times New Roman" w:cs="Times New Roman"/>
          <w:b/>
          <w:bCs/>
          <w:color w:val="auto"/>
          <w:kern w:val="0"/>
          <w:sz w:val="20"/>
          <w:szCs w:val="20"/>
          <w:lang w:val="ru-RU" w:eastAsia="ru-RU" w:bidi="ar-SA"/>
        </w:rPr>
        <w:t xml:space="preserve"> </w:t>
      </w:r>
      <w:r>
        <w:rPr>
          <w:b/>
          <w:bCs/>
          <w:sz w:val="20"/>
          <w:szCs w:val="20"/>
        </w:rPr>
        <w:t>(</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Идентификационный код закупки: 262780404107078040100100010000000244.</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t>Цена Контракта составляет ________ (_________) рублей ___ копеек, НДС не облагается на основании ст. ___ НК РФ.</w:t>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pPr>
            <w:r>
              <w:rPr>
                <w:color w:val="000000"/>
                <w:sz w:val="20"/>
                <w:szCs w:val="20"/>
                <w:u w:val="single"/>
              </w:rPr>
              <w:t>Банковские реквизиты:</w:t>
            </w:r>
          </w:p>
          <w:p>
            <w:pPr>
              <w:pStyle w:val="msonormalmrcssattr"/>
              <w:shd w:val="clear" w:color="auto" w:fill="FFFFFF"/>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pPr>
            <w:r>
              <w:rPr>
                <w:color w:val="000000"/>
                <w:sz w:val="20"/>
                <w:szCs w:val="20"/>
              </w:rPr>
              <w:t>ИНН 7804041070, КПП 780401001</w:t>
            </w:r>
          </w:p>
          <w:p>
            <w:pPr>
              <w:pStyle w:val="msonormalmrcssattr"/>
              <w:shd w:val="clear" w:color="auto" w:fill="FFFFFF"/>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pPr>
            <w:r>
              <w:rPr>
                <w:color w:val="000000"/>
                <w:sz w:val="20"/>
                <w:szCs w:val="20"/>
              </w:rPr>
              <w:t>БИК: 014030106</w:t>
            </w:r>
          </w:p>
          <w:p>
            <w:pPr>
              <w:pStyle w:val="msonormalmrcssattr"/>
              <w:shd w:val="clear" w:color="auto" w:fill="FFFFFF"/>
              <w:spacing w:beforeAutospacing="0" w:before="0" w:afterAutospacing="0" w:after="0"/>
              <w:rPr/>
            </w:pPr>
            <w:r>
              <w:rPr>
                <w:color w:val="000000"/>
                <w:sz w:val="20"/>
                <w:szCs w:val="20"/>
              </w:rPr>
              <w:t>Номер счета банка получателя: 40102810945370000005</w:t>
            </w:r>
          </w:p>
          <w:p>
            <w:pPr>
              <w:pStyle w:val="msonormalmrcssattr"/>
              <w:shd w:val="clear" w:color="auto" w:fill="FFFFFF"/>
              <w:spacing w:beforeAutospacing="0" w:before="0" w:afterAutospacing="0" w:after="0"/>
              <w:rPr/>
            </w:pPr>
            <w:r>
              <w:rPr>
                <w:color w:val="000000"/>
                <w:sz w:val="20"/>
                <w:szCs w:val="20"/>
              </w:rPr>
              <w:t>Номер счета получателя: 03224643400000007200</w:t>
            </w:r>
          </w:p>
          <w:p>
            <w:pPr>
              <w:pStyle w:val="Normal"/>
              <w:rPr>
                <w:sz w:val="20"/>
                <w:szCs w:val="20"/>
              </w:rPr>
            </w:pPr>
            <w:r>
              <w:rPr>
                <w:sz w:val="20"/>
                <w:szCs w:val="20"/>
              </w:rPr>
              <w:t>Тел./факс: (812) 555-15-05; (812) 555-57-73</w:t>
            </w:r>
          </w:p>
          <w:p>
            <w:pPr>
              <w:pStyle w:val="Normal"/>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2</w:t>
      </w:r>
      <w:r>
        <w:rPr>
          <w:rFonts w:cs="Times New Roman" w:ascii="Times New Roman" w:hAnsi="Times New Roman"/>
          <w:b/>
          <w:sz w:val="20"/>
          <w:szCs w:val="20"/>
        </w:rPr>
        <w:t>20</w:t>
      </w:r>
      <w:r>
        <w:rPr>
          <w:rFonts w:cs="Times New Roman" w:ascii="Times New Roman" w:hAnsi="Times New Roman"/>
          <w:b/>
          <w:sz w:val="20"/>
          <w:szCs w:val="20"/>
        </w:rPr>
        <w:t>/2026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9"/>
        <w:tblW w:w="1061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7"/>
        <w:gridCol w:w="2920"/>
        <w:gridCol w:w="627"/>
        <w:gridCol w:w="1026"/>
        <w:gridCol w:w="734"/>
        <w:gridCol w:w="1531"/>
        <w:gridCol w:w="1179"/>
        <w:gridCol w:w="912"/>
        <w:gridCol w:w="1272"/>
      </w:tblGrid>
      <w:tr>
        <w:trPr>
          <w:trHeight w:val="1010" w:hRule="atLeast"/>
        </w:trPr>
        <w:tc>
          <w:tcPr>
            <w:tcW w:w="417"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920"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62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1026"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734"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Кол-во</w:t>
            </w:r>
          </w:p>
        </w:tc>
        <w:tc>
          <w:tcPr>
            <w:tcW w:w="1531"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7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91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30" w:hRule="atLeast"/>
        </w:trPr>
        <w:tc>
          <w:tcPr>
            <w:tcW w:w="417"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920" w:type="dxa"/>
            <w:tcBorders/>
            <w:vAlign w:val="center"/>
          </w:tcPr>
          <w:p>
            <w:pPr>
              <w:pStyle w:val="Normal"/>
              <w:rPr>
                <w:rFonts w:ascii="Noto Sans Devanagari" w:hAnsi="Noto Sans Devanagari"/>
                <w:b w:val="false"/>
                <w:i w:val="false"/>
                <w:i w:val="false"/>
                <w:strike w:val="false"/>
                <w:dstrike w:val="false"/>
                <w:outline w:val="false"/>
                <w:shadow w:val="false"/>
                <w:color w:val="0D0D0D"/>
                <w:sz w:val="20"/>
                <w:u w:val="none"/>
                <w:em w:val="none"/>
              </w:rPr>
            </w:pPr>
            <w:r>
              <w:rPr>
                <w:rFonts w:ascii="Times New Roman" w:hAnsi="Times New Roman"/>
                <w:b w:val="false"/>
                <w:i w:val="false"/>
                <w:strike w:val="false"/>
                <w:dstrike w:val="false"/>
                <w:outline w:val="false"/>
                <w:shadow w:val="false"/>
                <w:color w:val="0D0D0D"/>
                <w:sz w:val="20"/>
                <w:szCs w:val="18"/>
                <w:u w:val="none"/>
                <w:em w:val="none"/>
              </w:rPr>
              <w:t>Н</w:t>
            </w:r>
            <w:r>
              <w:rPr>
                <w:rFonts w:ascii="Times New Roman" w:hAnsi="Times New Roman"/>
                <w:b w:val="false"/>
                <w:i w:val="false"/>
                <w:strike w:val="false"/>
                <w:dstrike w:val="false"/>
                <w:outline w:val="false"/>
                <w:shadow w:val="false"/>
                <w:color w:val="0D0D0D"/>
                <w:sz w:val="20"/>
                <w:u w:val="none"/>
                <w:em w:val="none"/>
              </w:rPr>
              <w:t>ить хирургическая полиамидная, нерассасывающаяся, полинить</w:t>
            </w:r>
          </w:p>
        </w:tc>
        <w:tc>
          <w:tcPr>
            <w:tcW w:w="62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1026"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734"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600</w:t>
            </w:r>
          </w:p>
        </w:tc>
        <w:tc>
          <w:tcPr>
            <w:tcW w:w="1531"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79"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91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sz w:val="20"/>
                <w:szCs w:val="20"/>
              </w:rPr>
              <w:t>2</w:t>
            </w:r>
          </w:p>
        </w:tc>
        <w:tc>
          <w:tcPr>
            <w:tcW w:w="2920" w:type="dxa"/>
            <w:tcBorders>
              <w:top w:val="nil"/>
            </w:tcBorders>
            <w:vAlign w:val="center"/>
          </w:tcPr>
          <w:p>
            <w:pPr>
              <w:pStyle w:val="Normal"/>
              <w:rPr>
                <w:rFonts w:ascii="Noto Sans Devanagari" w:hAnsi="Noto Sans Devanagari"/>
                <w:b w:val="false"/>
                <w:i w:val="false"/>
                <w:i w:val="false"/>
                <w:strike w:val="false"/>
                <w:dstrike w:val="false"/>
                <w:outline w:val="false"/>
                <w:shadow w:val="false"/>
                <w:color w:val="0D0D0D"/>
                <w:sz w:val="20"/>
                <w:u w:val="none"/>
                <w:em w:val="none"/>
              </w:rPr>
            </w:pPr>
            <w:r>
              <w:rPr>
                <w:rFonts w:ascii="Times New Roman" w:hAnsi="Times New Roman"/>
                <w:b w:val="false"/>
                <w:i w:val="false"/>
                <w:strike w:val="false"/>
                <w:dstrike w:val="false"/>
                <w:outline w:val="false"/>
                <w:shadow w:val="false"/>
                <w:color w:val="0D0D0D"/>
                <w:sz w:val="20"/>
                <w:szCs w:val="18"/>
                <w:u w:val="none"/>
                <w:em w:val="none"/>
              </w:rPr>
              <w:t>Нить хирургическая полиамидная, нерассасывающаяся, полинить</w:t>
            </w:r>
          </w:p>
        </w:tc>
        <w:tc>
          <w:tcPr>
            <w:tcW w:w="62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1026"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734"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600</w:t>
            </w:r>
          </w:p>
        </w:tc>
        <w:tc>
          <w:tcPr>
            <w:tcW w:w="1531"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7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91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kern w:val="0"/>
                <w:sz w:val="20"/>
                <w:szCs w:val="20"/>
                <w:lang w:val="ru-RU" w:bidi="ar-SA"/>
              </w:rPr>
              <w:t>3</w:t>
            </w:r>
          </w:p>
        </w:tc>
        <w:tc>
          <w:tcPr>
            <w:tcW w:w="2920" w:type="dxa"/>
            <w:tcBorders>
              <w:top w:val="nil"/>
            </w:tcBorders>
            <w:vAlign w:val="center"/>
          </w:tcPr>
          <w:p>
            <w:pPr>
              <w:pStyle w:val="Normal"/>
              <w:rPr>
                <w:rFonts w:ascii="Noto Sans Devanagari" w:hAnsi="Noto Sans Devanagari"/>
                <w:b w:val="false"/>
                <w:i w:val="false"/>
                <w:i w:val="false"/>
                <w:strike w:val="false"/>
                <w:dstrike w:val="false"/>
                <w:outline w:val="false"/>
                <w:shadow w:val="false"/>
                <w:color w:val="0D0D0D"/>
                <w:sz w:val="20"/>
                <w:u w:val="none"/>
                <w:em w:val="none"/>
              </w:rPr>
            </w:pPr>
            <w:r>
              <w:rPr>
                <w:rFonts w:ascii="Times New Roman" w:hAnsi="Times New Roman"/>
                <w:b w:val="false"/>
                <w:i w:val="false"/>
                <w:strike w:val="false"/>
                <w:dstrike w:val="false"/>
                <w:outline w:val="false"/>
                <w:shadow w:val="false"/>
                <w:color w:val="0D0D0D"/>
                <w:sz w:val="20"/>
                <w:szCs w:val="18"/>
                <w:u w:val="none"/>
                <w:em w:val="none"/>
              </w:rPr>
              <w:t>Нить хирургическая полиамидная, нерассасывающаяся, полинить</w:t>
            </w:r>
          </w:p>
        </w:tc>
        <w:tc>
          <w:tcPr>
            <w:tcW w:w="62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1026"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734"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250</w:t>
            </w:r>
          </w:p>
        </w:tc>
        <w:tc>
          <w:tcPr>
            <w:tcW w:w="1531"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7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91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6" w:type="dxa"/>
            <w:gridSpan w:val="8"/>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2"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____________(_______________) рублей ___ копеек. в том числе НДС –_______ (________) рублей ___копеек.</w:t>
      </w:r>
    </w:p>
    <w:p>
      <w:pPr>
        <w:pStyle w:val="Normal"/>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headerReference w:type="even" r:id="rId2"/>
          <w:headerReference w:type="default" r:id="rId3"/>
          <w:headerReference w:type="first" r:id="rId4"/>
          <w:type w:val="nextPage"/>
          <w:pgSz w:w="11906" w:h="16838"/>
          <w:pgMar w:left="1134" w:right="851" w:gutter="0" w:header="709" w:top="766"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2</w:t>
      </w:r>
      <w:r>
        <w:rPr>
          <w:rFonts w:eastAsia="Calibri" w:eastAsiaTheme="minorHAnsi"/>
          <w:b/>
          <w:sz w:val="18"/>
          <w:szCs w:val="20"/>
          <w:lang w:eastAsia="en-US"/>
        </w:rPr>
        <w:t>20</w:t>
      </w:r>
      <w:r>
        <w:rPr>
          <w:rFonts w:eastAsia="Calibri" w:eastAsiaTheme="minorHAnsi"/>
          <w:b/>
          <w:sz w:val="18"/>
          <w:szCs w:val="20"/>
          <w:lang w:eastAsia="en-US"/>
        </w:rPr>
        <w:t xml:space="preserve">/2026 от «___» _________ 2026г. </w:t>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widowControl w:val="false"/>
        <w:spacing w:lineRule="auto" w:line="276"/>
        <w:jc w:val="center"/>
        <w:rPr>
          <w:b/>
          <w:color w:val="000000"/>
          <w:sz w:val="20"/>
          <w:szCs w:val="20"/>
        </w:rPr>
      </w:pPr>
      <w:r>
        <w:rPr>
          <w:b/>
          <w:color w:val="000000"/>
          <w:sz w:val="20"/>
          <w:szCs w:val="20"/>
        </w:rPr>
      </w:r>
    </w:p>
    <w:p>
      <w:pPr>
        <w:pStyle w:val="Normal"/>
        <w:widowControl w:val="false"/>
        <w:spacing w:lineRule="auto" w:line="276"/>
        <w:jc w:val="left"/>
        <w:rPr>
          <w:b/>
          <w:color w:val="000000"/>
          <w:sz w:val="20"/>
          <w:szCs w:val="20"/>
        </w:rPr>
      </w:pPr>
      <w:r>
        <w:rPr>
          <w:b/>
          <w:color w:val="000000"/>
          <w:sz w:val="20"/>
          <w:szCs w:val="20"/>
        </w:rPr>
      </w:r>
    </w:p>
    <w:p>
      <w:pPr>
        <w:pStyle w:val="Normal"/>
        <w:rPr/>
      </w:pPr>
      <w:r>
        <w:rPr/>
      </w:r>
    </w:p>
    <w:tbl>
      <w:tblPr>
        <w:tblW w:w="15796" w:type="dxa"/>
        <w:jc w:val="left"/>
        <w:tblInd w:w="-2" w:type="dxa"/>
        <w:tblLayout w:type="fixed"/>
        <w:tblCellMar>
          <w:top w:w="0" w:type="dxa"/>
          <w:left w:w="28" w:type="dxa"/>
          <w:bottom w:w="0" w:type="dxa"/>
          <w:right w:w="28" w:type="dxa"/>
        </w:tblCellMar>
      </w:tblPr>
      <w:tblGrid>
        <w:gridCol w:w="367"/>
        <w:gridCol w:w="2434"/>
        <w:gridCol w:w="429"/>
        <w:gridCol w:w="2127"/>
        <w:gridCol w:w="2265"/>
        <w:gridCol w:w="735"/>
        <w:gridCol w:w="1454"/>
        <w:gridCol w:w="2235"/>
        <w:gridCol w:w="2219"/>
        <w:gridCol w:w="674"/>
        <w:gridCol w:w="857"/>
      </w:tblGrid>
      <w:tr>
        <w:trPr>
          <w:trHeight w:val="1575" w:hRule="atLeast"/>
        </w:trPr>
        <w:tc>
          <w:tcPr>
            <w:tcW w:w="367"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 xml:space="preserve">№ </w:t>
            </w:r>
            <w:r>
              <w:rPr>
                <w:rFonts w:ascii="Times New Roman" w:hAnsi="Times New Roman"/>
                <w:b/>
                <w:sz w:val="16"/>
                <w:szCs w:val="16"/>
              </w:rPr>
              <w:t>п/п</w:t>
            </w:r>
          </w:p>
        </w:tc>
        <w:tc>
          <w:tcPr>
            <w:tcW w:w="2434"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Код позиции каталога товаров, работ, услуг (при наличии) /</w:t>
              <w:br/>
              <w:t xml:space="preserve"> код ОКПД2, Наименование товара</w:t>
              <w:br/>
            </w:r>
          </w:p>
        </w:tc>
        <w:tc>
          <w:tcPr>
            <w:tcW w:w="429"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 xml:space="preserve">№ </w:t>
            </w:r>
            <w:r>
              <w:rPr>
                <w:rFonts w:ascii="Times New Roman" w:hAnsi="Times New Roman"/>
                <w:b/>
                <w:sz w:val="16"/>
                <w:szCs w:val="16"/>
              </w:rPr>
              <w:t>п/п</w:t>
            </w:r>
          </w:p>
        </w:tc>
        <w:tc>
          <w:tcPr>
            <w:tcW w:w="2127"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Функциональные, технические, качественные, эксплуатационные характеристики товара (единицы измерения)</w:t>
              <w:br/>
              <w:t>&lt;*&gt;</w:t>
              <w:br/>
            </w:r>
          </w:p>
        </w:tc>
        <w:tc>
          <w:tcPr>
            <w:tcW w:w="2265"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Значения характеристик товара, которые не подлежат изменению участником закупки, или минимальные и (или) максимальные значения характеристик товара</w:t>
              <w:br/>
              <w:t>&lt;**&gt;</w:t>
              <w:br/>
            </w:r>
          </w:p>
        </w:tc>
        <w:tc>
          <w:tcPr>
            <w:tcW w:w="735"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Единица измерения</w:t>
            </w:r>
          </w:p>
        </w:tc>
        <w:tc>
          <w:tcPr>
            <w:tcW w:w="1454"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Тип характеристики (качественная / количественная)</w:t>
            </w:r>
          </w:p>
        </w:tc>
        <w:tc>
          <w:tcPr>
            <w:tcW w:w="2235"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Обоснование дополнительных характеристик, не используемых в КТРУ</w:t>
            </w:r>
          </w:p>
        </w:tc>
        <w:tc>
          <w:tcPr>
            <w:tcW w:w="2219"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 xml:space="preserve">Инструкция заказчика по указанию значений характеристик товара участником закупки </w:t>
              <w:br/>
              <w:t>&lt;***&gt;</w:t>
              <w:br/>
            </w:r>
          </w:p>
        </w:tc>
        <w:tc>
          <w:tcPr>
            <w:tcW w:w="674" w:type="dxa"/>
            <w:tcBorders>
              <w:top w:val="single" w:sz="2" w:space="0" w:color="000000"/>
              <w:left w:val="single" w:sz="2" w:space="0" w:color="000000"/>
              <w:bottom w:val="single" w:sz="2" w:space="0" w:color="000000"/>
            </w:tcBorders>
          </w:tcPr>
          <w:p>
            <w:pPr>
              <w:pStyle w:val="Normal"/>
              <w:tabs>
                <w:tab w:val="clear" w:pos="708"/>
              </w:tabs>
              <w:jc w:val="center"/>
              <w:rPr>
                <w:sz w:val="16"/>
                <w:szCs w:val="16"/>
              </w:rPr>
            </w:pPr>
            <w:r>
              <w:rPr>
                <w:rFonts w:ascii="Times New Roman" w:hAnsi="Times New Roman"/>
                <w:b/>
                <w:sz w:val="16"/>
                <w:szCs w:val="16"/>
              </w:rPr>
              <w:t>Количество(объем работы, услуги)</w:t>
            </w:r>
          </w:p>
        </w:tc>
        <w:tc>
          <w:tcPr>
            <w:tcW w:w="857" w:type="dxa"/>
            <w:tcBorders>
              <w:top w:val="single" w:sz="2" w:space="0" w:color="000000"/>
              <w:left w:val="single" w:sz="2" w:space="0" w:color="000000"/>
              <w:bottom w:val="single" w:sz="2" w:space="0" w:color="000000"/>
              <w:right w:val="single" w:sz="2" w:space="0" w:color="000000"/>
            </w:tcBorders>
          </w:tcPr>
          <w:p>
            <w:pPr>
              <w:pStyle w:val="Normal"/>
              <w:tabs>
                <w:tab w:val="clear" w:pos="708"/>
              </w:tabs>
              <w:jc w:val="center"/>
              <w:rPr>
                <w:sz w:val="16"/>
                <w:szCs w:val="16"/>
              </w:rPr>
            </w:pPr>
            <w:r>
              <w:rPr>
                <w:rFonts w:ascii="Times New Roman" w:hAnsi="Times New Roman"/>
                <w:b/>
                <w:sz w:val="16"/>
                <w:szCs w:val="16"/>
              </w:rPr>
              <w:t>Единица измерения</w:t>
            </w:r>
          </w:p>
        </w:tc>
      </w:tr>
      <w:tr>
        <w:trPr>
          <w:trHeight w:val="925" w:hRule="atLeast"/>
        </w:trPr>
        <w:tc>
          <w:tcPr>
            <w:tcW w:w="367" w:type="dxa"/>
            <w:tcBorders>
              <w:top w:val="single" w:sz="2" w:space="0" w:color="000000"/>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w:t>
            </w:r>
          </w:p>
        </w:tc>
        <w:tc>
          <w:tcPr>
            <w:tcW w:w="2434" w:type="dxa"/>
            <w:tcBorders>
              <w:top w:val="single" w:sz="2" w:space="0" w:color="000000"/>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21.20.24.120-00000018 Нить хирургическая полиамидная, нерассасывающаяся, полинить</w:t>
            </w:r>
          </w:p>
        </w:tc>
        <w:tc>
          <w:tcPr>
            <w:tcW w:w="429" w:type="dxa"/>
            <w:tcBorders>
              <w:top w:val="single" w:sz="2" w:space="0" w:color="000000"/>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w:t>
            </w:r>
          </w:p>
        </w:tc>
        <w:tc>
          <w:tcPr>
            <w:tcW w:w="2127" w:type="dxa"/>
            <w:tcBorders>
              <w:top w:val="single" w:sz="2" w:space="0" w:color="000000"/>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Синтетическая нерассасывающаяся крученая нить, состоит из полиамидных волокон. </w:t>
            </w:r>
          </w:p>
        </w:tc>
        <w:tc>
          <w:tcPr>
            <w:tcW w:w="2265" w:type="dxa"/>
            <w:tcBorders>
              <w:top w:val="single" w:sz="2" w:space="0" w:color="000000"/>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top w:val="single" w:sz="2" w:space="0" w:color="000000"/>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top w:val="single" w:sz="2" w:space="0" w:color="000000"/>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top w:val="single" w:sz="2" w:space="0" w:color="000000"/>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Нить хирургическая полиамидная, нерассасывающаяся, полинить</w:t>
            </w:r>
          </w:p>
        </w:tc>
        <w:tc>
          <w:tcPr>
            <w:tcW w:w="2219" w:type="dxa"/>
            <w:tcBorders>
              <w:top w:val="single" w:sz="2" w:space="0" w:color="000000"/>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top w:val="single" w:sz="2" w:space="0" w:color="000000"/>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600</w:t>
            </w:r>
          </w:p>
        </w:tc>
        <w:tc>
          <w:tcPr>
            <w:tcW w:w="857" w:type="dxa"/>
            <w:tcBorders>
              <w:top w:val="single" w:sz="2" w:space="0" w:color="000000"/>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Times New Roman" w:hAnsi="Times New Roman"/>
                <w:sz w:val="18"/>
                <w:szCs w:val="18"/>
              </w:rPr>
              <w:t>Штука</w:t>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Покрытие</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нет</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3</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Цвет нити</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 xml:space="preserve">белый </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В связи с отсутствием характеристик в КТРУ добавлены значения характеристик для объекта закупки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4</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Толщина нити USP</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2/0</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5</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Толщина нити metrik</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3</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6</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Длина нити</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w:t>
            </w:r>
            <w:r>
              <w:rPr>
                <w:rFonts w:ascii="Times New Roman" w:hAnsi="Times New Roman"/>
                <w:sz w:val="18"/>
                <w:szCs w:val="18"/>
              </w:rPr>
              <w:t>70 и ≤ 75</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7</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 Обратно-режущая игла</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Соответствие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визуализации нити и иглы в тканях</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8</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Полный средний ресурс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 xml:space="preserve">25 </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проколов</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9</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Длина иглы</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25 и ≤ 26</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10</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Предел прочности иглы</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w:t>
            </w:r>
            <w:r>
              <w:rPr>
                <w:rFonts w:ascii="Times New Roman" w:hAnsi="Times New Roman"/>
                <w:sz w:val="18"/>
                <w:szCs w:val="18"/>
              </w:rPr>
              <w:t>580 и ≤ 600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мПа</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11</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Окружность иглы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1/2</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930"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12</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Твердость иглы по Бринеллю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126-197 и ≤ 143-229</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мПа</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Требуется для уменьшения трения между иглой и тканями и облегчает проведение иглы через ткани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97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13</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Сплава марки стали иглы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20X13, 30Х13,40Х13</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14</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Плотность сплава стали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7,68 и  ≤ 7,83</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г/см3</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Требуется для уменьшения трения между иглой и тканями и облегчает проведение иглы через ткани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15</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Иглы зафиксированы на специальном круглом спайдере бесконтактного типа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соотвествие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предотвращения рассыпания и запутывания нитей между собой при вытаскивании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16</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Соединение нити с иглой выполнено с помощью ложемента</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более прочной фиксации нити с иглой</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92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17</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Каждая нить должна быть намотана на 4х-створчатый пластиковый носитель с одной глухой створкой</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обеспечения сохранения стерильности шовного материала и его функциональных свойств с учетом условий его применения, транспортирования, хранения и срока годности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18</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ширина пластикового носителя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50 и ≤ 60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минимизации эффекта "памяти" нити и предотвращения запутывания нитей между собой при вытаскивании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19</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длина пластикового носителя</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250 и ≤ 270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минимизации эффекта "памяти" нити и предотвращения запутывания нитей между собой при вытаскивании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1530"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20</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Носитель упакован в одинарную фольгированную упаковку</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обеспечения сохранения стерильности шовного материала и его функциональных свойств с учетом условий его применения, транспортирования, хранения и срока годности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1373"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21</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Открывание путем расслоения лепестков для удобного вскрытия, наличие насечек не допускается (Для предохранения от возможного нарушения стерильности нити).</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обеспечения сохранения стерильности шовного материала и его функциональных свойств с учетом условий его применения, транспортирования, хранения и срока годности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94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22</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Количество нитей в упаковке</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12;25</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шт</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925" w:hRule="atLeast"/>
        </w:trPr>
        <w:tc>
          <w:tcPr>
            <w:tcW w:w="36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w:t>
            </w:r>
          </w:p>
        </w:tc>
        <w:tc>
          <w:tcPr>
            <w:tcW w:w="243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21.20.24.120-00000018 Нить хирургическая полиамидная, нерассасывающаяся, полинить</w:t>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Синтетическая нерассасывающаяся крученая нить, состоит из полиамидных волокон.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Нить хирургическая полиамидная, нерассасывающаяся, полинить</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600</w:t>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Times New Roman" w:hAnsi="Times New Roman"/>
                <w:sz w:val="18"/>
                <w:szCs w:val="18"/>
              </w:rPr>
              <w:t>Штука</w:t>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Покрытие</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нет</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3</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Цвет нити</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 xml:space="preserve">белый </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В связи с отсутствием характеристик в КТРУ добавлены значения характеристик для объекта закупки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61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4</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Толщина нити USP</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3-0</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64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5</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Толщина нити metrik</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630"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6</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Длина нити</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w:t>
            </w:r>
            <w:r>
              <w:rPr>
                <w:rFonts w:ascii="Times New Roman" w:hAnsi="Times New Roman"/>
                <w:sz w:val="18"/>
                <w:szCs w:val="18"/>
              </w:rPr>
              <w:t>70 и ≤ 75</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570"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7</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 Обратно-режущая игла</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Соответствие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визуализации нити и иглы в тканях</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600"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8</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Полный средний ресурс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 xml:space="preserve">25 </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проколов</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64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9</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Длина иглы</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29 и ≤ 30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10</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Предел прочности иглы</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w:t>
            </w:r>
            <w:r>
              <w:rPr>
                <w:rFonts w:ascii="Times New Roman" w:hAnsi="Times New Roman"/>
                <w:sz w:val="18"/>
                <w:szCs w:val="18"/>
              </w:rPr>
              <w:t>580 и ≤ 600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мПа</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11</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Окружность иглы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3/8</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12</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Твердость иглы по Бринеллю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126-197 и ≤ 143-229</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мПа</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Требуется для уменьшения трения между иглой и тканями и облегчает проведение иглы через ткани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13</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Сплава марки стали иглы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20X13, 30Х13,40Х13</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14</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Плотность сплава стали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7,68 и  ≤ 7,83</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г/см3</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Требуется для уменьшения трения между иглой и тканями и облегчает проведение иглы через ткани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15</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Иглы зафиксированы на специальном круглом спайдере бесконтактного типа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соотвествие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предотвращения рассыпания и запутывания нитей между собой при вытаскивании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16</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Соединение нити с иглой выполнено с помощью ложемента</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более прочной фиксации нити с иглой</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157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17</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Каждая нить должна быть намотана на 4х-створчатый пластиковый носитель с одной глухой створкой</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обеспечения сохранения стерильности шовного материала и его функциональных свойств с учетом условий его применения, транспортирования, хранения и срока годности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18</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ширина пластикового носителя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50 и  ≤ 60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минимизации эффекта "памяти" нити и предотвращения запутывания нитей между собой при вытаскивании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19</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длина пластикового носителя</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250 и ≤ 270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минимизации эффекта "памяти" нити и предотвращения запутывания нитей между собой при вытаскивании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157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20</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Носитель упакован в одинарную фольгированную упаковку</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обеспечения сохранения стерильности шовного материала и его функциональных свойств с учетом условий его применения, транспортирования, хранения и срока годности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1373"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21</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Открывание путем расслоения лепестков для удобного вскрытия, наличие насечек не допускается (Для предохранения от возможного нарушения стерильности нити).</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обеспечения сохранения стерильности шовного материала и его функциональных свойств с учетом условий его применения, транспортирования, хранения и срока годности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22</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Количество нитей в упаковке</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12;25</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шт</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925" w:hRule="atLeast"/>
        </w:trPr>
        <w:tc>
          <w:tcPr>
            <w:tcW w:w="36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3</w:t>
            </w:r>
          </w:p>
        </w:tc>
        <w:tc>
          <w:tcPr>
            <w:tcW w:w="243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21.20.24.120-00000018 Нить хирургическая полиамидная, нерассасывающаяся, полинить</w:t>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Синтетическая нерассасывающаяся крученая нить, состоит из полиамидных волокон.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Нить хирургическая полиамидная, нерассасывающаяся, полинить</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250</w:t>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Times New Roman" w:hAnsi="Times New Roman"/>
                <w:sz w:val="18"/>
                <w:szCs w:val="18"/>
              </w:rPr>
              <w:t>Штука</w:t>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Покрытие</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нет</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3</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Цвет нити</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 xml:space="preserve">белый </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В связи с отсутствием характеристик в КТРУ добавлены значения характеристик для объекта закупки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4</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Толщина нити USP</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0</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5</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Толщина нити metrik</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3,5</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6</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Длина нити</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w:t>
            </w:r>
            <w:r>
              <w:rPr>
                <w:rFonts w:ascii="Times New Roman" w:hAnsi="Times New Roman"/>
                <w:sz w:val="18"/>
                <w:szCs w:val="18"/>
              </w:rPr>
              <w:t>70 и ≤ 75</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7</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 Обратно-режущая игла</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Соответствие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визуализации нити и иглы в тканях</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8</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Полный средний ресурс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 xml:space="preserve">25 </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проколов</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570"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9</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Длина иглы</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25 и ≤ 26</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52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10</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Предел прочности иглы</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w:t>
            </w:r>
            <w:r>
              <w:rPr>
                <w:rFonts w:ascii="Times New Roman" w:hAnsi="Times New Roman"/>
                <w:sz w:val="18"/>
                <w:szCs w:val="18"/>
              </w:rPr>
              <w:t>580 и ≤ 600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мПа</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11</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Окружность иглы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3/8</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12</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Твердость иглы по Бринеллю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126-197 и ≤ 143-229</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мПа</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Требуется для уменьшения трения между иглой и тканями и облегчает проведение иглы через ткани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540"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13</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Сплава марки стали иглы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20X13, 30Х13,40Х13</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14</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Плотность сплава стали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7,68 и ≤ 7,83</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г/см3</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Требуется для уменьшения трения между иглой и тканями и облегчает проведение иглы через ткани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15</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Иглы зафиксированы на специальном круглом спайдере бесконтактного типа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соотвествие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предотвращения рассыпания и запутывания нитей между собой при вытаскивании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16</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Соединение нити с иглой выполнено с помощью ложемента</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более прочной фиксации нити с иглой</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92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17</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Каждая нить должна быть намотана на 4х-створчатый пластиковый носитель с одной глухой створкой</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обеспечения сохранения стерильности шовного материала и его функциональных свойств с учетом условий его применения, транспортирования, хранения и срока годности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18</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ширина пластикового носителя  </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50 и  ≤ 60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минимизации эффекта "памяти" нити и предотвращения запутывания нитей между собой при вытаскивании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701"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19</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длина пластикового носителя</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 </w:t>
            </w:r>
            <w:r>
              <w:rPr>
                <w:rFonts w:ascii="Times New Roman" w:hAnsi="Times New Roman"/>
                <w:sz w:val="18"/>
                <w:szCs w:val="18"/>
              </w:rPr>
              <w:t>250 и  ≤ 270</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мм</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минимизации эффекта "памяти" нити и предотвращения запутывания нитей между собой при вытаскивании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925"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20</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Носитель упакован в одинарную фольгированную упаковку</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обеспечения сохранения стерильности шовного материала и его функциональных свойств с учетом условий его применения, транспортирования, хранения и срока годности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1373"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21</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Открывание путем расслоения лепестков для удобного вскрытия, наличие насечек не допускается (Для предохранения от возможного нарушения стерильности нити).</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Соответсвие</w:t>
            </w:r>
          </w:p>
        </w:tc>
        <w:tc>
          <w:tcPr>
            <w:tcW w:w="735"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Качественная</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Для обеспечения сохранения стерильности шовного материала и его функциональных свойств с учетом условий его применения, транспортирования, хранения и срока годности</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Значение характеристики не может изменяться участником закупки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r>
        <w:trPr>
          <w:trHeight w:val="477" w:hRule="atLeast"/>
        </w:trPr>
        <w:tc>
          <w:tcPr>
            <w:tcW w:w="367"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243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42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22</w:t>
            </w:r>
          </w:p>
        </w:tc>
        <w:tc>
          <w:tcPr>
            <w:tcW w:w="2127"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Количество нитей в упаковке</w:t>
            </w:r>
          </w:p>
        </w:tc>
        <w:tc>
          <w:tcPr>
            <w:tcW w:w="226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12;25</w:t>
            </w:r>
          </w:p>
        </w:tc>
        <w:tc>
          <w:tcPr>
            <w:tcW w:w="7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шт</w:t>
            </w:r>
          </w:p>
        </w:tc>
        <w:tc>
          <w:tcPr>
            <w:tcW w:w="1454"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 xml:space="preserve">Количественная </w:t>
            </w:r>
          </w:p>
        </w:tc>
        <w:tc>
          <w:tcPr>
            <w:tcW w:w="2235"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С учетом специфики лечебного процесса</w:t>
            </w:r>
          </w:p>
        </w:tc>
        <w:tc>
          <w:tcPr>
            <w:tcW w:w="2219" w:type="dxa"/>
            <w:tcBorders>
              <w:left w:val="single" w:sz="2" w:space="0" w:color="000000"/>
              <w:bottom w:val="single" w:sz="2" w:space="0" w:color="000000"/>
            </w:tcBorders>
          </w:tcPr>
          <w:p>
            <w:pPr>
              <w:pStyle w:val="Normal"/>
              <w:tabs>
                <w:tab w:val="clear" w:pos="708"/>
              </w:tabs>
              <w:jc w:val="center"/>
              <w:rPr>
                <w:sz w:val="18"/>
                <w:szCs w:val="18"/>
              </w:rPr>
            </w:pPr>
            <w:r>
              <w:rPr>
                <w:rFonts w:ascii="Times New Roman" w:hAnsi="Times New Roman"/>
                <w:sz w:val="18"/>
                <w:szCs w:val="18"/>
              </w:rPr>
              <w:t>Участник закупки указывает в заявке конкретное значение характеристики</w:t>
            </w:r>
          </w:p>
        </w:tc>
        <w:tc>
          <w:tcPr>
            <w:tcW w:w="674" w:type="dxa"/>
            <w:tcBorders>
              <w:left w:val="single" w:sz="2" w:space="0" w:color="000000"/>
              <w:bottom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c>
          <w:tcPr>
            <w:tcW w:w="857" w:type="dxa"/>
            <w:tcBorders>
              <w:left w:val="single" w:sz="2" w:space="0" w:color="000000"/>
              <w:bottom w:val="single" w:sz="2" w:space="0" w:color="000000"/>
              <w:right w:val="single" w:sz="2" w:space="0" w:color="000000"/>
            </w:tcBorders>
          </w:tcPr>
          <w:p>
            <w:pPr>
              <w:pStyle w:val="Normal"/>
              <w:tabs>
                <w:tab w:val="clear" w:pos="708"/>
              </w:tabs>
              <w:jc w:val="center"/>
              <w:rPr>
                <w:rFonts w:ascii="Times New Roman" w:hAnsi="Times New Roman"/>
                <w:sz w:val="18"/>
                <w:szCs w:val="18"/>
              </w:rPr>
            </w:pPr>
            <w:r>
              <w:rPr>
                <w:rFonts w:ascii="Times New Roman" w:hAnsi="Times New Roman"/>
                <w:sz w:val="18"/>
                <w:szCs w:val="18"/>
              </w:rPr>
            </w:r>
          </w:p>
        </w:tc>
      </w:tr>
    </w:tbl>
    <w:p>
      <w:pPr>
        <w:pStyle w:val="Normal"/>
        <w:rPr/>
      </w:pPr>
      <w:r>
        <w:rPr/>
      </w:r>
    </w:p>
    <w:p>
      <w:pPr>
        <w:pStyle w:val="Normal"/>
        <w:rPr/>
      </w:pPr>
      <w:r>
        <w:rPr/>
      </w:r>
    </w:p>
    <w:p>
      <w:pPr>
        <w:pStyle w:val="Normal"/>
        <w:widowControl w:val="false"/>
        <w:ind w:firstLine="709"/>
        <w:jc w:val="both"/>
        <w:rPr>
          <w:color w:val="000000"/>
        </w:rPr>
      </w:pPr>
      <w:r>
        <w:rPr>
          <w:color w:val="000000"/>
        </w:rPr>
        <w:t xml:space="preserve">* В связи с отсутствием дополнительных характеристик товара в КТРУ и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N 145 заказчиком указаны потребительские свойства, в том числе функциональные, технические, качественные, эксплуатационные характеристики товара в соответствии с положениями статьи 33 Федерального закона 44-ФЗ, которые не предусмотрены в позиции каталога, а также </w:t>
      </w:r>
      <w:r>
        <w:rPr>
          <w:rFonts w:eastAsia="Calibri"/>
          <w:bCs/>
        </w:rPr>
        <w:t>особенностью пленки и совместимого с ней оборудования</w:t>
      </w:r>
      <w:r>
        <w:rPr>
          <w:color w:val="000000"/>
        </w:rPr>
        <w:t>.</w:t>
      </w:r>
    </w:p>
    <w:p>
      <w:pPr>
        <w:pStyle w:val="Normal"/>
        <w:widowControl w:val="false"/>
        <w:ind w:firstLine="709"/>
        <w:jc w:val="both"/>
        <w:rPr>
          <w:color w:val="000000"/>
        </w:rPr>
      </w:pPr>
      <w:r>
        <w:rPr>
          <w:color w:val="000000"/>
        </w:rPr>
      </w:r>
    </w:p>
    <w:p>
      <w:pPr>
        <w:pStyle w:val="Normal"/>
        <w:widowControl w:val="false"/>
        <w:ind w:firstLine="709"/>
        <w:jc w:val="both"/>
        <w:rPr>
          <w:color w:val="000000"/>
        </w:rPr>
      </w:pPr>
      <w:r>
        <w:rPr>
          <w:color w:val="000000"/>
        </w:rPr>
      </w:r>
    </w:p>
    <w:p>
      <w:pPr>
        <w:pStyle w:val="Normal"/>
        <w:rPr>
          <w:sz w:val="21"/>
          <w:szCs w:val="21"/>
        </w:rPr>
      </w:pPr>
      <w:r>
        <w:rPr>
          <w:sz w:val="21"/>
          <w:szCs w:val="21"/>
        </w:rPr>
        <w:t>1.1. Требования к качеству и безопасности товара, оказания услуг, выполнения работ: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pPr>
        <w:pStyle w:val="Normal"/>
        <w:rPr>
          <w:sz w:val="21"/>
          <w:szCs w:val="21"/>
        </w:rPr>
      </w:pPr>
      <w:r>
        <w:rPr>
          <w:sz w:val="21"/>
          <w:szCs w:val="21"/>
        </w:rPr>
        <w:t>На Товаре не должно быть механических повреждений.</w:t>
      </w:r>
    </w:p>
    <w:p>
      <w:pPr>
        <w:pStyle w:val="Normal"/>
        <w:rPr>
          <w:sz w:val="21"/>
          <w:szCs w:val="21"/>
        </w:rPr>
      </w:pPr>
      <w:r>
        <w:rPr>
          <w:sz w:val="21"/>
          <w:szCs w:val="21"/>
        </w:rPr>
        <w:t>Товар должен соответствовать действующим в Российской Федерации ГОСТам, техническим регламентам, санитарным нормам.</w:t>
      </w:r>
    </w:p>
    <w:p>
      <w:pPr>
        <w:pStyle w:val="Normal"/>
        <w:rPr>
          <w:sz w:val="21"/>
          <w:szCs w:val="21"/>
        </w:rPr>
      </w:pPr>
      <w:r>
        <w:rPr>
          <w:sz w:val="21"/>
          <w:szCs w:val="21"/>
        </w:rPr>
        <w:t>Товар должен быть свободным от любых прав третьих лиц, разрешенным к применению на территории Российской Федерации.</w:t>
      </w:r>
    </w:p>
    <w:p>
      <w:pPr>
        <w:pStyle w:val="Normal"/>
        <w:rPr>
          <w:sz w:val="21"/>
          <w:szCs w:val="21"/>
        </w:rPr>
      </w:pPr>
      <w:r>
        <w:rPr>
          <w:sz w:val="21"/>
          <w:szCs w:val="21"/>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pPr>
        <w:pStyle w:val="Normal"/>
        <w:rPr>
          <w:sz w:val="21"/>
          <w:szCs w:val="21"/>
        </w:rPr>
      </w:pPr>
      <w:r>
        <w:rPr>
          <w:sz w:val="21"/>
          <w:szCs w:val="21"/>
        </w:rPr>
      </w:r>
    </w:p>
    <w:p>
      <w:pPr>
        <w:pStyle w:val="Normal"/>
        <w:rPr>
          <w:sz w:val="21"/>
          <w:szCs w:val="21"/>
        </w:rPr>
      </w:pPr>
      <w:r>
        <w:rPr>
          <w:sz w:val="21"/>
          <w:szCs w:val="21"/>
        </w:rPr>
        <w:t>1.2. Требования к упаковке, маркировке Товара:</w:t>
      </w:r>
    </w:p>
    <w:p>
      <w:pPr>
        <w:pStyle w:val="Normal"/>
        <w:rPr>
          <w:sz w:val="21"/>
          <w:szCs w:val="21"/>
        </w:rPr>
      </w:pPr>
      <w:r>
        <w:rPr>
          <w:sz w:val="21"/>
          <w:szCs w:val="21"/>
        </w:rPr>
        <w:t xml:space="preserve"> </w:t>
      </w:r>
      <w:r>
        <w:rPr>
          <w:sz w:val="21"/>
          <w:szCs w:val="21"/>
        </w:rPr>
        <w:t>Упаковка и маркировка Товара должны соответствовать требованиям:</w:t>
      </w:r>
    </w:p>
    <w:p>
      <w:pPr>
        <w:pStyle w:val="Normal"/>
        <w:rPr>
          <w:sz w:val="21"/>
          <w:szCs w:val="21"/>
        </w:rPr>
      </w:pPr>
      <w:r>
        <w:rPr>
          <w:sz w:val="21"/>
          <w:szCs w:val="21"/>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pPr>
        <w:pStyle w:val="Normal"/>
        <w:rPr>
          <w:sz w:val="21"/>
          <w:szCs w:val="21"/>
        </w:rPr>
      </w:pPr>
      <w:r>
        <w:rPr>
          <w:sz w:val="21"/>
          <w:szCs w:val="21"/>
        </w:rPr>
        <w:t>Вся упаковка должна соответствовать требованиям законодательства Российской Федерации, иметь следующую маркировку:</w:t>
      </w:r>
    </w:p>
    <w:p>
      <w:pPr>
        <w:pStyle w:val="Normal"/>
        <w:rPr>
          <w:sz w:val="21"/>
          <w:szCs w:val="21"/>
        </w:rPr>
      </w:pPr>
      <w:r>
        <w:rPr>
          <w:sz w:val="21"/>
          <w:szCs w:val="21"/>
        </w:rPr>
        <w:t>Наименование Товара: _____________________</w:t>
      </w:r>
    </w:p>
    <w:p>
      <w:pPr>
        <w:pStyle w:val="Normal"/>
        <w:rPr>
          <w:sz w:val="21"/>
          <w:szCs w:val="21"/>
        </w:rPr>
      </w:pPr>
      <w:r>
        <w:rPr>
          <w:sz w:val="21"/>
          <w:szCs w:val="21"/>
        </w:rPr>
        <w:t>Контракт № _______________</w:t>
      </w:r>
    </w:p>
    <w:p>
      <w:pPr>
        <w:pStyle w:val="Normal"/>
        <w:rPr>
          <w:sz w:val="21"/>
          <w:szCs w:val="21"/>
        </w:rPr>
      </w:pPr>
      <w:r>
        <w:rPr>
          <w:sz w:val="21"/>
          <w:szCs w:val="21"/>
        </w:rPr>
        <w:t>Заказчик (название): ___________</w:t>
      </w:r>
    </w:p>
    <w:p>
      <w:pPr>
        <w:pStyle w:val="Normal"/>
        <w:rPr>
          <w:sz w:val="21"/>
          <w:szCs w:val="21"/>
        </w:rPr>
      </w:pPr>
      <w:r>
        <w:rPr>
          <w:sz w:val="21"/>
          <w:szCs w:val="21"/>
        </w:rPr>
        <w:t>Поставщик (название компании): _________</w:t>
      </w:r>
    </w:p>
    <w:p>
      <w:pPr>
        <w:pStyle w:val="Normal"/>
        <w:rPr>
          <w:sz w:val="21"/>
          <w:szCs w:val="21"/>
        </w:rPr>
      </w:pPr>
      <w:r>
        <w:rPr>
          <w:sz w:val="21"/>
          <w:szCs w:val="21"/>
        </w:rPr>
        <w:t>Получатель: ___________</w:t>
      </w:r>
    </w:p>
    <w:p>
      <w:pPr>
        <w:pStyle w:val="Normal"/>
        <w:rPr>
          <w:sz w:val="21"/>
          <w:szCs w:val="21"/>
        </w:rPr>
      </w:pPr>
      <w:r>
        <w:rPr>
          <w:sz w:val="21"/>
          <w:szCs w:val="21"/>
        </w:rPr>
        <w:t>Пункт назначения: _____________</w:t>
      </w:r>
    </w:p>
    <w:p>
      <w:pPr>
        <w:pStyle w:val="Normal"/>
        <w:rPr>
          <w:sz w:val="21"/>
          <w:szCs w:val="21"/>
        </w:rPr>
      </w:pPr>
      <w:r>
        <w:rPr>
          <w:sz w:val="21"/>
          <w:szCs w:val="21"/>
        </w:rPr>
        <w:t>Грузоотправитель: ______________</w:t>
      </w:r>
    </w:p>
    <w:p>
      <w:pPr>
        <w:pStyle w:val="Normal"/>
        <w:rPr>
          <w:sz w:val="21"/>
          <w:szCs w:val="21"/>
        </w:rPr>
      </w:pPr>
      <w:r>
        <w:rPr>
          <w:sz w:val="21"/>
          <w:szCs w:val="21"/>
        </w:rPr>
        <w:t>Ящик/контейнер № ______, всего ящиков/контейнеров _______</w:t>
      </w:r>
    </w:p>
    <w:p>
      <w:pPr>
        <w:pStyle w:val="Normal"/>
        <w:rPr>
          <w:sz w:val="21"/>
          <w:szCs w:val="21"/>
        </w:rPr>
      </w:pPr>
      <w:r>
        <w:rPr>
          <w:sz w:val="21"/>
          <w:szCs w:val="21"/>
        </w:rPr>
        <w:t>Размеры (высота, длина, ширина) _________</w:t>
      </w:r>
    </w:p>
    <w:p>
      <w:pPr>
        <w:pStyle w:val="Normal"/>
        <w:rPr>
          <w:sz w:val="21"/>
          <w:szCs w:val="21"/>
        </w:rPr>
      </w:pPr>
      <w:r>
        <w:rPr>
          <w:sz w:val="21"/>
          <w:szCs w:val="21"/>
        </w:rPr>
        <w:t>Вес брутто _____ кг</w:t>
      </w:r>
    </w:p>
    <w:p>
      <w:pPr>
        <w:pStyle w:val="Normal"/>
        <w:rPr>
          <w:sz w:val="21"/>
          <w:szCs w:val="21"/>
        </w:rPr>
      </w:pPr>
      <w:r>
        <w:rPr>
          <w:sz w:val="21"/>
          <w:szCs w:val="21"/>
        </w:rPr>
        <w:t>Вес нетто _____ кг</w:t>
      </w:r>
    </w:p>
    <w:p>
      <w:pPr>
        <w:pStyle w:val="Normal"/>
        <w:rPr>
          <w:sz w:val="21"/>
          <w:szCs w:val="21"/>
        </w:rPr>
      </w:pPr>
      <w:r>
        <w:rPr>
          <w:sz w:val="21"/>
          <w:szCs w:val="21"/>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pPr>
        <w:pStyle w:val="Normal"/>
        <w:rPr>
          <w:sz w:val="21"/>
          <w:szCs w:val="21"/>
        </w:rPr>
      </w:pPr>
      <w:r>
        <w:rPr>
          <w:sz w:val="21"/>
          <w:szCs w:val="21"/>
        </w:rPr>
        <w:tab/>
        <w:t>Вся упаковка должна соответствовать требованиям законодательства Российской Федерации, иметь маркировку на русском языке</w:t>
      </w:r>
    </w:p>
    <w:p>
      <w:pPr>
        <w:pStyle w:val="Normal"/>
        <w:rPr>
          <w:sz w:val="21"/>
          <w:szCs w:val="21"/>
        </w:rPr>
      </w:pPr>
      <w:r>
        <w:rPr>
          <w:sz w:val="21"/>
          <w:szCs w:val="21"/>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pPr>
        <w:pStyle w:val="Normal"/>
        <w:rPr>
          <w:sz w:val="21"/>
          <w:szCs w:val="21"/>
        </w:rPr>
      </w:pPr>
      <w:r>
        <w:rPr>
          <w:sz w:val="21"/>
          <w:szCs w:val="21"/>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pPr>
        <w:pStyle w:val="Normal"/>
        <w:rPr>
          <w:sz w:val="21"/>
          <w:szCs w:val="21"/>
        </w:rPr>
      </w:pPr>
      <w:r>
        <w:rPr>
          <w:sz w:val="21"/>
          <w:szCs w:val="21"/>
        </w:rPr>
        <w:tab/>
      </w:r>
    </w:p>
    <w:p>
      <w:pPr>
        <w:pStyle w:val="Normal"/>
        <w:rPr>
          <w:sz w:val="21"/>
          <w:szCs w:val="21"/>
        </w:rPr>
      </w:pPr>
      <w:r>
        <w:rPr>
          <w:sz w:val="21"/>
          <w:szCs w:val="21"/>
        </w:rPr>
        <w:t>2. Адрес поставки: 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pPr>
        <w:pStyle w:val="Normal"/>
        <w:rPr>
          <w:sz w:val="21"/>
          <w:szCs w:val="21"/>
        </w:rPr>
      </w:pPr>
      <w:r>
        <w:rPr>
          <w:sz w:val="21"/>
          <w:szCs w:val="21"/>
        </w:rPr>
      </w:r>
    </w:p>
    <w:p>
      <w:pPr>
        <w:pStyle w:val="Normal"/>
        <w:rPr>
          <w:sz w:val="21"/>
          <w:szCs w:val="21"/>
        </w:rPr>
      </w:pPr>
      <w:r>
        <w:rPr>
          <w:sz w:val="21"/>
          <w:szCs w:val="21"/>
        </w:rPr>
        <w:t>3. Сопроводительные документы:</w:t>
      </w:r>
    </w:p>
    <w:p>
      <w:pPr>
        <w:pStyle w:val="Normal"/>
        <w:rPr>
          <w:sz w:val="21"/>
          <w:szCs w:val="21"/>
        </w:rPr>
      </w:pPr>
      <w:r>
        <w:rPr>
          <w:sz w:val="21"/>
          <w:szCs w:val="21"/>
        </w:rPr>
        <w:t>а) товарная накладная, оформленная в установленном порядке (со ссылкой на дату и номер Контракта) в 2 (двух) экземплярах;</w:t>
      </w:r>
    </w:p>
    <w:p>
      <w:pPr>
        <w:pStyle w:val="Normal"/>
        <w:rPr>
          <w:sz w:val="21"/>
          <w:szCs w:val="21"/>
        </w:rPr>
      </w:pPr>
      <w:r>
        <w:rPr>
          <w:sz w:val="21"/>
          <w:szCs w:val="21"/>
        </w:rPr>
        <w:t>б) счет-фактура с указанием Товара, выставленная Заказчику (при налогообложении НДС, со ссылкой на дату и номер Контракта)1;</w:t>
      </w:r>
    </w:p>
    <w:p>
      <w:pPr>
        <w:pStyle w:val="Normal"/>
        <w:rPr>
          <w:sz w:val="21"/>
          <w:szCs w:val="21"/>
        </w:rPr>
      </w:pPr>
      <w:r>
        <w:rPr>
          <w:sz w:val="21"/>
          <w:szCs w:val="21"/>
        </w:rPr>
        <w:t>Допускается замена счет-фактуры и товарной накладной на универсальный передаточный документ (УПД).</w:t>
      </w:r>
    </w:p>
    <w:p>
      <w:pPr>
        <w:pStyle w:val="Normal"/>
        <w:rPr>
          <w:sz w:val="21"/>
          <w:szCs w:val="21"/>
        </w:rPr>
      </w:pPr>
      <w:r>
        <w:rPr>
          <w:sz w:val="21"/>
          <w:szCs w:val="21"/>
        </w:rPr>
        <w:t>в) счет (со ссылкой на дату и номер Контракта);</w:t>
      </w:r>
    </w:p>
    <w:p>
      <w:pPr>
        <w:pStyle w:val="Normal"/>
        <w:rPr>
          <w:sz w:val="21"/>
          <w:szCs w:val="21"/>
        </w:rPr>
      </w:pPr>
      <w:r>
        <w:rPr>
          <w:sz w:val="21"/>
          <w:szCs w:val="21"/>
        </w:rPr>
        <w:t>г) Акт приема-передачи Товара (в 2 (двух) экземплярах: 1 (один) экземпляр для Заказчика, 1 (один) экземпляр для Поставщика, подписанный со Стороны Поставщика;</w:t>
      </w:r>
    </w:p>
    <w:p>
      <w:pPr>
        <w:pStyle w:val="Normal"/>
        <w:rPr>
          <w:sz w:val="21"/>
          <w:szCs w:val="21"/>
        </w:rPr>
      </w:pPr>
      <w:r>
        <w:rPr>
          <w:sz w:val="21"/>
          <w:szCs w:val="21"/>
        </w:rPr>
        <w:t>д) копии регистрационных удостоверений на Товар, заверенные в установленном законом порядке2;</w:t>
      </w:r>
    </w:p>
    <w:p>
      <w:pPr>
        <w:pStyle w:val="Normal"/>
        <w:rPr>
          <w:sz w:val="21"/>
          <w:szCs w:val="21"/>
        </w:rPr>
      </w:pPr>
      <w:r>
        <w:rPr>
          <w:sz w:val="21"/>
          <w:szCs w:val="21"/>
        </w:rPr>
        <w:t>е) копии сертификатов и/или деклараций соответствия на Товар, заверенные в установленном законом порядке;3</w:t>
      </w:r>
    </w:p>
    <w:p>
      <w:pPr>
        <w:pStyle w:val="Normal"/>
        <w:rPr>
          <w:sz w:val="21"/>
          <w:szCs w:val="21"/>
        </w:rPr>
      </w:pPr>
      <w:r>
        <w:rPr>
          <w:sz w:val="21"/>
          <w:szCs w:val="21"/>
        </w:rPr>
        <w:t>ж) копии санитарно-эпидемиологических заключений на Товар, выданных Роспотребнадзором, заверенные в установленном законом порядке;4</w:t>
      </w:r>
    </w:p>
    <w:p>
      <w:pPr>
        <w:pStyle w:val="Normal"/>
        <w:rPr>
          <w:sz w:val="21"/>
          <w:szCs w:val="21"/>
        </w:rPr>
      </w:pPr>
      <w:r>
        <w:rPr>
          <w:sz w:val="21"/>
          <w:szCs w:val="21"/>
        </w:rPr>
        <w:t>з) документы, подтверждающие страну происхождения Товара;</w:t>
      </w:r>
    </w:p>
    <w:p>
      <w:pPr>
        <w:pStyle w:val="Normal"/>
        <w:rPr>
          <w:sz w:val="21"/>
          <w:szCs w:val="21"/>
        </w:rPr>
      </w:pPr>
      <w:r>
        <w:rPr>
          <w:sz w:val="21"/>
          <w:szCs w:val="21"/>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rPr>
          <w:sz w:val="21"/>
          <w:szCs w:val="21"/>
        </w:rPr>
      </w:pPr>
      <w:r>
        <w:rPr>
          <w:sz w:val="21"/>
          <w:szCs w:val="21"/>
        </w:rPr>
        <w:t>к) гарантию производителя на Товар, срок действия которой составляет не менее 12 месяцев, оформленную в виде отдельного документа;</w:t>
      </w:r>
    </w:p>
    <w:p>
      <w:pPr>
        <w:pStyle w:val="Normal"/>
        <w:rPr>
          <w:sz w:val="21"/>
          <w:szCs w:val="21"/>
        </w:rPr>
      </w:pPr>
      <w:r>
        <w:rPr>
          <w:sz w:val="21"/>
          <w:szCs w:val="21"/>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rPr>
          <w:sz w:val="21"/>
          <w:szCs w:val="21"/>
        </w:rPr>
      </w:pPr>
      <w:r>
        <w:rPr>
          <w:sz w:val="21"/>
          <w:szCs w:val="21"/>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rPr>
          <w:sz w:val="21"/>
          <w:szCs w:val="21"/>
        </w:rPr>
      </w:pPr>
      <w:r>
        <w:rPr>
          <w:sz w:val="21"/>
          <w:szCs w:val="21"/>
        </w:rPr>
      </w:r>
    </w:p>
    <w:p>
      <w:pPr>
        <w:pStyle w:val="Normal"/>
        <w:rPr>
          <w:sz w:val="21"/>
          <w:szCs w:val="21"/>
        </w:rPr>
      </w:pPr>
      <w:r>
        <w:rPr>
          <w:sz w:val="21"/>
          <w:szCs w:val="21"/>
        </w:rPr>
        <w:t>4. Срок поставки: поставка поставка Товара осуществляется силами и средствами Поставщика, партиями по заявкам Заказчика – в течение 24 часов с момента поступления заявки. Заявки направляются в период действия Контракта, заявка направляется на адрес электронной почты поставщика с адреса электронной почты Заказчика  opz@eliz-spb.ru.</w:t>
      </w:r>
    </w:p>
    <w:p>
      <w:pPr>
        <w:pStyle w:val="Normal"/>
        <w:rPr>
          <w:sz w:val="21"/>
          <w:szCs w:val="21"/>
        </w:rPr>
      </w:pPr>
      <w:r>
        <w:rPr>
          <w:sz w:val="21"/>
          <w:szCs w:val="21"/>
        </w:rPr>
      </w:r>
    </w:p>
    <w:p>
      <w:pPr>
        <w:pStyle w:val="Normal"/>
        <w:rPr>
          <w:sz w:val="21"/>
          <w:szCs w:val="21"/>
        </w:rPr>
      </w:pPr>
      <w:r>
        <w:rPr>
          <w:sz w:val="21"/>
          <w:szCs w:val="21"/>
        </w:rPr>
        <w:t>5. Порядок приемки:</w:t>
      </w:r>
    </w:p>
    <w:p>
      <w:pPr>
        <w:pStyle w:val="Normal"/>
        <w:rPr>
          <w:sz w:val="21"/>
          <w:szCs w:val="21"/>
        </w:rPr>
      </w:pPr>
      <w:r>
        <w:rPr>
          <w:sz w:val="21"/>
          <w:szCs w:val="21"/>
        </w:rPr>
        <w:t>5.1. Приемка поставленного Товара осуществляется в ходе передачи Товара Заказчику в Месте поставки и включает в себя следующее:</w:t>
      </w:r>
    </w:p>
    <w:p>
      <w:pPr>
        <w:pStyle w:val="Normal"/>
        <w:rPr>
          <w:sz w:val="21"/>
          <w:szCs w:val="21"/>
        </w:rPr>
      </w:pPr>
      <w:r>
        <w:rPr>
          <w:sz w:val="21"/>
          <w:szCs w:val="21"/>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rPr>
          <w:sz w:val="21"/>
          <w:szCs w:val="21"/>
        </w:rPr>
      </w:pPr>
      <w:r>
        <w:rPr>
          <w:sz w:val="21"/>
          <w:szCs w:val="21"/>
        </w:rPr>
        <w:t>б) проверку полноты и правильности оформления комплекта сопроводительных документов в соответствии с условиями Контракта;</w:t>
      </w:r>
    </w:p>
    <w:p>
      <w:pPr>
        <w:pStyle w:val="Normal"/>
        <w:rPr>
          <w:sz w:val="21"/>
          <w:szCs w:val="21"/>
        </w:rPr>
      </w:pPr>
      <w:r>
        <w:rPr>
          <w:sz w:val="21"/>
          <w:szCs w:val="21"/>
        </w:rPr>
        <w:t>в) контроль наличия/отсутствия внешних повреждений транспортной и оригинальной упаковки Товара;</w:t>
      </w:r>
    </w:p>
    <w:p>
      <w:pPr>
        <w:pStyle w:val="Normal"/>
        <w:rPr>
          <w:sz w:val="21"/>
          <w:szCs w:val="21"/>
        </w:rPr>
      </w:pPr>
      <w:r>
        <w:rPr>
          <w:sz w:val="21"/>
          <w:szCs w:val="21"/>
        </w:rPr>
        <w:t>г) проверку наличия необходимых документов (копий документов) на Товар в соответствии с подпунктами «д» - «л» пункта 3 Технического задания;</w:t>
      </w:r>
    </w:p>
    <w:p>
      <w:pPr>
        <w:pStyle w:val="Normal"/>
        <w:rPr>
          <w:sz w:val="21"/>
          <w:szCs w:val="21"/>
        </w:rPr>
      </w:pPr>
      <w:r>
        <w:rPr>
          <w:sz w:val="21"/>
          <w:szCs w:val="21"/>
        </w:rPr>
        <w:t>д) проверку целостности поставленного Товара (наличие/отсутствие дефектов непроизводственного характера);</w:t>
      </w:r>
    </w:p>
    <w:p>
      <w:pPr>
        <w:pStyle w:val="Normal"/>
        <w:rPr>
          <w:sz w:val="21"/>
          <w:szCs w:val="21"/>
        </w:rPr>
      </w:pPr>
      <w:r>
        <w:rPr>
          <w:sz w:val="21"/>
          <w:szCs w:val="21"/>
        </w:rPr>
        <w:t>е) проверку количества Товара, комплектности Товара, качества Товара и иных требований к Товару, предусмотренных Контрактом.</w:t>
      </w:r>
    </w:p>
    <w:p>
      <w:pPr>
        <w:pStyle w:val="Normal"/>
        <w:rPr>
          <w:sz w:val="21"/>
          <w:szCs w:val="21"/>
        </w:rPr>
      </w:pPr>
      <w:r>
        <w:rPr>
          <w:sz w:val="21"/>
          <w:szCs w:val="21"/>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rPr>
          <w:sz w:val="21"/>
          <w:szCs w:val="21"/>
        </w:rPr>
      </w:pPr>
      <w:r>
        <w:rPr>
          <w:sz w:val="21"/>
          <w:szCs w:val="21"/>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rPr>
          <w:sz w:val="21"/>
          <w:szCs w:val="21"/>
        </w:rPr>
      </w:pPr>
      <w:r>
        <w:rPr>
          <w:sz w:val="21"/>
          <w:szCs w:val="21"/>
        </w:rPr>
        <w:t>5.2.1. В случае отсутствия замечаний, Заказчик подписывает Акт приема-передачи Товара.</w:t>
      </w:r>
    </w:p>
    <w:p>
      <w:pPr>
        <w:pStyle w:val="Normal"/>
        <w:rPr>
          <w:sz w:val="21"/>
          <w:szCs w:val="21"/>
        </w:rPr>
      </w:pPr>
      <w:r>
        <w:rPr>
          <w:sz w:val="21"/>
          <w:szCs w:val="21"/>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rPr>
          <w:sz w:val="21"/>
          <w:szCs w:val="21"/>
        </w:rPr>
      </w:pPr>
      <w:r>
        <w:rPr>
          <w:sz w:val="21"/>
          <w:szCs w:val="21"/>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pPr>
        <w:pStyle w:val="Normal"/>
        <w:rPr>
          <w:sz w:val="21"/>
          <w:szCs w:val="21"/>
        </w:rPr>
      </w:pPr>
      <w:r>
        <w:rPr>
          <w:sz w:val="21"/>
          <w:szCs w:val="21"/>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pPr>
        <w:pStyle w:val="Normal"/>
        <w:rPr>
          <w:sz w:val="21"/>
          <w:szCs w:val="21"/>
        </w:rPr>
      </w:pPr>
      <w:r>
        <w:rPr>
          <w:sz w:val="21"/>
          <w:szCs w:val="21"/>
        </w:rPr>
        <w:t>5.5. При поставке Товара в объеме меньшем, чем указано в Спецификации (Приложение № 1 к Контракту) Поставщик по требованию Заказчика обязан допоставить недостающий Товар в течение 3 (трех) часов с момента получения от Заказчика соответствующего требования.</w:t>
      </w:r>
    </w:p>
    <w:p>
      <w:pPr>
        <w:pStyle w:val="Normal"/>
        <w:rPr>
          <w:sz w:val="21"/>
          <w:szCs w:val="21"/>
        </w:rPr>
      </w:pPr>
      <w:r>
        <w:rPr>
          <w:sz w:val="21"/>
          <w:szCs w:val="21"/>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rPr>
          <w:sz w:val="21"/>
          <w:szCs w:val="21"/>
        </w:rPr>
      </w:pPr>
      <w:r>
        <w:rPr>
          <w:sz w:val="21"/>
          <w:szCs w:val="21"/>
        </w:rPr>
        <w:t xml:space="preserve">5.7. 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pPr>
        <w:pStyle w:val="Normal"/>
        <w:rPr>
          <w:sz w:val="21"/>
          <w:szCs w:val="21"/>
        </w:rPr>
      </w:pPr>
      <w:r>
        <w:rPr>
          <w:sz w:val="21"/>
          <w:szCs w:val="21"/>
        </w:rPr>
        <w:t>5.7.1. При проведении экспертизы Заказчик вправе запрашивать 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 В целях осуществления проверки поставленного Товара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rPr>
          <w:sz w:val="21"/>
          <w:szCs w:val="21"/>
        </w:rPr>
      </w:pPr>
      <w:r>
        <w:rPr>
          <w:sz w:val="21"/>
          <w:szCs w:val="21"/>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rPr>
          <w:sz w:val="21"/>
          <w:szCs w:val="21"/>
        </w:rPr>
      </w:pPr>
      <w:r>
        <w:rPr>
          <w:sz w:val="21"/>
          <w:szCs w:val="21"/>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rPr>
          <w:sz w:val="21"/>
          <w:szCs w:val="21"/>
        </w:rPr>
      </w:pPr>
      <w:r>
        <w:rPr>
          <w:sz w:val="21"/>
          <w:szCs w:val="21"/>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rPr>
          <w:sz w:val="21"/>
          <w:szCs w:val="21"/>
        </w:rPr>
      </w:pPr>
      <w:r>
        <w:rPr>
          <w:sz w:val="21"/>
          <w:szCs w:val="21"/>
        </w:rPr>
      </w:r>
    </w:p>
    <w:p>
      <w:pPr>
        <w:pStyle w:val="Normal"/>
        <w:rPr>
          <w:sz w:val="21"/>
          <w:szCs w:val="21"/>
        </w:rPr>
      </w:pPr>
      <w:r>
        <w:rPr>
          <w:sz w:val="21"/>
          <w:szCs w:val="21"/>
        </w:rPr>
        <w:t>6. Срок замены некачественного Товара, Гарантийный срок/ срок годности на заменяемый товар:</w:t>
      </w:r>
    </w:p>
    <w:p>
      <w:pPr>
        <w:pStyle w:val="Normal"/>
        <w:rPr>
          <w:sz w:val="21"/>
          <w:szCs w:val="21"/>
        </w:rPr>
      </w:pPr>
      <w:r>
        <w:rPr>
          <w:sz w:val="21"/>
          <w:szCs w:val="21"/>
        </w:rPr>
        <w:t>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которые не могли быть обнаружены при обычном способе приемки Товара, и выявлены лишь в процессе обработки, испытания, использования и хранения Товара.</w:t>
      </w:r>
    </w:p>
    <w:p>
      <w:pPr>
        <w:pStyle w:val="Normal"/>
        <w:rPr>
          <w:sz w:val="21"/>
          <w:szCs w:val="21"/>
        </w:rPr>
      </w:pPr>
      <w:r>
        <w:rPr>
          <w:sz w:val="21"/>
          <w:szCs w:val="21"/>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rPr>
          <w:sz w:val="21"/>
          <w:szCs w:val="21"/>
        </w:rPr>
      </w:pPr>
      <w:r>
        <w:rPr>
          <w:sz w:val="21"/>
          <w:szCs w:val="21"/>
        </w:rPr>
        <w:t>6.3. 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rPr>
          <w:sz w:val="21"/>
          <w:szCs w:val="21"/>
        </w:rPr>
      </w:pPr>
      <w:r>
        <w:rPr>
          <w:sz w:val="21"/>
          <w:szCs w:val="21"/>
        </w:rPr>
        <w:t>6.4. Расходы по возврату Товара, восстановлению, замене Товара, производятся силами и за счет средств Поставщика</w:t>
      </w:r>
    </w:p>
    <w:p>
      <w:pPr>
        <w:pStyle w:val="Normal"/>
        <w:ind w:firstLine="709"/>
        <w:rPr>
          <w:szCs w:val="28"/>
          <w:lang w:eastAsia="en-US"/>
        </w:rPr>
      </w:pPr>
      <w:r>
        <w:rPr>
          <w:szCs w:val="28"/>
          <w:lang w:eastAsia="en-US"/>
        </w:rPr>
      </w:r>
    </w:p>
    <w:p>
      <w:pPr>
        <w:pStyle w:val="Normal"/>
        <w:tabs>
          <w:tab w:val="clear" w:pos="708"/>
          <w:tab w:val="left" w:pos="567" w:leader="none"/>
        </w:tabs>
        <w:jc w:val="both"/>
        <w:rPr>
          <w:sz w:val="20"/>
          <w:szCs w:val="20"/>
        </w:rPr>
      </w:pPr>
      <w:r>
        <w:rPr>
          <w:sz w:val="20"/>
          <w:szCs w:val="20"/>
        </w:rPr>
      </w:r>
    </w:p>
    <w:p>
      <w:pPr>
        <w:pStyle w:val="Normal"/>
        <w:tabs>
          <w:tab w:val="clear" w:pos="708"/>
          <w:tab w:val="left" w:pos="1701" w:leader="none"/>
        </w:tabs>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headerReference w:type="default" r:id="rId5"/>
      <w:headerReference w:type="first" r:id="rId6"/>
      <w:type w:val="nextPage"/>
      <w:pgSz w:orient="landscape" w:w="16838" w:h="11906"/>
      <w:pgMar w:left="597" w:right="430" w:gutter="0" w:header="708" w:top="76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Arial">
    <w:charset w:val="01"/>
    <w:family w:val="swiss"/>
    <w:pitch w:val="default"/>
  </w:font>
  <w:font w:name="PT Astra Serif">
    <w:charset w:val="01"/>
    <w:family w:val="roman"/>
    <w:pitch w:val="default"/>
  </w:font>
  <w:font w:name="Courier New">
    <w:charset w:val="01"/>
    <w:family w:val="auto"/>
    <w:pitch w:val="default"/>
  </w:font>
  <w:font w:name="Times New Roman">
    <w:charset w:val="01"/>
    <w:family w:val="auto"/>
    <w:pitch w:val="default"/>
  </w:font>
  <w:font w:name="Noto Sans Devanagari">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8"/>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ConsPlusNormal" w:customStyle="1">
    <w:name w:val="ConsPlusNormal Знак"/>
    <w:link w:val="ConsPlusNormal1"/>
    <w:qFormat/>
    <w:locked/>
    <w:rsid w:val="000b3789"/>
    <w:rPr>
      <w:rFonts w:ascii="Arial" w:hAnsi="Arial" w:eastAsia="Times New Roman" w:cs="Arial"/>
      <w:sz w:val="28"/>
      <w:szCs w:val="2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rmal1" w:customStyle="1">
    <w:name w:val="ConsPlusNormal"/>
    <w:link w:val="ConsPlusNormal"/>
    <w:qFormat/>
    <w:rsid w:val="000b3789"/>
    <w:pPr>
      <w:widowControl/>
      <w:suppressAutoHyphens w:val="true"/>
      <w:bidi w:val="0"/>
      <w:spacing w:before="0" w:after="0"/>
      <w:ind w:firstLine="720"/>
      <w:jc w:val="left"/>
    </w:pPr>
    <w:rPr>
      <w:rFonts w:ascii="Arial" w:hAnsi="Arial" w:eastAsia="Times New Roman" w:cs="Arial"/>
      <w:color w:val="auto"/>
      <w:kern w:val="0"/>
      <w:sz w:val="28"/>
      <w:szCs w:val="28"/>
      <w:lang w:val="ru-RU" w:eastAsia="ru-RU" w:bidi="ar-SA"/>
    </w:rPr>
  </w:style>
  <w:style w:type="paragraph" w:styleId="c9b8a43e859666fd6d50b0c0ecbd29f118f6f983830e33aa99aa78d3b532a93cmsonospacing" w:customStyle="1">
    <w:name w:val="c9b8a43e859666fd6d50b0c0ecbd29f118f6f983830e33aa99aa78d3b532a93cmsonospacing"/>
    <w:basedOn w:val="Normal"/>
    <w:qFormat/>
    <w:rsid w:val="007510a2"/>
    <w:pPr>
      <w:spacing w:beforeAutospacing="1" w:afterAutospacing="1"/>
    </w:pPr>
    <w:rPr>
      <w:lang w:val="en-US" w:eastAsia="en-US"/>
    </w:rPr>
  </w:style>
  <w:style w:type="paragraph" w:styleId="HeaderandFooter" w:customStyle="1">
    <w:name w:val="Header and Footer"/>
    <w:basedOn w:val="Normal"/>
    <w:qFormat/>
    <w:pPr/>
    <w:rPr/>
  </w:style>
  <w:style w:type="paragraph" w:styleId="Header">
    <w:name w:val="header"/>
    <w:basedOn w:val="HeaderandFooter"/>
    <w:pPr/>
    <w:rPr/>
  </w:style>
  <w:style w:type="paragraph" w:styleId="Style20" w:customStyle="1">
    <w:name w:val="Верхний колонтитул слева"/>
    <w:basedOn w:val="Header"/>
    <w:qFormat/>
    <w:pPr/>
    <w:rPr/>
  </w:style>
  <w:style w:type="paragraph" w:styleId="Style21" w:customStyle="1">
    <w:name w:val="Содержимое таблицы"/>
    <w:basedOn w:val="Normal"/>
    <w:qFormat/>
    <w:pPr>
      <w:widowControl w:val="false"/>
      <w:suppressLineNumbers/>
    </w:pPr>
    <w:rPr/>
  </w:style>
  <w:style w:type="paragraph" w:styleId="Style22" w:customStyle="1">
    <w:name w:val="Заголовок таблицы"/>
    <w:basedOn w:val="Style21"/>
    <w:qFormat/>
    <w:pPr>
      <w:jc w:val="center"/>
    </w:pPr>
    <w:rPr>
      <w:b/>
      <w:bCs/>
    </w:rPr>
  </w:style>
  <w:style w:type="numbering" w:styleId="Style23"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9b02b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
    <w:name w:val="Сетка таблицы3"/>
    <w:basedOn w:val="a1"/>
    <w:uiPriority w:val="39"/>
    <w:rsid w:val="008548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
    <w:name w:val="Сетка таблицы4"/>
    <w:basedOn w:val="a1"/>
    <w:uiPriority w:val="59"/>
    <w:rsid w:val="009e280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4BBC-3AD6-483F-9294-C52654E83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Application>LibreOffice/24.8.4.2$Linux_X86_64 LibreOffice_project/480$Build-2</Application>
  <AppVersion>15.0000</AppVersion>
  <Pages>16</Pages>
  <Words>5917</Words>
  <Characters>41832</Characters>
  <CharactersWithSpaces>47165</CharactersWithSpaces>
  <Paragraphs>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2026-01-16T14:51:00Z</cp:lastPrinted>
  <dcterms:modified xsi:type="dcterms:W3CDTF">2026-07-07T15:19:16Z</dcterms:modified>
  <cp:revision>124</cp:revision>
  <dc:subject/>
  <dc:title/>
</cp:coreProperties>
</file>

<file path=docProps/custom.xml><?xml version="1.0" encoding="utf-8"?>
<Properties xmlns="http://schemas.openxmlformats.org/officeDocument/2006/custom-properties" xmlns:vt="http://schemas.openxmlformats.org/officeDocument/2006/docPropsVTypes"/>
</file>