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22</w:t>
      </w:r>
      <w:r>
        <w:rPr>
          <w:b/>
          <w:sz w:val="18"/>
        </w:rPr>
        <w:t>5</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лекарственных препаратов</w:t>
      </w:r>
      <w:r>
        <w:rPr>
          <w:rFonts w:eastAsia="" w:cs="Times New Roman" w:ascii="Times New Roman" w:hAnsi="Times New Roman"/>
          <w:b/>
          <w:color w:val="000000"/>
          <w:kern w:val="0"/>
          <w:sz w:val="18"/>
          <w:szCs w:val="20"/>
          <w:lang w:val="ru-RU" w:eastAsia="ru-RU" w:bidi="ar-SA"/>
        </w:rPr>
        <w:t xml:space="preserve"> Ибупрофен+Кальция глюконат+Бупивакаин+Этамзилат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22</w:t>
      </w:r>
      <w:r>
        <w:rPr>
          <w:rFonts w:cs="Times New Roman" w:ascii="Times New Roman" w:hAnsi="Times New Roman"/>
          <w:b/>
          <w:sz w:val="20"/>
          <w:szCs w:val="20"/>
        </w:rPr>
        <w:t>5</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33"/>
        <w:gridCol w:w="848"/>
        <w:gridCol w:w="706"/>
        <w:gridCol w:w="865"/>
        <w:gridCol w:w="698"/>
        <w:gridCol w:w="862"/>
        <w:gridCol w:w="563"/>
        <w:gridCol w:w="837"/>
        <w:gridCol w:w="989"/>
        <w:gridCol w:w="837"/>
        <w:gridCol w:w="1"/>
        <w:gridCol w:w="926"/>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3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9"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6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53"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3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3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5"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8"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2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rHeight w:val="522" w:hRule="atLeast"/>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Style39"/>
              <w:ind w:hanging="0" w:left="0" w:right="0"/>
              <w:jc w:val="left"/>
              <w:rPr>
                <w:rFonts w:ascii="Tinos" w:hAnsi="Tinos"/>
              </w:rPr>
            </w:pPr>
            <w:r>
              <w:rPr>
                <w:rFonts w:ascii="Tinos" w:hAnsi="Tinos"/>
              </w:rPr>
              <w:t>Ибупрофен</w:t>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3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5"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559" w:hRule="atLeast"/>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Style39"/>
              <w:ind w:hanging="0" w:left="0" w:right="0"/>
              <w:jc w:val="left"/>
              <w:rPr>
                <w:rFonts w:ascii="Tinos" w:hAnsi="Tinos"/>
              </w:rPr>
            </w:pPr>
            <w:r>
              <w:rPr>
                <w:rFonts w:ascii="Tinos" w:hAnsi="Tinos"/>
              </w:rPr>
              <w:t>Кальция глюконат</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3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5"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9"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559" w:hRule="atLeast"/>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Style39"/>
              <w:ind w:hanging="0" w:left="0" w:right="0"/>
              <w:jc w:val="left"/>
              <w:rPr>
                <w:rFonts w:ascii="Tinos" w:hAnsi="Tinos"/>
              </w:rPr>
            </w:pPr>
            <w:r>
              <w:rPr>
                <w:rFonts w:ascii="Tinos" w:hAnsi="Tinos"/>
              </w:rPr>
              <w:t>Бупивакаин</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3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5"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9"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559" w:hRule="atLeast"/>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Style39"/>
              <w:jc w:val="left"/>
              <w:rPr>
                <w:rFonts w:ascii="Tinos" w:hAnsi="Tinos"/>
              </w:rPr>
            </w:pPr>
            <w:r>
              <w:rPr>
                <w:rFonts w:ascii="Tinos" w:hAnsi="Tinos"/>
              </w:rPr>
              <w:t>Этамзилат</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3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5"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9"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75" w:hRule="atLeast"/>
        </w:trPr>
        <w:tc>
          <w:tcPr>
            <w:tcW w:w="14631"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2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22</w:t>
      </w:r>
      <w:r>
        <w:rPr>
          <w:rFonts w:cs="Times New Roman" w:ascii="Times New Roman" w:hAnsi="Times New Roman"/>
          <w:b/>
          <w:sz w:val="20"/>
          <w:szCs w:val="20"/>
        </w:rPr>
        <w:t>5</w:t>
      </w:r>
      <w:r>
        <w:rPr>
          <w:rFonts w:cs="Times New Roman" w:ascii="Times New Roman" w:hAnsi="Times New Roman"/>
          <w:b/>
          <w:sz w:val="20"/>
          <w:szCs w:val="20"/>
        </w:rPr>
        <w:t xml:space="preserve"> </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0" w:after="0"/>
        <w:rPr>
          <w:rFonts w:ascii="Times New Roman" w:hAnsi="Times New Roman" w:eastAsia="Times New Roman" w:cs="Times New Roman"/>
          <w:b w:val="false"/>
          <w:bCs w:val="false"/>
          <w:sz w:val="20"/>
          <w:szCs w:val="20"/>
        </w:rPr>
      </w:pPr>
      <w:r>
        <w:rPr>
          <w:rFonts w:eastAsia="Times New Roman" w:cs="Times New Roman" w:ascii="Times New Roman" w:hAnsi="Times New Roman"/>
          <w:b w:val="false"/>
          <w:bCs w:val="false"/>
          <w:sz w:val="20"/>
          <w:szCs w:val="20"/>
        </w:rPr>
      </w:r>
    </w:p>
    <w:p>
      <w:pPr>
        <w:pStyle w:val="Normal"/>
        <w:spacing w:lineRule="auto" w:line="240" w:before="0" w:after="0"/>
        <w:jc w:val="right"/>
        <w:rPr>
          <w:rFonts w:ascii="Times New Roman" w:hAnsi="Times New Roman" w:eastAsia="Times New Roman" w:cs="Times New Roman"/>
          <w:b w:val="false"/>
          <w:bCs w:val="false"/>
          <w:sz w:val="20"/>
          <w:szCs w:val="20"/>
        </w:rPr>
      </w:pPr>
      <w:r>
        <w:rPr>
          <w:rFonts w:eastAsia="Times New Roman" w:cs="Times New Roman" w:ascii="Times New Roman" w:hAnsi="Times New Roman"/>
          <w:b w:val="false"/>
          <w:bCs w:val="false"/>
          <w:sz w:val="20"/>
          <w:szCs w:val="20"/>
        </w:rPr>
        <w:t>Приложение №1 к ТЗ</w:t>
      </w:r>
    </w:p>
    <w:p>
      <w:pPr>
        <w:pStyle w:val="Normal"/>
        <w:spacing w:lineRule="auto" w:line="240" w:before="0" w:after="0"/>
        <w:rPr>
          <w:rFonts w:ascii="Times New Roman" w:hAnsi="Times New Roman" w:eastAsia="Times New Roman" w:cs="Times New Roman"/>
          <w:b w:val="false"/>
          <w:bCs w:val="false"/>
          <w:sz w:val="20"/>
          <w:szCs w:val="20"/>
        </w:rPr>
      </w:pPr>
      <w:r>
        <w:rPr>
          <w:rFonts w:eastAsia="Times New Roman" w:cs="Times New Roman" w:ascii="Times New Roman" w:hAnsi="Times New Roman"/>
          <w:b w:val="false"/>
          <w:bCs w:val="false"/>
          <w:sz w:val="20"/>
          <w:szCs w:val="20"/>
        </w:rPr>
      </w:r>
    </w:p>
    <w:tbl>
      <w:tblPr>
        <w:tblW w:w="10065" w:type="dxa"/>
        <w:jc w:val="left"/>
        <w:tblInd w:w="-673" w:type="dxa"/>
        <w:tblLayout w:type="fixed"/>
        <w:tblCellMar>
          <w:top w:w="0" w:type="dxa"/>
          <w:left w:w="108" w:type="dxa"/>
          <w:bottom w:w="0" w:type="dxa"/>
          <w:right w:w="108" w:type="dxa"/>
        </w:tblCellMar>
        <w:tblLook w:val="04a0" w:noHBand="0" w:noVBand="1" w:firstColumn="1" w:lastRow="0" w:lastColumn="0" w:firstRow="1"/>
      </w:tblPr>
      <w:tblGrid>
        <w:gridCol w:w="782"/>
        <w:gridCol w:w="1590"/>
        <w:gridCol w:w="1753"/>
        <w:gridCol w:w="3915"/>
        <w:gridCol w:w="735"/>
        <w:gridCol w:w="1290"/>
      </w:tblGrid>
      <w:tr>
        <w:trPr>
          <w:trHeight w:val="721" w:hRule="atLeast"/>
        </w:trPr>
        <w:tc>
          <w:tcPr>
            <w:tcW w:w="782" w:type="dxa"/>
            <w:tcBorders>
              <w:top w:val="single" w:sz="8" w:space="0" w:color="000000"/>
              <w:left w:val="single" w:sz="8" w:space="0" w:color="000000"/>
              <w:bottom w:val="single" w:sz="4" w:space="0" w:color="000000"/>
              <w:right w:val="single" w:sz="4" w:space="0" w:color="000000"/>
            </w:tcBorders>
            <w:shd w:color="auto" w:fill="FDE9D9" w:val="clear"/>
            <w:vAlign w:val="center"/>
          </w:tcPr>
          <w:p>
            <w:pPr>
              <w:pStyle w:val="Normal"/>
              <w:widowControl w:val="false"/>
              <w:spacing w:lineRule="auto" w:line="240" w:before="0" w:after="0"/>
              <w:jc w:val="center"/>
              <w:rPr>
                <w:rFonts w:ascii="Times New Roman" w:hAnsi="Times New Roman" w:eastAsia="Times New Roman" w:cs="Times New Roman"/>
                <w:b/>
                <w:bCs/>
                <w:color w:themeColor="text1" w:val="000000"/>
                <w:sz w:val="20"/>
                <w:szCs w:val="20"/>
              </w:rPr>
            </w:pPr>
            <w:r>
              <w:rPr>
                <w:rFonts w:cs="Times New Roman" w:ascii="Times New Roman" w:hAnsi="Times New Roman"/>
                <w:b/>
                <w:color w:themeColor="text1" w:val="000000"/>
                <w:sz w:val="20"/>
                <w:szCs w:val="20"/>
              </w:rPr>
              <w:t>ЛП включен в перечень ЖНВЛП</w:t>
            </w:r>
          </w:p>
        </w:tc>
        <w:tc>
          <w:tcPr>
            <w:tcW w:w="1590" w:type="dxa"/>
            <w:tcBorders>
              <w:top w:val="single" w:sz="8" w:space="0" w:color="000000"/>
              <w:left w:val="single" w:sz="4" w:space="0" w:color="000000"/>
              <w:bottom w:val="single" w:sz="4" w:space="0" w:color="000000"/>
              <w:right w:val="single" w:sz="4" w:space="0" w:color="000000"/>
            </w:tcBorders>
            <w:shd w:color="auto" w:fill="FDE9D9" w:val="clear"/>
            <w:vAlign w:val="center"/>
          </w:tcPr>
          <w:p>
            <w:pPr>
              <w:pStyle w:val="Normal"/>
              <w:widowControl w:val="false"/>
              <w:spacing w:lineRule="auto" w:line="240" w:before="0" w:after="0"/>
              <w:jc w:val="center"/>
              <w:rPr>
                <w:rFonts w:ascii="Times New Roman" w:hAnsi="Times New Roman" w:eastAsia="Times New Roman" w:cs="Times New Roman"/>
                <w:b/>
                <w:bCs/>
                <w:color w:themeColor="text1" w:val="000000"/>
                <w:sz w:val="20"/>
                <w:szCs w:val="20"/>
              </w:rPr>
            </w:pPr>
            <w:hyperlink r:id="rId17" w:tgtFrame="_blank">
              <w:r>
                <w:rPr>
                  <w:rStyle w:val="Style"/>
                  <w:rFonts w:cs="Times New Roman" w:ascii="Times New Roman" w:hAnsi="Times New Roman"/>
                  <w:b/>
                  <w:color w:themeColor="text1" w:val="000000"/>
                  <w:sz w:val="20"/>
                  <w:szCs w:val="20"/>
                </w:rPr>
                <w:t>Код позиции КТРУ</w:t>
              </w:r>
            </w:hyperlink>
          </w:p>
        </w:tc>
        <w:tc>
          <w:tcPr>
            <w:tcW w:w="1753" w:type="dxa"/>
            <w:tcBorders>
              <w:top w:val="single" w:sz="8" w:space="0" w:color="000000"/>
              <w:left w:val="single" w:sz="4" w:space="0" w:color="000000"/>
              <w:bottom w:val="single" w:sz="4" w:space="0" w:color="000000"/>
              <w:right w:val="single" w:sz="4" w:space="0" w:color="000000"/>
            </w:tcBorders>
            <w:shd w:color="auto" w:fill="FDE9D9" w:val="clear"/>
            <w:vAlign w:val="center"/>
          </w:tcPr>
          <w:p>
            <w:pPr>
              <w:pStyle w:val="Normal"/>
              <w:widowControl w:val="false"/>
              <w:spacing w:lineRule="auto" w:line="240" w:before="0" w:after="0"/>
              <w:jc w:val="center"/>
              <w:rPr>
                <w:rFonts w:ascii="Times New Roman" w:hAnsi="Times New Roman" w:eastAsia="Times New Roman" w:cs="Times New Roman"/>
                <w:b/>
                <w:bCs/>
                <w:color w:themeColor="text1" w:val="000000"/>
                <w:sz w:val="20"/>
                <w:szCs w:val="20"/>
              </w:rPr>
            </w:pPr>
            <w:r>
              <w:rPr>
                <w:rFonts w:eastAsia="Times New Roman" w:cs="Times New Roman" w:ascii="Times New Roman" w:hAnsi="Times New Roman"/>
                <w:b/>
                <w:bCs/>
                <w:color w:themeColor="text1" w:val="000000"/>
                <w:sz w:val="20"/>
                <w:szCs w:val="20"/>
              </w:rPr>
              <w:t>Международное</w:t>
            </w:r>
          </w:p>
          <w:p>
            <w:pPr>
              <w:pStyle w:val="Normal"/>
              <w:widowControl w:val="false"/>
              <w:spacing w:lineRule="auto" w:line="240" w:before="0" w:after="0"/>
              <w:jc w:val="center"/>
              <w:rPr>
                <w:rFonts w:ascii="Times New Roman" w:hAnsi="Times New Roman" w:eastAsia="Times New Roman" w:cs="Times New Roman"/>
                <w:b/>
                <w:bCs/>
                <w:color w:themeColor="text1" w:val="000000"/>
                <w:sz w:val="20"/>
                <w:szCs w:val="20"/>
              </w:rPr>
            </w:pPr>
            <w:r>
              <w:rPr>
                <w:rFonts w:eastAsia="Times New Roman" w:cs="Times New Roman" w:ascii="Times New Roman" w:hAnsi="Times New Roman"/>
                <w:b/>
                <w:bCs/>
                <w:color w:themeColor="text1" w:val="000000"/>
                <w:sz w:val="20"/>
                <w:szCs w:val="20"/>
              </w:rPr>
              <w:t>непатентованное</w:t>
            </w:r>
          </w:p>
          <w:p>
            <w:pPr>
              <w:pStyle w:val="Normal"/>
              <w:widowControl w:val="false"/>
              <w:spacing w:lineRule="auto" w:line="240" w:before="0" w:after="0"/>
              <w:jc w:val="center"/>
              <w:rPr>
                <w:rFonts w:ascii="Times New Roman" w:hAnsi="Times New Roman" w:eastAsia="Times New Roman" w:cs="Times New Roman"/>
                <w:b/>
                <w:bCs/>
                <w:color w:themeColor="text1" w:val="000000"/>
                <w:sz w:val="20"/>
                <w:szCs w:val="20"/>
              </w:rPr>
            </w:pPr>
            <w:r>
              <w:rPr>
                <w:rFonts w:eastAsia="Times New Roman" w:cs="Times New Roman" w:ascii="Times New Roman" w:hAnsi="Times New Roman"/>
                <w:b/>
                <w:bCs/>
                <w:color w:themeColor="text1" w:val="000000"/>
                <w:sz w:val="20"/>
                <w:szCs w:val="20"/>
              </w:rPr>
              <w:t>наименование</w:t>
            </w:r>
          </w:p>
        </w:tc>
        <w:tc>
          <w:tcPr>
            <w:tcW w:w="3915" w:type="dxa"/>
            <w:tcBorders>
              <w:top w:val="single" w:sz="8" w:space="0" w:color="000000"/>
              <w:bottom w:val="single" w:sz="4" w:space="0" w:color="000000"/>
              <w:right w:val="single" w:sz="4" w:space="0" w:color="000000"/>
            </w:tcBorders>
            <w:shd w:color="auto" w:fill="FDE9D9" w:val="clear"/>
            <w:vAlign w:val="center"/>
          </w:tcPr>
          <w:p>
            <w:pPr>
              <w:pStyle w:val="Normal"/>
              <w:widowControl w:val="false"/>
              <w:spacing w:lineRule="auto" w:line="240" w:before="0" w:after="0"/>
              <w:jc w:val="center"/>
              <w:rPr>
                <w:rFonts w:ascii="Times New Roman" w:hAnsi="Times New Roman" w:cs="Times New Roman"/>
                <w:b/>
                <w:color w:themeColor="text1" w:val="000000"/>
                <w:sz w:val="20"/>
                <w:szCs w:val="20"/>
              </w:rPr>
            </w:pPr>
            <w:r>
              <w:rPr>
                <w:rFonts w:cs="Times New Roman" w:ascii="Times New Roman" w:hAnsi="Times New Roman"/>
                <w:b/>
                <w:color w:themeColor="text1" w:val="000000"/>
                <w:sz w:val="20"/>
                <w:szCs w:val="20"/>
              </w:rPr>
              <w:t>Характеристики</w:t>
            </w:r>
          </w:p>
        </w:tc>
        <w:tc>
          <w:tcPr>
            <w:tcW w:w="735" w:type="dxa"/>
            <w:tcBorders>
              <w:top w:val="single" w:sz="8" w:space="0" w:color="000000"/>
              <w:bottom w:val="single" w:sz="4" w:space="0" w:color="000000"/>
              <w:right w:val="single" w:sz="4" w:space="0" w:color="000000"/>
            </w:tcBorders>
            <w:shd w:color="auto" w:fill="FDE9D9" w:val="clear"/>
            <w:vAlign w:val="center"/>
          </w:tcPr>
          <w:p>
            <w:pPr>
              <w:pStyle w:val="Normal"/>
              <w:widowControl w:val="false"/>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Ед. изм.</w:t>
            </w:r>
          </w:p>
        </w:tc>
        <w:tc>
          <w:tcPr>
            <w:tcW w:w="1290" w:type="dxa"/>
            <w:tcBorders>
              <w:top w:val="single" w:sz="8" w:space="0" w:color="000000"/>
              <w:bottom w:val="single" w:sz="4" w:space="0" w:color="000000"/>
              <w:right w:val="single" w:sz="8" w:space="0" w:color="000000"/>
            </w:tcBorders>
            <w:shd w:color="auto" w:fill="FDE9D9" w:val="clear"/>
          </w:tcPr>
          <w:p>
            <w:pPr>
              <w:pStyle w:val="Normal"/>
              <w:widowControl w:val="false"/>
              <w:rPr>
                <w:rFonts w:ascii="Times New Roman" w:hAnsi="Times New Roman" w:cs="Times New Roman"/>
                <w:b/>
                <w:sz w:val="20"/>
                <w:szCs w:val="20"/>
              </w:rPr>
            </w:pPr>
            <w:r>
              <w:rPr>
                <w:rFonts w:cs="Times New Roman" w:ascii="Times New Roman" w:hAnsi="Times New Roman"/>
                <w:b/>
                <w:sz w:val="20"/>
                <w:szCs w:val="20"/>
              </w:rPr>
            </w:r>
          </w:p>
          <w:p>
            <w:pPr>
              <w:pStyle w:val="Normal"/>
              <w:widowControl w:val="false"/>
              <w:spacing w:before="0" w:after="200"/>
              <w:jc w:val="center"/>
              <w:rPr>
                <w:rFonts w:ascii="Times New Roman" w:hAnsi="Times New Roman" w:cs="Times New Roman"/>
                <w:b/>
                <w:color w:themeColor="accent6" w:themeTint="33" w:val="FDE9D9"/>
                <w:sz w:val="20"/>
                <w:szCs w:val="20"/>
              </w:rPr>
            </w:pPr>
            <w:r>
              <w:rPr>
                <w:rFonts w:cs="Times New Roman" w:ascii="Times New Roman" w:hAnsi="Times New Roman"/>
                <w:b/>
                <w:sz w:val="20"/>
                <w:szCs w:val="20"/>
              </w:rPr>
              <w:t>Общее количество к поставке</w:t>
            </w:r>
          </w:p>
        </w:tc>
      </w:tr>
      <w:tr>
        <w:trPr>
          <w:trHeight w:val="1125" w:hRule="atLeast"/>
        </w:trPr>
        <w:tc>
          <w:tcPr>
            <w:tcW w:w="782" w:type="dxa"/>
            <w:tcBorders>
              <w:left w:val="single" w:sz="8"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eastAsia="Times New Roman" w:cs="Times New Roman"/>
                <w:bCs/>
                <w:color w:val="000000"/>
                <w:sz w:val="20"/>
                <w:szCs w:val="20"/>
              </w:rPr>
            </w:pPr>
            <w:r>
              <w:rPr>
                <w:rFonts w:eastAsia="Times New Roman" w:cs="Times New Roman" w:ascii="Tinos" w:hAnsi="Tinos"/>
                <w:bCs/>
                <w:color w:val="000000"/>
                <w:sz w:val="20"/>
                <w:szCs w:val="20"/>
              </w:rPr>
            </w:r>
          </w:p>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Да</w:t>
            </w:r>
          </w:p>
          <w:p>
            <w:pPr>
              <w:pStyle w:val="Normal"/>
              <w:widowControl w:val="false"/>
              <w:spacing w:lineRule="auto" w:line="240" w:before="0" w:after="0"/>
              <w:jc w:val="center"/>
              <w:rPr>
                <w:rFonts w:ascii="Tinos" w:hAnsi="Tinos" w:eastAsia="Times New Roman" w:cs="Times New Roman"/>
                <w:bCs/>
                <w:color w:val="000000"/>
                <w:sz w:val="20"/>
                <w:szCs w:val="20"/>
              </w:rPr>
            </w:pPr>
            <w:r>
              <w:rPr>
                <w:rFonts w:eastAsia="Times New Roman" w:cs="Times New Roman" w:ascii="Tinos" w:hAnsi="Tinos"/>
                <w:bCs/>
                <w:color w:val="000000"/>
                <w:sz w:val="20"/>
                <w:szCs w:val="20"/>
              </w:rPr>
            </w:r>
          </w:p>
          <w:p>
            <w:pPr>
              <w:pStyle w:val="Normal"/>
              <w:widowControl w:val="false"/>
              <w:spacing w:lineRule="auto" w:line="240" w:before="0" w:after="0"/>
              <w:jc w:val="center"/>
              <w:rPr>
                <w:rFonts w:ascii="Tinos" w:hAnsi="Tinos" w:eastAsia="Times New Roman" w:cs="Times New Roman"/>
                <w:bCs/>
                <w:color w:val="000000"/>
                <w:sz w:val="20"/>
                <w:szCs w:val="20"/>
              </w:rPr>
            </w:pPr>
            <w:r>
              <w:rPr>
                <w:rFonts w:eastAsia="Times New Roman" w:cs="Times New Roman" w:ascii="Tinos" w:hAnsi="Tinos"/>
                <w:bCs/>
                <w:color w:val="000000"/>
                <w:sz w:val="20"/>
                <w:szCs w:val="20"/>
              </w:rPr>
            </w:r>
          </w:p>
        </w:tc>
        <w:tc>
          <w:tcPr>
            <w:tcW w:w="1590" w:type="dxa"/>
            <w:tcBorders>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textAlignment w:val="baseline"/>
              <w:rPr/>
            </w:pPr>
            <w:hyperlink r:id="rId18" w:tgtFrame="_blank">
              <w:r>
                <w:rPr>
                  <w:rStyle w:val="Hyperlink"/>
                  <w:rFonts w:eastAsia="Times New Roman" w:cs="Times New Roman" w:ascii="Tinos" w:hAnsi="Tinos"/>
                  <w:bCs/>
                  <w:color w:val="000000"/>
                  <w:sz w:val="20"/>
                  <w:szCs w:val="20"/>
                </w:rPr>
                <w:t>21.20.10.221-000010-1-00071-0000000000000</w:t>
              </w:r>
            </w:hyperlink>
          </w:p>
        </w:tc>
        <w:tc>
          <w:tcPr>
            <w:tcW w:w="1753" w:type="dxa"/>
            <w:tcBorders>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rPr>
            </w:pPr>
            <w:r>
              <w:rPr>
                <w:rFonts w:ascii="Tinos" w:hAnsi="Tinos"/>
                <w:sz w:val="20"/>
                <w:szCs w:val="20"/>
              </w:rPr>
              <w:t>Ибупрофен</w:t>
            </w:r>
          </w:p>
        </w:tc>
        <w:tc>
          <w:tcPr>
            <w:tcW w:w="3915" w:type="dxa"/>
            <w:tcBorders>
              <w:bottom w:val="single" w:sz="4" w:space="0" w:color="000000"/>
              <w:right w:val="single" w:sz="4" w:space="0" w:color="000000"/>
            </w:tcBorders>
            <w:vAlign w:val="center"/>
          </w:tcPr>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Фармакотерапевтическая группа</w:t>
            </w:r>
            <w:r>
              <w:rPr>
                <w:rFonts w:eastAsia="Times New Roman" w:cs="Times New Roman" w:ascii="Tinos" w:hAnsi="Tinos"/>
                <w:color w:val="000000"/>
                <w:sz w:val="20"/>
                <w:szCs w:val="20"/>
              </w:rPr>
              <w:t xml:space="preserve">: </w:t>
            </w:r>
            <w:r>
              <w:rPr>
                <w:rFonts w:eastAsia="Times New Roman" w:cs="Times New Roman" w:ascii="Tinos" w:hAnsi="Tinos"/>
                <w:bCs/>
                <w:color w:val="000000"/>
                <w:sz w:val="20"/>
                <w:szCs w:val="20"/>
              </w:rPr>
              <w:t>НПВП</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Лекарственная форма</w:t>
            </w:r>
            <w:r>
              <w:rPr>
                <w:rFonts w:eastAsia="Times New Roman" w:cs="Times New Roman" w:ascii="Tinos" w:hAnsi="Tinos"/>
                <w:color w:val="000000"/>
                <w:sz w:val="20"/>
                <w:szCs w:val="20"/>
              </w:rPr>
              <w:t xml:space="preserve">: </w:t>
            </w:r>
            <w:r>
              <w:rPr>
                <w:rFonts w:eastAsia="Times New Roman" w:cs="Times New Roman" w:ascii="Tinos" w:hAnsi="Tinos"/>
                <w:i/>
                <w:iCs/>
                <w:color w:val="000000"/>
                <w:sz w:val="20"/>
                <w:szCs w:val="20"/>
              </w:rPr>
              <w:t xml:space="preserve">ЕСКЛП: </w:t>
            </w:r>
            <w:r>
              <w:rPr>
                <w:rFonts w:eastAsia="Times New Roman" w:cs="Times New Roman" w:ascii="Tinos" w:hAnsi="Tinos"/>
                <w:color w:val="000000"/>
                <w:sz w:val="20"/>
                <w:szCs w:val="20"/>
              </w:rPr>
              <w:t>таблетки, покрытые оболочкой</w:t>
            </w:r>
            <w:r>
              <w:rPr>
                <w:rFonts w:eastAsia="Times New Roman" w:cs="Times New Roman" w:ascii="Tinos" w:hAnsi="Tinos"/>
                <w:i/>
                <w:iCs/>
                <w:color w:val="000000"/>
                <w:sz w:val="20"/>
                <w:szCs w:val="20"/>
              </w:rPr>
              <w:t xml:space="preserve">; ГРЛС: </w:t>
            </w:r>
            <w:r>
              <w:rPr>
                <w:rFonts w:eastAsia="Times New Roman" w:cs="Times New Roman" w:ascii="Tinos" w:hAnsi="Tinos"/>
                <w:color w:val="000000"/>
                <w:sz w:val="20"/>
                <w:szCs w:val="20"/>
              </w:rPr>
              <w:t>таблетки, покрытые пленочной оболочкой</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Дозировка</w:t>
            </w:r>
            <w:r>
              <w:rPr>
                <w:rFonts w:eastAsia="Times New Roman" w:cs="Times New Roman" w:ascii="Tinos" w:hAnsi="Tinos"/>
                <w:color w:val="000000"/>
                <w:sz w:val="20"/>
                <w:szCs w:val="20"/>
              </w:rPr>
              <w:t>: 200 мг</w:t>
            </w:r>
          </w:p>
          <w:p>
            <w:pPr>
              <w:pStyle w:val="Normal"/>
              <w:widowControl w:val="false"/>
              <w:spacing w:lineRule="auto" w:line="240" w:before="0" w:after="0"/>
              <w:jc w:val="both"/>
              <w:rPr>
                <w:rFonts w:ascii="Tinos" w:hAnsi="Tinos"/>
                <w:sz w:val="20"/>
                <w:szCs w:val="20"/>
              </w:rPr>
            </w:pPr>
            <w:r>
              <w:rPr>
                <w:rFonts w:cs="Times New Roman" w:ascii="Tinos" w:hAnsi="Tinos"/>
                <w:i/>
                <w:color w:val="000000"/>
                <w:sz w:val="20"/>
                <w:szCs w:val="20"/>
              </w:rPr>
              <w:t>Наличие в лекарственном препарате наркотических средств, психотропных веществ и их прекурсоров: Нет</w:t>
            </w:r>
          </w:p>
          <w:p>
            <w:pPr>
              <w:pStyle w:val="Normal"/>
              <w:widowControl w:val="false"/>
              <w:spacing w:lineRule="auto" w:line="240" w:before="0" w:after="0"/>
              <w:jc w:val="both"/>
              <w:rPr>
                <w:rFonts w:ascii="Tinos" w:hAnsi="Tinos"/>
                <w:sz w:val="20"/>
                <w:szCs w:val="20"/>
              </w:rPr>
            </w:pPr>
            <w:r>
              <w:rPr>
                <w:rFonts w:eastAsia="Times New Roman" w:cs="Times New Roman" w:ascii="Tinos" w:hAnsi="Tinos"/>
                <w:i/>
                <w:color w:val="000000"/>
                <w:sz w:val="20"/>
                <w:szCs w:val="20"/>
              </w:rPr>
              <w:t>Остаточный срок годности: не менее 12 месяцев на момент поставки</w:t>
            </w:r>
          </w:p>
        </w:tc>
        <w:tc>
          <w:tcPr>
            <w:tcW w:w="735" w:type="dxa"/>
            <w:tcBorders>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штука</w:t>
            </w:r>
          </w:p>
          <w:p>
            <w:pPr>
              <w:pStyle w:val="Normal"/>
              <w:widowControl w:val="false"/>
              <w:spacing w:lineRule="auto" w:line="240" w:before="0" w:after="0"/>
              <w:jc w:val="center"/>
              <w:rPr>
                <w:rFonts w:ascii="Tinos" w:hAnsi="Tinos"/>
                <w:color w:val="000000"/>
                <w:sz w:val="20"/>
                <w:szCs w:val="20"/>
              </w:rPr>
            </w:pPr>
            <w:r>
              <w:rPr>
                <w:rFonts w:ascii="Tinos" w:hAnsi="Tinos"/>
                <w:color w:val="000000"/>
                <w:sz w:val="20"/>
                <w:szCs w:val="20"/>
              </w:rPr>
            </w:r>
          </w:p>
        </w:tc>
        <w:tc>
          <w:tcPr>
            <w:tcW w:w="1290" w:type="dxa"/>
            <w:tcBorders>
              <w:left w:val="single" w:sz="4" w:space="0" w:color="000000"/>
              <w:bottom w:val="single" w:sz="4" w:space="0" w:color="000000"/>
              <w:right w:val="single" w:sz="8" w:space="0" w:color="000000"/>
            </w:tcBorders>
            <w:vAlign w:val="center"/>
          </w:tcPr>
          <w:p>
            <w:pPr>
              <w:pStyle w:val="Normal"/>
              <w:widowControl w:val="false"/>
              <w:spacing w:before="0" w:after="200"/>
              <w:jc w:val="center"/>
              <w:rPr>
                <w:rFonts w:ascii="Tinos" w:hAnsi="Tinos"/>
                <w:sz w:val="20"/>
                <w:szCs w:val="20"/>
              </w:rPr>
            </w:pPr>
            <w:r>
              <w:rPr>
                <w:rFonts w:ascii="Tinos" w:hAnsi="Tinos"/>
                <w:color w:val="000000"/>
                <w:sz w:val="20"/>
                <w:szCs w:val="20"/>
              </w:rPr>
              <w:t>1440</w:t>
            </w:r>
          </w:p>
        </w:tc>
      </w:tr>
      <w:tr>
        <w:trPr>
          <w:trHeight w:val="2159" w:hRule="atLeast"/>
        </w:trPr>
        <w:tc>
          <w:tcPr>
            <w:tcW w:w="782" w:type="dxa"/>
            <w:tcBorders>
              <w:top w:val="single" w:sz="4" w:space="0" w:color="000000"/>
              <w:left w:val="single" w:sz="8"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Да</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textAlignment w:val="baseline"/>
              <w:rPr/>
            </w:pPr>
            <w:hyperlink r:id="rId19" w:tgtFrame="_blank">
              <w:r>
                <w:rPr>
                  <w:rStyle w:val="Hyperlink"/>
                  <w:rFonts w:eastAsia="Times New Roman" w:cs="Times New Roman" w:ascii="Tinos" w:hAnsi="Tinos"/>
                  <w:bCs/>
                  <w:color w:val="000000"/>
                  <w:sz w:val="20"/>
                  <w:szCs w:val="20"/>
                </w:rPr>
                <w:t>21.20.10.121-000010-1-00033-0000000000000</w:t>
              </w:r>
            </w:hyperlink>
          </w:p>
        </w:tc>
        <w:tc>
          <w:tcPr>
            <w:tcW w:w="17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rPr>
            </w:pPr>
            <w:r>
              <w:rPr>
                <w:rFonts w:ascii="Tinos" w:hAnsi="Tinos"/>
                <w:sz w:val="20"/>
                <w:szCs w:val="20"/>
              </w:rPr>
              <w:t>Кальция глюконат</w:t>
            </w:r>
          </w:p>
        </w:tc>
        <w:tc>
          <w:tcPr>
            <w:tcW w:w="3915" w:type="dxa"/>
            <w:tcBorders>
              <w:bottom w:val="single" w:sz="4" w:space="0" w:color="000000"/>
              <w:right w:val="single" w:sz="4" w:space="0" w:color="000000"/>
            </w:tcBorders>
            <w:vAlign w:val="center"/>
          </w:tcPr>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Фармакотерапевтическая группа</w:t>
            </w:r>
            <w:r>
              <w:rPr>
                <w:rFonts w:eastAsia="Times New Roman" w:cs="Times New Roman" w:ascii="Tinos" w:hAnsi="Tinos"/>
                <w:color w:val="000000"/>
                <w:sz w:val="20"/>
                <w:szCs w:val="20"/>
              </w:rPr>
              <w:t xml:space="preserve">: </w:t>
            </w:r>
            <w:r>
              <w:rPr>
                <w:rFonts w:eastAsia="Times New Roman" w:cs="Times New Roman" w:ascii="Tinos" w:hAnsi="Tinos"/>
                <w:bCs/>
                <w:color w:val="000000"/>
                <w:sz w:val="20"/>
                <w:szCs w:val="20"/>
              </w:rPr>
              <w:t>регулятор кальциево-фосфорного обмена</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Лекарственная форма</w:t>
            </w:r>
            <w:r>
              <w:rPr>
                <w:rFonts w:eastAsia="Times New Roman" w:cs="Times New Roman" w:ascii="Tinos" w:hAnsi="Tinos"/>
                <w:color w:val="000000"/>
                <w:sz w:val="20"/>
                <w:szCs w:val="20"/>
              </w:rPr>
              <w:t xml:space="preserve">: </w:t>
            </w:r>
            <w:r>
              <w:rPr>
                <w:rFonts w:eastAsia="Times New Roman" w:cs="Times New Roman" w:ascii="Tinos" w:hAnsi="Tinos"/>
                <w:bCs/>
                <w:color w:val="000000"/>
                <w:sz w:val="20"/>
                <w:szCs w:val="20"/>
              </w:rPr>
              <w:t>раствор для внутривенного и внутримышечного введения</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Дозировка</w:t>
            </w:r>
            <w:r>
              <w:rPr>
                <w:rFonts w:eastAsia="Times New Roman" w:cs="Times New Roman" w:ascii="Tinos" w:hAnsi="Tinos"/>
                <w:color w:val="000000"/>
                <w:sz w:val="20"/>
                <w:szCs w:val="20"/>
              </w:rPr>
              <w:t xml:space="preserve">: </w:t>
            </w:r>
            <w:r>
              <w:rPr>
                <w:rFonts w:eastAsia="Times New Roman" w:cs="Times New Roman" w:ascii="Tinos" w:hAnsi="Tinos"/>
                <w:i/>
                <w:color w:val="000000"/>
                <w:sz w:val="20"/>
                <w:szCs w:val="20"/>
              </w:rPr>
              <w:t>100 мг/мл</w:t>
            </w:r>
          </w:p>
          <w:p>
            <w:pPr>
              <w:pStyle w:val="Normal"/>
              <w:widowControl w:val="false"/>
              <w:spacing w:lineRule="auto" w:line="240" w:before="0" w:after="0"/>
              <w:jc w:val="both"/>
              <w:rPr>
                <w:rFonts w:ascii="Tinos" w:hAnsi="Tinos"/>
                <w:sz w:val="20"/>
                <w:szCs w:val="20"/>
              </w:rPr>
            </w:pPr>
            <w:r>
              <w:rPr>
                <w:rFonts w:cs="Times New Roman" w:ascii="Tinos" w:hAnsi="Tinos"/>
                <w:i/>
                <w:color w:val="000000"/>
                <w:sz w:val="20"/>
                <w:szCs w:val="20"/>
              </w:rPr>
              <w:t>Наличие в лекарственном препарате наркотических средств, психотропных веществ и их прекурсоров: Нет</w:t>
            </w:r>
          </w:p>
          <w:p>
            <w:pPr>
              <w:pStyle w:val="Normal"/>
              <w:widowControl w:val="false"/>
              <w:spacing w:lineRule="auto" w:line="240" w:before="0" w:after="0"/>
              <w:jc w:val="both"/>
              <w:rPr>
                <w:rFonts w:ascii="Tinos" w:hAnsi="Tinos"/>
                <w:sz w:val="20"/>
                <w:szCs w:val="20"/>
              </w:rPr>
            </w:pPr>
            <w:r>
              <w:rPr>
                <w:rFonts w:eastAsia="Times New Roman" w:cs="Times New Roman" w:ascii="Tinos" w:hAnsi="Tinos"/>
                <w:i/>
                <w:color w:val="000000"/>
                <w:sz w:val="20"/>
                <w:szCs w:val="20"/>
              </w:rPr>
              <w:t>Остаточный срок годности: не менее 12 месяцев на момент поставки</w:t>
            </w:r>
          </w:p>
        </w:tc>
        <w:tc>
          <w:tcPr>
            <w:tcW w:w="73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мл</w:t>
            </w:r>
          </w:p>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(см 3)</w:t>
            </w:r>
          </w:p>
          <w:p>
            <w:pPr>
              <w:pStyle w:val="Normal"/>
              <w:widowControl w:val="false"/>
              <w:spacing w:lineRule="auto" w:line="240" w:before="0" w:after="0"/>
              <w:jc w:val="center"/>
              <w:rPr>
                <w:rFonts w:ascii="Tinos" w:hAnsi="Tinos"/>
                <w:color w:val="000000"/>
                <w:sz w:val="20"/>
                <w:szCs w:val="20"/>
              </w:rPr>
            </w:pPr>
            <w:r>
              <w:rPr>
                <w:rFonts w:ascii="Tinos" w:hAnsi="Tinos"/>
                <w:color w:val="000000"/>
                <w:sz w:val="20"/>
                <w:szCs w:val="20"/>
              </w:rPr>
            </w:r>
          </w:p>
        </w:tc>
        <w:tc>
          <w:tcPr>
            <w:tcW w:w="1290" w:type="dxa"/>
            <w:tcBorders>
              <w:top w:val="single" w:sz="4" w:space="0" w:color="000000"/>
              <w:left w:val="single" w:sz="4" w:space="0" w:color="000000"/>
              <w:bottom w:val="single" w:sz="4" w:space="0" w:color="000000"/>
              <w:right w:val="single" w:sz="8" w:space="0" w:color="000000"/>
            </w:tcBorders>
            <w:vAlign w:val="center"/>
          </w:tcPr>
          <w:p>
            <w:pPr>
              <w:pStyle w:val="Normal"/>
              <w:widowControl w:val="false"/>
              <w:spacing w:before="0" w:after="200"/>
              <w:jc w:val="center"/>
              <w:rPr>
                <w:rFonts w:ascii="Tinos" w:hAnsi="Tinos"/>
                <w:sz w:val="20"/>
                <w:szCs w:val="20"/>
              </w:rPr>
            </w:pPr>
            <w:r>
              <w:rPr>
                <w:rFonts w:eastAsia="Times New Roman" w:cs="Times New Roman" w:ascii="Tinos" w:hAnsi="Tinos"/>
                <w:color w:val="000000"/>
                <w:sz w:val="20"/>
                <w:szCs w:val="20"/>
              </w:rPr>
              <w:t>40 000</w:t>
            </w:r>
          </w:p>
        </w:tc>
      </w:tr>
      <w:tr>
        <w:trPr>
          <w:trHeight w:val="1125" w:hRule="atLeast"/>
        </w:trPr>
        <w:tc>
          <w:tcPr>
            <w:tcW w:w="782" w:type="dxa"/>
            <w:tcBorders>
              <w:top w:val="single" w:sz="4" w:space="0" w:color="000000"/>
              <w:left w:val="single" w:sz="8"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Да</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textAlignment w:val="baseline"/>
              <w:rPr>
                <w:rStyle w:val="Hyperlink"/>
                <w:rFonts w:ascii="Tinos" w:hAnsi="Tinos" w:eastAsia="Times New Roman" w:cs="Times New Roman"/>
                <w:bCs/>
                <w:color w:val="000000"/>
                <w:sz w:val="20"/>
                <w:szCs w:val="20"/>
              </w:rPr>
            </w:pPr>
            <w:hyperlink r:id="rId20" w:tgtFrame="_blank">
              <w:r>
                <w:rPr>
                  <w:rStyle w:val="Hyperlink"/>
                  <w:rFonts w:eastAsia="Times New Roman" w:cs="Times New Roman" w:ascii="Tinos" w:hAnsi="Tinos"/>
                  <w:bCs/>
                  <w:color w:val="000000"/>
                  <w:sz w:val="20"/>
                  <w:szCs w:val="20"/>
                </w:rPr>
                <w:t>21.20.10.231-000002-1-00067-0000000000000</w:t>
              </w:r>
            </w:hyperlink>
          </w:p>
          <w:p>
            <w:pPr>
              <w:pStyle w:val="Normal"/>
              <w:widowControl w:val="false"/>
              <w:shd w:val="clear" w:color="auto" w:fill="FFFFFF"/>
              <w:spacing w:lineRule="auto" w:line="240" w:before="0" w:after="0"/>
              <w:textAlignment w:val="baseline"/>
              <w:rPr>
                <w:rStyle w:val="Hyperlink"/>
                <w:rFonts w:ascii="Tinos" w:hAnsi="Tinos" w:eastAsia="Times New Roman" w:cs="Times New Roman"/>
                <w:bCs/>
                <w:color w:val="000000"/>
                <w:sz w:val="20"/>
                <w:szCs w:val="20"/>
              </w:rPr>
            </w:pPr>
            <w:r>
              <w:rPr>
                <w:rFonts w:eastAsia="Times New Roman" w:cs="Times New Roman" w:ascii="Tinos" w:hAnsi="Tinos"/>
                <w:bCs/>
                <w:color w:val="000000"/>
                <w:sz w:val="20"/>
                <w:szCs w:val="20"/>
              </w:rPr>
            </w:r>
          </w:p>
        </w:tc>
        <w:tc>
          <w:tcPr>
            <w:tcW w:w="17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rPr>
            </w:pPr>
            <w:r>
              <w:rPr>
                <w:rFonts w:ascii="Tinos" w:hAnsi="Tinos"/>
                <w:sz w:val="20"/>
                <w:szCs w:val="20"/>
              </w:rPr>
              <w:t>Бупивакаин</w:t>
            </w:r>
          </w:p>
        </w:tc>
        <w:tc>
          <w:tcPr>
            <w:tcW w:w="391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Фармакотерапевтическая группа</w:t>
            </w:r>
            <w:r>
              <w:rPr>
                <w:rFonts w:eastAsia="Times New Roman" w:cs="Times New Roman" w:ascii="Tinos" w:hAnsi="Tinos"/>
                <w:color w:val="000000"/>
                <w:sz w:val="20"/>
                <w:szCs w:val="20"/>
              </w:rPr>
              <w:t>:</w:t>
            </w:r>
            <w:r>
              <w:rPr>
                <w:rFonts w:cs="Times New Roman" w:ascii="Tinos" w:hAnsi="Tinos"/>
                <w:color w:val="000000"/>
                <w:sz w:val="20"/>
                <w:szCs w:val="20"/>
              </w:rPr>
              <w:t xml:space="preserve"> местные анестетики, амиды</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Лекарственная форма:</w:t>
            </w:r>
            <w:r>
              <w:rPr>
                <w:rFonts w:eastAsia="Times New Roman" w:cs="Times New Roman" w:ascii="Tinos" w:hAnsi="Tinos"/>
                <w:color w:val="000000"/>
                <w:sz w:val="20"/>
                <w:szCs w:val="20"/>
              </w:rPr>
              <w:t xml:space="preserve"> раствор для инъекций</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bCs/>
                <w:color w:val="000000"/>
                <w:sz w:val="20"/>
                <w:szCs w:val="20"/>
              </w:rPr>
              <w:t>Дозировка:</w:t>
            </w:r>
            <w:r>
              <w:rPr>
                <w:rFonts w:eastAsia="Times New Roman" w:cs="Times New Roman" w:ascii="Tinos" w:hAnsi="Tinos"/>
                <w:color w:val="000000"/>
                <w:sz w:val="20"/>
                <w:szCs w:val="20"/>
              </w:rPr>
              <w:t xml:space="preserve"> 5 мг/мл</w:t>
            </w:r>
          </w:p>
          <w:p>
            <w:pPr>
              <w:pStyle w:val="Normal"/>
              <w:widowControl w:val="false"/>
              <w:spacing w:lineRule="auto" w:line="240" w:before="0" w:after="0"/>
              <w:jc w:val="both"/>
              <w:rPr>
                <w:rFonts w:ascii="Tinos" w:hAnsi="Tinos"/>
                <w:sz w:val="20"/>
                <w:szCs w:val="20"/>
              </w:rPr>
            </w:pPr>
            <w:r>
              <w:rPr>
                <w:rFonts w:cs="Times New Roman" w:ascii="Tinos" w:hAnsi="Tinos"/>
                <w:i/>
                <w:color w:val="000000"/>
                <w:sz w:val="20"/>
                <w:szCs w:val="20"/>
              </w:rPr>
              <w:t>Наличие в лекарственном препарате наркотических средств, психотропных веществ и их прекурсоров: Нет</w:t>
            </w:r>
          </w:p>
          <w:p>
            <w:pPr>
              <w:pStyle w:val="Normal"/>
              <w:widowControl w:val="false"/>
              <w:spacing w:lineRule="auto" w:line="240" w:before="0" w:after="0"/>
              <w:jc w:val="both"/>
              <w:rPr>
                <w:rFonts w:ascii="Tinos" w:hAnsi="Tinos"/>
                <w:sz w:val="20"/>
                <w:szCs w:val="20"/>
              </w:rPr>
            </w:pPr>
            <w:r>
              <w:rPr>
                <w:rFonts w:eastAsia="Times New Roman" w:cs="Times New Roman" w:ascii="Tinos" w:hAnsi="Tinos"/>
                <w:i/>
                <w:color w:val="000000"/>
                <w:sz w:val="20"/>
                <w:szCs w:val="20"/>
              </w:rPr>
              <w:t>Остаточный срок годности: не менее 12 месяцев на момент поставки</w:t>
            </w:r>
          </w:p>
        </w:tc>
        <w:tc>
          <w:tcPr>
            <w:tcW w:w="73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мл</w:t>
            </w:r>
          </w:p>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(см 3)</w:t>
            </w:r>
          </w:p>
          <w:p>
            <w:pPr>
              <w:pStyle w:val="Normal"/>
              <w:widowControl w:val="false"/>
              <w:spacing w:lineRule="auto" w:line="240" w:before="0" w:after="0"/>
              <w:jc w:val="center"/>
              <w:rPr>
                <w:rFonts w:ascii="Tinos" w:hAnsi="Tinos"/>
                <w:sz w:val="20"/>
                <w:szCs w:val="20"/>
              </w:rPr>
            </w:pPr>
            <w:r>
              <w:rPr>
                <w:rFonts w:ascii="Tinos" w:hAnsi="Tinos"/>
                <w:sz w:val="20"/>
                <w:szCs w:val="20"/>
              </w:rPr>
            </w:r>
          </w:p>
        </w:tc>
        <w:tc>
          <w:tcPr>
            <w:tcW w:w="1290" w:type="dxa"/>
            <w:tcBorders>
              <w:top w:val="single" w:sz="4" w:space="0" w:color="000000"/>
              <w:left w:val="single" w:sz="4" w:space="0" w:color="000000"/>
              <w:bottom w:val="single" w:sz="4" w:space="0" w:color="000000"/>
              <w:right w:val="single" w:sz="8" w:space="0" w:color="000000"/>
            </w:tcBorders>
            <w:vAlign w:val="center"/>
          </w:tcPr>
          <w:p>
            <w:pPr>
              <w:pStyle w:val="Normal"/>
              <w:widowControl w:val="false"/>
              <w:spacing w:before="0" w:after="200"/>
              <w:jc w:val="center"/>
              <w:rPr>
                <w:rFonts w:ascii="Tinos" w:hAnsi="Tinos"/>
                <w:sz w:val="20"/>
                <w:szCs w:val="20"/>
              </w:rPr>
            </w:pPr>
            <w:r>
              <w:rPr>
                <w:rFonts w:eastAsia="Times New Roman" w:cs="Times New Roman" w:ascii="Tinos" w:hAnsi="Tinos"/>
                <w:color w:val="000000"/>
                <w:sz w:val="20"/>
                <w:szCs w:val="20"/>
              </w:rPr>
              <w:t>6000</w:t>
            </w:r>
          </w:p>
        </w:tc>
      </w:tr>
      <w:tr>
        <w:trPr>
          <w:trHeight w:val="1125" w:hRule="atLeast"/>
        </w:trPr>
        <w:tc>
          <w:tcPr>
            <w:tcW w:w="782" w:type="dxa"/>
            <w:tcBorders>
              <w:top w:val="single" w:sz="4" w:space="0" w:color="000000"/>
              <w:left w:val="single" w:sz="8"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Да</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textAlignment w:val="baseline"/>
              <w:rPr>
                <w:rStyle w:val="Hyperlink"/>
                <w:rFonts w:ascii="Tinos" w:hAnsi="Tinos" w:eastAsia="Times New Roman" w:cs="Times New Roman"/>
                <w:bCs/>
                <w:color w:val="000000"/>
                <w:sz w:val="20"/>
                <w:szCs w:val="20"/>
              </w:rPr>
            </w:pPr>
            <w:hyperlink r:id="rId21" w:tgtFrame="_blank">
              <w:r>
                <w:rPr>
                  <w:rStyle w:val="Hyperlink"/>
                  <w:rFonts w:eastAsia="Times New Roman" w:cs="Times New Roman" w:ascii="Tinos" w:hAnsi="Tinos"/>
                  <w:bCs/>
                  <w:color w:val="000000"/>
                  <w:sz w:val="20"/>
                  <w:szCs w:val="20"/>
                </w:rPr>
                <w:t>21.20.10.132-000001-1-00008-0000000000000</w:t>
              </w:r>
            </w:hyperlink>
          </w:p>
          <w:p>
            <w:pPr>
              <w:pStyle w:val="Normal"/>
              <w:widowControl w:val="false"/>
              <w:shd w:val="clear" w:color="auto" w:fill="FFFFFF"/>
              <w:spacing w:lineRule="auto" w:line="240" w:before="0" w:after="0"/>
              <w:textAlignment w:val="baseline"/>
              <w:rPr/>
            </w:pPr>
            <w:hyperlink r:id="rId22" w:tgtFrame="_blank">
              <w:r>
                <w:rPr>
                  <w:rStyle w:val="Hyperlink"/>
                  <w:rFonts w:eastAsia="Times New Roman" w:cs="Times New Roman" w:ascii="Tinos" w:hAnsi="Tinos"/>
                  <w:bCs/>
                  <w:color w:val="000000"/>
                  <w:sz w:val="20"/>
                  <w:szCs w:val="20"/>
                </w:rPr>
                <w:t>21.20.10.132-000001-1-00070-0000000000000</w:t>
              </w:r>
            </w:hyperlink>
          </w:p>
        </w:tc>
        <w:tc>
          <w:tcPr>
            <w:tcW w:w="17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rPr>
            </w:pPr>
            <w:r>
              <w:rPr>
                <w:rFonts w:ascii="Tinos" w:hAnsi="Tinos"/>
                <w:sz w:val="20"/>
                <w:szCs w:val="20"/>
              </w:rPr>
              <w:t>Этамзилат</w:t>
            </w:r>
          </w:p>
        </w:tc>
        <w:tc>
          <w:tcPr>
            <w:tcW w:w="391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Фармакотерапевтическая группа</w:t>
            </w:r>
            <w:r>
              <w:rPr>
                <w:rFonts w:eastAsia="Times New Roman" w:cs="Times New Roman" w:ascii="Tinos" w:hAnsi="Tinos"/>
                <w:color w:val="000000"/>
                <w:sz w:val="20"/>
                <w:szCs w:val="20"/>
              </w:rPr>
              <w:t>:</w:t>
            </w:r>
            <w:r>
              <w:rPr>
                <w:rFonts w:cs="Times New Roman" w:ascii="Tinos" w:hAnsi="Tinos"/>
                <w:color w:val="000000"/>
                <w:sz w:val="20"/>
                <w:szCs w:val="20"/>
              </w:rPr>
              <w:t xml:space="preserve"> гемостатические средства; витамин K и другие гемостатические средства; другие гемостатические средства системного действия</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color w:val="000000"/>
                <w:sz w:val="20"/>
                <w:szCs w:val="20"/>
              </w:rPr>
              <w:t>Лекарственная форма:</w:t>
            </w:r>
            <w:r>
              <w:rPr>
                <w:rFonts w:eastAsia="Times New Roman" w:cs="Times New Roman" w:ascii="Tinos" w:hAnsi="Tinos"/>
                <w:color w:val="000000"/>
                <w:sz w:val="20"/>
                <w:szCs w:val="20"/>
              </w:rPr>
              <w:t xml:space="preserve"> раствор для инъекций; раствор для внутривенного и внутримышечного введения</w:t>
            </w:r>
          </w:p>
          <w:p>
            <w:pPr>
              <w:pStyle w:val="Normal"/>
              <w:widowControl w:val="false"/>
              <w:spacing w:lineRule="auto" w:line="240" w:before="0" w:after="0"/>
              <w:jc w:val="both"/>
              <w:rPr>
                <w:rFonts w:ascii="Tinos" w:hAnsi="Tinos"/>
                <w:sz w:val="20"/>
                <w:szCs w:val="20"/>
              </w:rPr>
            </w:pPr>
            <w:r>
              <w:rPr>
                <w:rFonts w:eastAsia="Times New Roman" w:cs="Times New Roman" w:ascii="Tinos" w:hAnsi="Tinos"/>
                <w:b/>
                <w:bCs/>
                <w:color w:val="000000"/>
                <w:sz w:val="20"/>
                <w:szCs w:val="20"/>
              </w:rPr>
              <w:t>Дозировка:</w:t>
            </w:r>
            <w:r>
              <w:rPr>
                <w:rFonts w:eastAsia="Times New Roman" w:cs="Times New Roman" w:ascii="Tinos" w:hAnsi="Tinos"/>
                <w:color w:val="000000"/>
                <w:sz w:val="20"/>
                <w:szCs w:val="20"/>
              </w:rPr>
              <w:t xml:space="preserve"> 125 мг/мл</w:t>
            </w:r>
          </w:p>
          <w:p>
            <w:pPr>
              <w:pStyle w:val="Normal"/>
              <w:widowControl w:val="false"/>
              <w:spacing w:lineRule="auto" w:line="240" w:before="0" w:after="0"/>
              <w:jc w:val="both"/>
              <w:rPr>
                <w:rFonts w:ascii="Tinos" w:hAnsi="Tinos"/>
                <w:sz w:val="20"/>
                <w:szCs w:val="20"/>
              </w:rPr>
            </w:pPr>
            <w:r>
              <w:rPr>
                <w:rFonts w:cs="Times New Roman" w:ascii="Tinos" w:hAnsi="Tinos"/>
                <w:i/>
                <w:color w:val="000000"/>
                <w:sz w:val="20"/>
                <w:szCs w:val="20"/>
              </w:rPr>
              <w:t>Наличие в лекарственном препарате наркотических средств, психотропных веществ и их прекурсоров: Нет</w:t>
            </w:r>
          </w:p>
          <w:p>
            <w:pPr>
              <w:pStyle w:val="Normal"/>
              <w:widowControl w:val="false"/>
              <w:spacing w:lineRule="auto" w:line="240" w:before="0" w:after="0"/>
              <w:jc w:val="both"/>
              <w:rPr>
                <w:rFonts w:ascii="Tinos" w:hAnsi="Tinos"/>
                <w:sz w:val="20"/>
                <w:szCs w:val="20"/>
              </w:rPr>
            </w:pPr>
            <w:r>
              <w:rPr>
                <w:rFonts w:eastAsia="Times New Roman" w:cs="Times New Roman" w:ascii="Tinos" w:hAnsi="Tinos"/>
                <w:i/>
                <w:color w:val="000000"/>
                <w:sz w:val="20"/>
                <w:szCs w:val="20"/>
              </w:rPr>
              <w:t>Остаточный срок годности: не менее 12 месяцев на момент поставки</w:t>
            </w:r>
          </w:p>
        </w:tc>
        <w:tc>
          <w:tcPr>
            <w:tcW w:w="73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мл</w:t>
            </w:r>
          </w:p>
          <w:p>
            <w:pPr>
              <w:pStyle w:val="Normal"/>
              <w:widowControl w:val="false"/>
              <w:spacing w:lineRule="auto" w:line="240" w:before="0" w:after="0"/>
              <w:jc w:val="center"/>
              <w:rPr>
                <w:rFonts w:ascii="Tinos" w:hAnsi="Tinos"/>
                <w:sz w:val="20"/>
                <w:szCs w:val="20"/>
              </w:rPr>
            </w:pPr>
            <w:r>
              <w:rPr>
                <w:rFonts w:eastAsia="Times New Roman" w:cs="Times New Roman" w:ascii="Tinos" w:hAnsi="Tinos"/>
                <w:bCs/>
                <w:color w:val="000000"/>
                <w:sz w:val="20"/>
                <w:szCs w:val="20"/>
              </w:rPr>
              <w:t>(см 3)</w:t>
            </w:r>
          </w:p>
          <w:p>
            <w:pPr>
              <w:pStyle w:val="Normal"/>
              <w:widowControl w:val="false"/>
              <w:spacing w:lineRule="auto" w:line="240" w:before="0" w:after="0"/>
              <w:jc w:val="center"/>
              <w:rPr>
                <w:rFonts w:ascii="Tinos" w:hAnsi="Tinos"/>
                <w:color w:val="000000"/>
                <w:sz w:val="20"/>
                <w:szCs w:val="20"/>
              </w:rPr>
            </w:pPr>
            <w:r>
              <w:rPr>
                <w:rFonts w:ascii="Tinos" w:hAnsi="Tinos"/>
                <w:color w:val="000000"/>
                <w:sz w:val="20"/>
                <w:szCs w:val="20"/>
              </w:rPr>
            </w:r>
          </w:p>
        </w:tc>
        <w:tc>
          <w:tcPr>
            <w:tcW w:w="1290" w:type="dxa"/>
            <w:tcBorders>
              <w:top w:val="single" w:sz="4" w:space="0" w:color="000000"/>
              <w:left w:val="single" w:sz="4" w:space="0" w:color="000000"/>
              <w:bottom w:val="single" w:sz="4" w:space="0" w:color="000000"/>
              <w:right w:val="single" w:sz="8" w:space="0" w:color="000000"/>
            </w:tcBorders>
            <w:vAlign w:val="center"/>
          </w:tcPr>
          <w:p>
            <w:pPr>
              <w:pStyle w:val="Normal"/>
              <w:widowControl w:val="false"/>
              <w:spacing w:before="0" w:after="200"/>
              <w:jc w:val="center"/>
              <w:rPr>
                <w:rFonts w:ascii="Tinos" w:hAnsi="Tinos"/>
                <w:sz w:val="20"/>
                <w:szCs w:val="20"/>
              </w:rPr>
            </w:pPr>
            <w:r>
              <w:rPr>
                <w:rFonts w:ascii="Tinos" w:hAnsi="Tinos"/>
                <w:sz w:val="20"/>
                <w:szCs w:val="20"/>
              </w:rPr>
              <w:t>2 000</w:t>
            </w:r>
          </w:p>
        </w:tc>
      </w:tr>
    </w:tbl>
    <w:p>
      <w:pPr>
        <w:pStyle w:val="Normal"/>
        <w:spacing w:lineRule="auto" w:line="240" w:before="0" w:after="0"/>
        <w:rPr>
          <w:rFonts w:ascii="Times New Roman" w:hAnsi="Times New Roman" w:eastAsia="Times New Roman" w:cs="Times New Roman"/>
          <w:b w:val="false"/>
          <w:bCs w:val="false"/>
          <w:sz w:val="20"/>
          <w:szCs w:val="20"/>
        </w:rPr>
      </w:pPr>
      <w:r>
        <w:rPr>
          <w:rFonts w:eastAsia="Times New Roman" w:cs="Times New Roman" w:ascii="Times New Roman" w:hAnsi="Times New Roman"/>
          <w:b w:val="false"/>
          <w:bCs w:val="false"/>
          <w:sz w:val="20"/>
          <w:szCs w:val="20"/>
        </w:rPr>
      </w:r>
    </w:p>
    <w:p>
      <w:pPr>
        <w:pStyle w:val="Normal"/>
        <w:suppressAutoHyphens w:val="false"/>
        <w:spacing w:lineRule="auto" w:line="240" w:before="0" w:after="0"/>
        <w:ind w:left="-851"/>
        <w:jc w:val="both"/>
        <w:rPr/>
      </w:pPr>
      <w:r>
        <w:rPr>
          <w:rFonts w:eastAsia="Arial" w:cs="Times New Roman" w:ascii="Times New Roman" w:hAnsi="Times New Roman"/>
          <w:sz w:val="20"/>
          <w:szCs w:val="20"/>
        </w:rPr>
        <w:t xml:space="preserve">                 </w:t>
      </w:r>
      <w:r>
        <w:rPr>
          <w:rFonts w:eastAsia="Arial" w:cs="Times New Roman" w:ascii="Times New Roman" w:hAnsi="Times New Roman"/>
          <w:sz w:val="20"/>
          <w:szCs w:val="20"/>
        </w:rPr>
        <w:t>Согласно Постановлению Правительства № 1380 от 15.11.2017г.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участник закупки вправе предложить:</w:t>
      </w:r>
    </w:p>
    <w:p>
      <w:pPr>
        <w:pStyle w:val="Normal"/>
        <w:suppressAutoHyphens w:val="false"/>
        <w:spacing w:lineRule="auto" w:line="240" w:before="0" w:after="0"/>
        <w:ind w:firstLine="708" w:left="-851"/>
        <w:jc w:val="both"/>
        <w:rPr>
          <w:rFonts w:ascii="Times New Roman" w:hAnsi="Times New Roman" w:cs="Times New Roman"/>
          <w:sz w:val="20"/>
          <w:szCs w:val="20"/>
        </w:rPr>
      </w:pPr>
      <w:r>
        <w:rPr>
          <w:rFonts w:eastAsia="Arial" w:cs="Times New Roman" w:ascii="Times New Roman" w:hAnsi="Times New Roman"/>
          <w:sz w:val="20"/>
          <w:szCs w:val="20"/>
        </w:rPr>
        <w:t xml:space="preserve"> </w:t>
      </w:r>
      <w:r>
        <w:rPr>
          <w:rFonts w:eastAsia="Arial" w:cs="Times New Roman" w:ascii="Times New Roman" w:hAnsi="Times New Roman"/>
          <w:sz w:val="20"/>
          <w:szCs w:val="20"/>
        </w:rPr>
        <w:t>- эквивалентные формы лекарственных форм и дозировок (эквивалентные дозировки не должны предусматривать деление твердых лекарственных форм);</w:t>
      </w:r>
    </w:p>
    <w:p>
      <w:pPr>
        <w:pStyle w:val="Normal"/>
        <w:suppressAutoHyphens w:val="false"/>
        <w:spacing w:lineRule="auto" w:line="240" w:before="0" w:after="0"/>
        <w:ind w:firstLine="709" w:left="-851"/>
        <w:jc w:val="both"/>
        <w:rPr>
          <w:rFonts w:ascii="Times New Roman" w:hAnsi="Times New Roman" w:cs="Times New Roman"/>
          <w:sz w:val="20"/>
          <w:szCs w:val="20"/>
        </w:rPr>
      </w:pPr>
      <w:r>
        <w:rPr>
          <w:rFonts w:cs="Times New Roman" w:ascii="Times New Roman" w:hAnsi="Times New Roman"/>
          <w:sz w:val="20"/>
          <w:szCs w:val="20"/>
        </w:rPr>
        <w:t>- препарат с иной единицей    измерения дозировки (например, дозировка указана в процентах, участник вправе предложить препарат с дозировкой в мг/ мл.);</w:t>
      </w:r>
    </w:p>
    <w:p>
      <w:pPr>
        <w:pStyle w:val="Normal"/>
        <w:suppressAutoHyphens w:val="false"/>
        <w:spacing w:lineRule="auto" w:line="240" w:before="0" w:after="0"/>
        <w:ind w:firstLine="851" w:left="-851"/>
        <w:jc w:val="both"/>
        <w:rPr>
          <w:rFonts w:ascii="Times New Roman" w:hAnsi="Times New Roman" w:cs="Times New Roman"/>
          <w:sz w:val="20"/>
          <w:szCs w:val="20"/>
        </w:rPr>
      </w:pPr>
      <w:r>
        <w:rPr>
          <w:rFonts w:cs="Times New Roman" w:ascii="Times New Roman" w:hAnsi="Times New Roman"/>
          <w:sz w:val="20"/>
          <w:szCs w:val="20"/>
        </w:rPr>
        <w:t>Поставка товара должна осуществляться в целых упаковках в соответствии с требованиями Федерального закона от 12.04.2010г.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указанное в Контракте, поставка товара сверх количества осуществляется за счёт Поставщика.</w:t>
      </w:r>
    </w:p>
    <w:p>
      <w:pPr>
        <w:pStyle w:val="Normal"/>
        <w:spacing w:lineRule="auto" w:line="240" w:before="0" w:after="0"/>
        <w:ind w:left="-851"/>
        <w:jc w:val="both"/>
        <w:rPr>
          <w:rFonts w:ascii="Times New Roman" w:hAnsi="Times New Roman" w:cs="Times New Roman"/>
          <w:sz w:val="20"/>
          <w:szCs w:val="20"/>
        </w:rPr>
      </w:pPr>
      <w:r>
        <w:rPr>
          <w:rFonts w:cs="Times New Roman" w:ascii="Times New Roman" w:hAnsi="Times New Roman"/>
          <w:bCs/>
          <w:sz w:val="20"/>
          <w:szCs w:val="20"/>
        </w:rPr>
        <w:t xml:space="preserve">               </w:t>
      </w:r>
      <w:r>
        <w:rPr>
          <w:rFonts w:cs="Times New Roman" w:ascii="Times New Roman" w:hAnsi="Times New Roman"/>
          <w:bCs/>
          <w:sz w:val="20"/>
          <w:szCs w:val="20"/>
        </w:rPr>
        <w:t>Поставляемый товар должен иметь инструкцию по медицинскому применению (листок-вкладыш) на русском языке, упаковочные листы.</w:t>
      </w:r>
    </w:p>
    <w:p>
      <w:pPr>
        <w:pStyle w:val="Normal"/>
        <w:spacing w:lineRule="auto" w:line="240" w:before="0" w:after="0"/>
        <w:ind w:left="-851"/>
        <w:jc w:val="both"/>
        <w:rPr>
          <w:rFonts w:ascii="Times New Roman" w:hAnsi="Times New Roman" w:cs="Times New Roman"/>
          <w:sz w:val="20"/>
          <w:szCs w:val="20"/>
        </w:rPr>
      </w:pPr>
      <w:r>
        <w:rPr>
          <w:rFonts w:cs="Times New Roman" w:ascii="Times New Roman" w:hAnsi="Times New Roman"/>
          <w:bCs/>
          <w:sz w:val="20"/>
          <w:szCs w:val="20"/>
        </w:rPr>
        <w:t xml:space="preserve">           </w:t>
      </w:r>
      <w:r>
        <w:rPr>
          <w:rFonts w:cs="Times New Roman" w:ascii="Times New Roman" w:hAnsi="Times New Roman"/>
          <w:bCs/>
          <w:sz w:val="20"/>
          <w:szCs w:val="20"/>
        </w:rPr>
        <w:t xml:space="preserve">Поставщик обязан предоставить </w:t>
      </w:r>
      <w:r>
        <w:rPr>
          <w:rFonts w:cs="Times New Roman" w:ascii="Times New Roman" w:hAnsi="Times New Roman"/>
          <w:sz w:val="20"/>
          <w:szCs w:val="20"/>
        </w:rPr>
        <w:t xml:space="preserve">протокол согласования цен для лекарственных препаратов, включенных в перечень ЖНВЛП. </w:t>
      </w:r>
      <w:r>
        <w:rPr>
          <w:rFonts w:cs="Times New Roman" w:ascii="Times New Roman" w:hAnsi="Times New Roman"/>
          <w:bCs/>
          <w:sz w:val="20"/>
          <w:szCs w:val="20"/>
        </w:rPr>
        <w:t xml:space="preserve"> </w:t>
      </w:r>
    </w:p>
    <w:p>
      <w:pPr>
        <w:pStyle w:val="Normal"/>
        <w:spacing w:lineRule="auto" w:line="240" w:before="0" w:after="0"/>
        <w:ind w:left="-851"/>
        <w:jc w:val="both"/>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bCs/>
          <w:sz w:val="20"/>
          <w:szCs w:val="20"/>
        </w:rPr>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pPr>
        <w:pStyle w:val="Normal"/>
        <w:spacing w:lineRule="auto" w:line="240" w:before="0" w:after="0"/>
        <w:ind w:left="-851"/>
        <w:jc w:val="both"/>
        <w:rPr>
          <w:rFonts w:ascii="Times New Roman" w:hAnsi="Times New Roman" w:cs="Times New Roman"/>
          <w:sz w:val="20"/>
          <w:szCs w:val="20"/>
        </w:rPr>
      </w:pPr>
      <w:r>
        <w:rPr>
          <w:rFonts w:cs="Times New Roman" w:ascii="Times New Roman" w:hAnsi="Times New Roman"/>
          <w:bCs/>
          <w:sz w:val="20"/>
          <w:szCs w:val="20"/>
        </w:rPr>
        <w:t xml:space="preserve">          </w:t>
      </w:r>
      <w:r>
        <w:rPr>
          <w:rFonts w:eastAsia="Calibri" w:cs="Times New Roman" w:ascii="Times New Roman" w:hAnsi="Times New Roman"/>
          <w:bCs/>
          <w:sz w:val="20"/>
          <w:szCs w:val="20"/>
        </w:rPr>
        <w:t xml:space="preserve">   </w:t>
      </w:r>
      <w:r>
        <w:rPr>
          <w:rFonts w:eastAsia="Arial" w:cs="Times New Roman" w:ascii="Times New Roman" w:hAnsi="Times New Roman"/>
          <w:sz w:val="20"/>
          <w:szCs w:val="20"/>
        </w:rPr>
        <w:t>Поставленный товар, признанный недоброкачественным и (или) фальсифицированным и (или) контрафактным по решению Федеральной службы по надзору в сфере здравоохранения или решению суда, подлежит изъятию и уничтожению.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w:t>
      </w:r>
      <w:r>
        <w:rPr>
          <w:rFonts w:eastAsia="Arial" w:cs="Times New Roman" w:ascii="Times New Roman" w:hAnsi="Times New Roman"/>
          <w:bCs/>
          <w:sz w:val="20"/>
          <w:szCs w:val="20"/>
        </w:rPr>
        <w:t xml:space="preserve">                                                                                                                                                                                                                                                                                                                                                                                                                                                                                                                                                                                                                                                                                                                                                                                                                                                                                                                                                  </w:t>
      </w:r>
    </w:p>
    <w:p>
      <w:pPr>
        <w:pStyle w:val="Normal"/>
        <w:suppressAutoHyphens w:val="false"/>
        <w:spacing w:lineRule="auto" w:line="240" w:before="0" w:after="0"/>
        <w:ind w:firstLine="708" w:left="-851"/>
        <w:jc w:val="both"/>
        <w:rPr>
          <w:rFonts w:ascii="Times New Roman" w:hAnsi="Times New Roman" w:cs="Times New Roman"/>
          <w:sz w:val="20"/>
          <w:szCs w:val="20"/>
        </w:rPr>
      </w:pPr>
      <w:r>
        <w:rPr>
          <w:rFonts w:eastAsia="Arial" w:cs="Times New Roman" w:ascii="Times New Roman" w:hAnsi="Times New Roman"/>
          <w:bCs/>
          <w:sz w:val="20"/>
          <w:szCs w:val="20"/>
        </w:rPr>
        <w:t xml:space="preserve"> </w:t>
      </w:r>
      <w:r>
        <w:rPr>
          <w:rFonts w:eastAsia="Arial" w:cs="Times New Roman" w:ascii="Times New Roman" w:hAnsi="Times New Roman"/>
          <w:bCs/>
          <w:sz w:val="20"/>
          <w:szCs w:val="20"/>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w:t>
      </w:r>
    </w:p>
    <w:p>
      <w:pPr>
        <w:pStyle w:val="Normal"/>
        <w:suppressAutoHyphens w:val="false"/>
        <w:spacing w:lineRule="auto" w:line="240" w:before="0" w:after="0"/>
        <w:ind w:left="-851"/>
        <w:jc w:val="both"/>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*Обоснование:</w:t>
      </w:r>
    </w:p>
    <w:p>
      <w:pPr>
        <w:pStyle w:val="Normal"/>
        <w:suppressAutoHyphens w:val="false"/>
        <w:spacing w:lineRule="auto" w:line="240" w:before="0" w:after="0"/>
        <w:ind w:firstLine="851" w:left="-851"/>
        <w:jc w:val="both"/>
        <w:rPr>
          <w:rFonts w:ascii="Times New Roman" w:hAnsi="Times New Roman" w:cs="Times New Roman"/>
          <w:sz w:val="20"/>
          <w:szCs w:val="20"/>
        </w:rPr>
      </w:pPr>
      <w:r>
        <w:rPr>
          <w:rFonts w:cs="Times New Roman" w:ascii="Times New Roman" w:hAnsi="Times New Roman"/>
          <w:sz w:val="20"/>
          <w:szCs w:val="20"/>
        </w:rPr>
        <w:t>Потребность Заказчика определена исключительно исходя из назначений лечащих врачей. Каждому пациенту назначены лекарственные препараты в конкретных дозировках, исходя из тяжести и характера заболевания каждого пациента.</w:t>
      </w:r>
    </w:p>
    <w:p>
      <w:pPr>
        <w:pStyle w:val="Normal"/>
        <w:suppressAutoHyphens w:val="false"/>
        <w:spacing w:lineRule="auto" w:line="240" w:before="0" w:after="0"/>
        <w:ind w:firstLine="851" w:left="-851"/>
        <w:jc w:val="both"/>
        <w:rPr>
          <w:rFonts w:ascii="Times New Roman" w:hAnsi="Times New Roman" w:cs="Times New Roman"/>
          <w:sz w:val="20"/>
          <w:szCs w:val="20"/>
        </w:rPr>
      </w:pPr>
      <w:r>
        <w:rPr>
          <w:rFonts w:cs="Times New Roman" w:ascii="Times New Roman" w:hAnsi="Times New Roman"/>
          <w:sz w:val="20"/>
          <w:szCs w:val="20"/>
        </w:rPr>
        <w:t xml:space="preserve">Форма выпуска (первичная упаковка) является персонифицированной для каждого пациента больницы и необходима для достижения требуемого терапевтического эффекта, а также определена с учётом специфики лечебного учреждения и его деятельности (скорая медицинская помощь) и обеспечивает эффективное использование бюджетных средств. </w:t>
      </w:r>
    </w:p>
    <w:p>
      <w:pPr>
        <w:pStyle w:val="Normal"/>
        <w:suppressAutoHyphens w:val="false"/>
        <w:spacing w:lineRule="auto" w:line="240" w:before="0" w:after="0"/>
        <w:ind w:left="-851"/>
        <w:jc w:val="both"/>
        <w:rPr>
          <w:rFonts w:ascii="Times New Roman" w:hAnsi="Times New Roman" w:eastAsia="Arial" w:cs="Times New Roman"/>
          <w:sz w:val="20"/>
          <w:szCs w:val="20"/>
        </w:rPr>
      </w:pPr>
      <w:r>
        <w:rPr>
          <w:rFonts w:cs="Times New Roman" w:ascii="Times New Roman" w:hAnsi="Times New Roman"/>
          <w:sz w:val="20"/>
          <w:szCs w:val="20"/>
        </w:rPr>
      </w:r>
    </w:p>
    <w:sectPr>
      <w:headerReference w:type="default" r:id="rId23"/>
      <w:headerReference w:type="first" r:id="rId24"/>
      <w:footerReference w:type="default" r:id="rId25"/>
      <w:footerReference w:type="first" r:id="rId26"/>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Tinos">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yperlink" Target="http://zakupki.gov.ru/epz/ktru/medCard/commonInfo.html?extCode=d7e8d7af-c807-46cf-a0a7-53fdf0038883" TargetMode="External"/><Relationship Id="rId18" Type="http://schemas.openxmlformats.org/officeDocument/2006/relationships/hyperlink" Target="https://zakupki.gov.ru/epz/ktru/medCard/commonInfo.html?extCode=1edf8670-bf5b-11e9-bd5d-f7b8433ec988" TargetMode="External"/><Relationship Id="rId19" Type="http://schemas.openxmlformats.org/officeDocument/2006/relationships/hyperlink" Target="https://zakupki.gov.ru/epz/ktru/medCard/commonInfo.html?extCode=1edf95f2-bf5b-11e9-bd5d-179396b37f21" TargetMode="External"/><Relationship Id="rId20" Type="http://schemas.openxmlformats.org/officeDocument/2006/relationships/hyperlink" Target="https://zakupki.gov.ru/epz/ktru/medCard/commonInfo.html?extCode=1ee31d76-bf5b-11e9-bd5d-bbac5eb1ef87" TargetMode="External"/><Relationship Id="rId21" Type="http://schemas.openxmlformats.org/officeDocument/2006/relationships/hyperlink" Target="https://zakupki.gov.ru/epz/ktru/medCard/commonInfo.html?extCode=1edf996c-bf5b-11e9-bd5d-37dc74e709ae" TargetMode="External"/><Relationship Id="rId22" Type="http://schemas.openxmlformats.org/officeDocument/2006/relationships/hyperlink" Target="https://zakupki.gov.ru/epz/ktru/medCard/commonInfo.html?extCode=1ed9dfae-bf5b-11e9-bd5d-e73ea5efff30" TargetMode="External"/><Relationship Id="rId23" Type="http://schemas.openxmlformats.org/officeDocument/2006/relationships/header" Target="header6.xml"/><Relationship Id="rId24" Type="http://schemas.openxmlformats.org/officeDocument/2006/relationships/header" Target="header7.xml"/><Relationship Id="rId25" Type="http://schemas.openxmlformats.org/officeDocument/2006/relationships/footer" Target="footer6.xml"/><Relationship Id="rId26" Type="http://schemas.openxmlformats.org/officeDocument/2006/relationships/footer" Target="footer7.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Application>LibreOffice/24.8.4.2$Linux_X86_64 LibreOffice_project/480$Build-2</Application>
  <AppVersion>15.0000</AppVersion>
  <Pages>13</Pages>
  <Words>4831</Words>
  <Characters>35727</Characters>
  <CharactersWithSpaces>41223</CharactersWithSpaces>
  <Paragraphs>364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2026-06-30T13:41:14Z</cp:lastPrinted>
  <dcterms:modified xsi:type="dcterms:W3CDTF">2026-07-08T12:50:30Z</dcterms:modified>
  <cp:revision>96</cp:revision>
  <dc:subject/>
  <dc:title/>
</cp:coreProperties>
</file>

<file path=docProps/custom.xml><?xml version="1.0" encoding="utf-8"?>
<Properties xmlns="http://schemas.openxmlformats.org/officeDocument/2006/custom-properties" xmlns:vt="http://schemas.openxmlformats.org/officeDocument/2006/docPropsVTypes"/>
</file>