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065" w:type="dxa"/>
        <w:jc w:val="left"/>
        <w:tblInd w:w="-7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82"/>
        <w:gridCol w:w="1590"/>
        <w:gridCol w:w="1753"/>
        <w:gridCol w:w="3915"/>
        <w:gridCol w:w="735"/>
        <w:gridCol w:w="1289"/>
      </w:tblGrid>
      <w:tr>
        <w:trPr>
          <w:trHeight w:val="721" w:hRule="atLeast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ЛП включен в перечень ЖНВЛП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hyperlink r:id="rId2" w:tgtFrame="_blank">
              <w:r>
                <w:rPr>
                  <w:rStyle w:val="Style9"/>
                  <w:rFonts w:cs="Times New Roman" w:ascii="Times New Roman" w:hAnsi="Times New Roman"/>
                  <w:b/>
                  <w:color w:themeColor="text1" w:val="000000"/>
                  <w:sz w:val="20"/>
                  <w:szCs w:val="20"/>
                </w:rPr>
                <w:t>Код позиции КТРУ</w:t>
              </w:r>
            </w:hyperlink>
          </w:p>
        </w:tc>
        <w:tc>
          <w:tcPr>
            <w:tcW w:w="175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Международное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непатентованное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наименование</w:t>
            </w:r>
          </w:p>
        </w:tc>
        <w:tc>
          <w:tcPr>
            <w:tcW w:w="39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Характеристики</w:t>
            </w:r>
          </w:p>
        </w:tc>
        <w:tc>
          <w:tcPr>
            <w:tcW w:w="73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28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FDE9D9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color w:themeColor="accent6" w:themeTint="33" w:val="FDE9D9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Общее количество к поставке</w:t>
            </w:r>
          </w:p>
        </w:tc>
      </w:tr>
      <w:tr>
        <w:trPr>
          <w:trHeight w:val="1125" w:hRule="atLeast"/>
        </w:trPr>
        <w:tc>
          <w:tcPr>
            <w:tcW w:w="78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/>
            </w:pPr>
            <w:hyperlink r:id="rId3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21.20.10.221-000010-1-00071-0000000000000</w:t>
              </w:r>
            </w:hyperlink>
          </w:p>
        </w:tc>
        <w:tc>
          <w:tcPr>
            <w:tcW w:w="17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Ибупрофен</w:t>
            </w:r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НПВП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i/>
                <w:iCs/>
                <w:color w:val="000000"/>
                <w:sz w:val="20"/>
                <w:szCs w:val="20"/>
              </w:rPr>
              <w:t xml:space="preserve">ЕСКЛП: 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таблетки, покрытые оболочкой</w:t>
            </w:r>
            <w:r>
              <w:rPr>
                <w:rFonts w:eastAsia="Times New Roman" w:cs="Times New Roman" w:ascii="Tinos" w:hAnsi="Tinos"/>
                <w:i/>
                <w:iCs/>
                <w:color w:val="000000"/>
                <w:sz w:val="20"/>
                <w:szCs w:val="20"/>
              </w:rPr>
              <w:t xml:space="preserve">; ГРЛС: 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таблетки, покрытые пленочной оболочкой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: 200 мг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штука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</w:r>
          </w:p>
        </w:tc>
        <w:tc>
          <w:tcPr>
            <w:tcW w:w="128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1440</w:t>
            </w:r>
          </w:p>
        </w:tc>
      </w:tr>
      <w:tr>
        <w:trPr>
          <w:trHeight w:val="2159" w:hRule="atLeast"/>
        </w:trPr>
        <w:tc>
          <w:tcPr>
            <w:tcW w:w="7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/>
            </w:pPr>
            <w:hyperlink r:id="rId4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21.20.10.121-000010-1-00033-0000000000000</w:t>
              </w:r>
            </w:hyperlink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Кальция глюконат</w:t>
            </w:r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регулятор кальциево-фосфорного обмена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раствор для внутривенного и внутримышечного введения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100 мг/мл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(см 3)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40 000</w:t>
            </w:r>
          </w:p>
        </w:tc>
      </w:tr>
      <w:tr>
        <w:trPr>
          <w:trHeight w:val="1125" w:hRule="atLeast"/>
        </w:trPr>
        <w:tc>
          <w:tcPr>
            <w:tcW w:w="7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>
                <w:rStyle w:val="Hyperlink"/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hyperlink r:id="rId5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21.20.10.231-000002-1-00067-0000000000000</w:t>
              </w:r>
            </w:hyperlink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>
                <w:rStyle w:val="Hyperlink"/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Бупивакаин</w:t>
            </w:r>
          </w:p>
        </w:tc>
        <w:tc>
          <w:tcPr>
            <w:tcW w:w="39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:</w:t>
            </w:r>
            <w:r>
              <w:rPr>
                <w:rFonts w:cs="Times New Roman" w:ascii="Tinos" w:hAnsi="Tinos"/>
                <w:color w:val="000000"/>
                <w:sz w:val="20"/>
                <w:szCs w:val="20"/>
              </w:rPr>
              <w:t xml:space="preserve"> местные анестетики, амиды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Лекарственная форма: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 раствор для инъекций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bCs/>
                <w:color w:val="000000"/>
                <w:sz w:val="20"/>
                <w:szCs w:val="20"/>
              </w:rPr>
              <w:t>Дозировка: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 5 мг/мл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(см 3)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6000</w:t>
            </w:r>
          </w:p>
        </w:tc>
      </w:tr>
      <w:tr>
        <w:trPr>
          <w:trHeight w:val="1125" w:hRule="atLeast"/>
        </w:trPr>
        <w:tc>
          <w:tcPr>
            <w:tcW w:w="7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>
                <w:rStyle w:val="Hyperlink"/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hyperlink r:id="rId6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21.20.10.132-000001-1-00008-0000000000000</w:t>
              </w:r>
            </w:hyperlink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/>
            </w:pPr>
            <w:hyperlink r:id="rId7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21.20.10.132-000001-1-00070-0000000000000</w:t>
              </w:r>
            </w:hyperlink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Этамзилат</w:t>
            </w:r>
          </w:p>
        </w:tc>
        <w:tc>
          <w:tcPr>
            <w:tcW w:w="39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:</w:t>
            </w:r>
            <w:r>
              <w:rPr>
                <w:rFonts w:cs="Times New Roman" w:ascii="Tinos" w:hAnsi="Tinos"/>
                <w:color w:val="000000"/>
                <w:sz w:val="20"/>
                <w:szCs w:val="20"/>
              </w:rPr>
              <w:t xml:space="preserve"> гемостатические средства; витамин K и другие гемостатические средства; другие гемостатические средства системного действия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Лекарственная форма: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 раствор для инъекций; раствор для внутривенного и внутримышечного введения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bCs/>
                <w:color w:val="000000"/>
                <w:sz w:val="20"/>
                <w:szCs w:val="20"/>
              </w:rPr>
              <w:t>Дозировка: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 125 мг/мл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(см 3)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2 000</w:t>
            </w:r>
          </w:p>
        </w:tc>
      </w:tr>
    </w:tbl>
    <w:p>
      <w:pPr>
        <w:pStyle w:val="footnote"/>
        <w:spacing w:lineRule="auto" w:line="240"/>
        <w:ind w:firstLine="708" w:left="-851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uppressAutoHyphens w:val="false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</w:t>
      </w:r>
      <w:r>
        <w:rPr>
          <w:rFonts w:eastAsia="Arial" w:cs="Times New Roman" w:ascii="Times New Roman" w:hAnsi="Times New Roman"/>
          <w:sz w:val="20"/>
          <w:szCs w:val="20"/>
        </w:rPr>
        <w:t xml:space="preserve">           </w:t>
      </w:r>
      <w:r>
        <w:rPr>
          <w:rFonts w:eastAsia="Arial" w:cs="Times New Roman" w:ascii="Times New Roman" w:hAnsi="Times New Roman"/>
          <w:sz w:val="20"/>
          <w:szCs w:val="20"/>
        </w:rPr>
        <w:t>Согласно Постановлению Правительства № 1380 от 15.11.2017г.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нужд», участник закупки вправе предложить: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sz w:val="20"/>
          <w:szCs w:val="20"/>
        </w:rPr>
        <w:t>- эквивалентные формы лекарственных форм и дозировок (эквивалентные дозировки не должны предусматривать деление твердых лекарственных форм);</w:t>
      </w:r>
    </w:p>
    <w:p>
      <w:pPr>
        <w:pStyle w:val="Normal"/>
        <w:suppressAutoHyphens w:val="false"/>
        <w:spacing w:lineRule="auto" w:line="240" w:before="0" w:after="0"/>
        <w:ind w:firstLine="709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- препарат с иной единицей    измерения дозировки (например, дозировка указана в процентах, участник вправе предложить препарат с дозировкой в мг/ мл.);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Поставка товара должна осуществляться в целых упаковках в соответствии с требованиями Федерального закона от 12.04.2010г.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указанное в Контракте, поставка товара сверх количества осуществляется за счёт Поставщика.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     </w:t>
      </w:r>
      <w:r>
        <w:rPr>
          <w:rFonts w:cs="Times New Roman" w:ascii="Times New Roman" w:hAnsi="Times New Roman"/>
          <w:bCs/>
          <w:sz w:val="20"/>
          <w:szCs w:val="20"/>
        </w:rPr>
        <w:t>Поставляемый товар должен иметь инструкцию по медицинскому применению (листок-вкладыш) на русском языке, упаковочные листы.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 </w:t>
      </w:r>
      <w:r>
        <w:rPr>
          <w:rFonts w:cs="Times New Roman" w:ascii="Times New Roman" w:hAnsi="Times New Roman"/>
          <w:bCs/>
          <w:sz w:val="20"/>
          <w:szCs w:val="20"/>
        </w:rPr>
        <w:t xml:space="preserve">Поставщик обязан предоставить </w:t>
      </w:r>
      <w:r>
        <w:rPr>
          <w:rFonts w:cs="Times New Roman" w:ascii="Times New Roman" w:hAnsi="Times New Roman"/>
          <w:sz w:val="20"/>
          <w:szCs w:val="20"/>
        </w:rPr>
        <w:t xml:space="preserve">протокол согласования цен для лекарственных препаратов, включенных в перечень ЖНВЛП. </w:t>
      </w:r>
      <w:r>
        <w:rPr>
          <w:rFonts w:cs="Times New Roman" w:ascii="Times New Roman" w:hAnsi="Times New Roman"/>
          <w:bCs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          </w:t>
      </w:r>
      <w:r>
        <w:rPr>
          <w:rFonts w:cs="Times New Roman" w:ascii="Times New Roman" w:hAnsi="Times New Roman"/>
          <w:bCs/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</w:t>
      </w:r>
      <w:r>
        <w:rPr>
          <w:rFonts w:eastAsia="Calibri" w:cs="Times New Roman" w:ascii="Times New Roman" w:hAnsi="Times New Roman"/>
          <w:bCs/>
          <w:sz w:val="20"/>
          <w:szCs w:val="20"/>
        </w:rPr>
        <w:t xml:space="preserve">   </w:t>
      </w:r>
      <w:r>
        <w:rPr>
          <w:rFonts w:eastAsia="Arial" w:cs="Times New Roman" w:ascii="Times New Roman" w:hAnsi="Times New Roman"/>
          <w:sz w:val="20"/>
          <w:szCs w:val="20"/>
        </w:rPr>
        <w:t>Поставленный товар, признанный недоброкачественным и (или) фальсифицированным и (или) контрафактным по решению Федеральной службы по надзору в сфере здравоохранения или решению суда, подлежит изъятию и уничтожению. При этом Поставщик по претензии Заказчика обязан возвратить стоимость оплаченного товара и компенсировать понесенные Заказчиком затраты по его изъятию и уничтожению.</w:t>
      </w:r>
      <w:r>
        <w:rPr>
          <w:rFonts w:eastAsia="Arial" w:cs="Times New Roman"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bCs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bCs/>
          <w:sz w:val="20"/>
          <w:szCs w:val="20"/>
        </w:rPr>
        <w:t>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>
      <w:pPr>
        <w:pStyle w:val="Normal"/>
        <w:suppressAutoHyphens w:val="false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</w:t>
      </w:r>
      <w:r>
        <w:rPr>
          <w:rFonts w:cs="Times New Roman" w:ascii="Times New Roman" w:hAnsi="Times New Roman"/>
          <w:sz w:val="20"/>
          <w:szCs w:val="20"/>
        </w:rPr>
        <w:t>*Обоснование: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Потребность Заказчика определена исключительно исходя из назначений лечащих врачей. Каждому пациенту назначены лекарственные препараты в конкретных дозировках, исходя из тяжести и характера заболевания каждого пациента.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Форма выпуска (первичная упаковка) является персонифицированной для каждого пациента больницы и необходима для достижения требуемого терапевтического эффекта, а также определена с учётом специфики лечебного учреждения и его деятельности (скорая медицинская помощь) и обеспечивает эффективное использование бюджетных средств. 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footnote"/>
        <w:spacing w:lineRule="auto" w:line="24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2867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swiss"/>
    <w:pitch w:val="default"/>
  </w:font>
  <w:font w:name="PT Astra Serif">
    <w:charset w:val="01"/>
    <w:family w:val="roman"/>
    <w:pitch w:val="default"/>
  </w:font>
  <w:font w:name="Arial">
    <w:charset w:val="01"/>
    <w:family w:val="swiss"/>
    <w:pitch w:val="default"/>
  </w:font>
  <w:font w:name="Calibri">
    <w:charset w:val="01"/>
    <w:family w:val="swiss"/>
    <w:pitch w:val="default"/>
  </w:font>
  <w:font w:name="Times New Roman">
    <w:charset w:val="01"/>
    <w:family w:val="roman"/>
    <w:pitch w:val="default"/>
  </w:font>
  <w:font w:name="Tin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f71a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4e43df"/>
    <w:rPr>
      <w:color w:themeColor="hyperlink" w:val="0000FF"/>
      <w:u w:val="single"/>
    </w:rPr>
  </w:style>
  <w:style w:type="character" w:styleId="Style14" w:customStyle="1">
    <w:name w:val="Текст выноски Знак"/>
    <w:basedOn w:val="DefaultParagraphFont"/>
    <w:uiPriority w:val="99"/>
    <w:semiHidden/>
    <w:qFormat/>
    <w:rsid w:val="00354cff"/>
    <w:rPr>
      <w:rFonts w:ascii="Segoe UI" w:hAnsi="Segoe UI" w:cs="Segoe UI"/>
      <w:sz w:val="18"/>
      <w:szCs w:val="18"/>
    </w:rPr>
  </w:style>
  <w:style w:type="character" w:styleId="cardmaininfotitle" w:customStyle="1">
    <w:name w:val="cardmaininfo__title"/>
    <w:basedOn w:val="DefaultParagraphFont"/>
    <w:qFormat/>
    <w:rsid w:val="002e587a"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1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footnote" w:customStyle="1">
    <w:name w:val="footnote"/>
    <w:basedOn w:val="Normal"/>
    <w:qFormat/>
    <w:rsid w:val="00af5aed"/>
    <w:pPr>
      <w:spacing w:lineRule="atLeast" w:line="220" w:before="0" w:after="0"/>
    </w:pPr>
    <w:rPr>
      <w:rFonts w:ascii="Arial" w:hAnsi="Arial" w:eastAsia="Arial" w:cs="Arial"/>
      <w:sz w:val="16"/>
      <w:szCs w:val="16"/>
    </w:rPr>
  </w:style>
  <w:style w:type="paragraph" w:styleId="BalloonText">
    <w:name w:val="Balloon Text"/>
    <w:basedOn w:val="Normal"/>
    <w:uiPriority w:val="99"/>
    <w:semiHidden/>
    <w:unhideWhenUsed/>
    <w:qFormat/>
    <w:rsid w:val="00354cf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17" w:customStyle="1">
    <w:name w:val="Содержимое таблицы"/>
    <w:basedOn w:val="Normal"/>
    <w:qFormat/>
    <w:rsid w:val="00e06d95"/>
    <w:pPr>
      <w:suppressLineNumbers/>
    </w:pPr>
    <w:rPr>
      <w:rFonts w:ascii="Calibri" w:hAnsi="Calibri" w:eastAsia="Calibri" w:cs="Times New Roman"/>
      <w:lang w:eastAsia="zh-CN"/>
    </w:rPr>
  </w:style>
  <w:style w:type="numbering" w:styleId="Style18" w:customStyle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epz/ktru/medCard/commonInfo.html?extCode=d7e8d7af-c807-46cf-a0a7-53fdf0038883" TargetMode="External"/><Relationship Id="rId3" Type="http://schemas.openxmlformats.org/officeDocument/2006/relationships/hyperlink" Target="https://zakupki.gov.ru/epz/ktru/medCard/commonInfo.html?extCode=1edf8670-bf5b-11e9-bd5d-f7b8433ec988" TargetMode="External"/><Relationship Id="rId4" Type="http://schemas.openxmlformats.org/officeDocument/2006/relationships/hyperlink" Target="https://zakupki.gov.ru/epz/ktru/medCard/commonInfo.html?extCode=1edf95f2-bf5b-11e9-bd5d-179396b37f21" TargetMode="External"/><Relationship Id="rId5" Type="http://schemas.openxmlformats.org/officeDocument/2006/relationships/hyperlink" Target="https://zakupki.gov.ru/epz/ktru/medCard/commonInfo.html?extCode=1ee31d76-bf5b-11e9-bd5d-bbac5eb1ef87" TargetMode="External"/><Relationship Id="rId6" Type="http://schemas.openxmlformats.org/officeDocument/2006/relationships/hyperlink" Target="https://zakupki.gov.ru/epz/ktru/medCard/commonInfo.html?extCode=1edf996c-bf5b-11e9-bd5d-37dc74e709ae" TargetMode="External"/><Relationship Id="rId7" Type="http://schemas.openxmlformats.org/officeDocument/2006/relationships/hyperlink" Target="https://zakupki.gov.ru/epz/ktru/medCard/commonInfo.html?extCode=1ed9dfae-bf5b-11e9-bd5d-e73ea5efff30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LibreOffice/24.8.4.2$Linux_X86_64 LibreOffice_project/480$Build-2</Application>
  <AppVersion>15.0000</AppVersion>
  <Pages>2</Pages>
  <Words>504</Words>
  <Characters>3873</Characters>
  <CharactersWithSpaces>5313</CharactersWithSpaces>
  <Paragraphs>64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2026-06-25T11:55:00Z</dcterms:created>
  <dc:creator>Янна</dc:creator>
  <dc:description/>
  <dc:language>ru-RU</dc:language>
  <cp:lastModifiedBy>Степанова Елена Яковлевна</cp:lastModifiedBy>
  <cp:lastPrinted>2025-12-19T12:21:00Z</cp:lastPrinted>
  <dcterms:modified xsi:type="dcterms:W3CDTF">2026-06-25T11:55:00Z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